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png" ContentType="image/png"/>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F1FE6E">
      <w:pPr>
        <w:rPr>
          <w:rFonts w:hint="eastAsia" w:ascii="仿宋_GB2312" w:hAnsi="仿宋_GB2312" w:eastAsia="仿宋_GB2312" w:cs="仿宋_GB2312"/>
          <w:sz w:val="36"/>
          <w:szCs w:val="36"/>
        </w:rPr>
      </w:pPr>
    </w:p>
    <w:p w14:paraId="29BA98BB">
      <w:pPr>
        <w:rPr>
          <w:rFonts w:hint="eastAsia" w:ascii="仿宋_GB2312" w:hAnsi="仿宋_GB2312" w:eastAsia="仿宋_GB2312" w:cs="仿宋_GB2312"/>
          <w:sz w:val="36"/>
          <w:szCs w:val="36"/>
        </w:rPr>
      </w:pPr>
    </w:p>
    <w:p w14:paraId="7681FE72">
      <w:pPr>
        <w:rPr>
          <w:rFonts w:hint="eastAsia" w:ascii="仿宋_GB2312" w:hAnsi="仿宋_GB2312" w:eastAsia="仿宋_GB2312" w:cs="仿宋_GB2312"/>
          <w:sz w:val="36"/>
          <w:szCs w:val="36"/>
        </w:rPr>
      </w:pPr>
    </w:p>
    <w:p w14:paraId="6F48964A">
      <w:pPr>
        <w:rPr>
          <w:rFonts w:hint="eastAsia" w:ascii="仿宋_GB2312" w:hAnsi="仿宋_GB2312" w:eastAsia="仿宋_GB2312" w:cs="仿宋_GB2312"/>
          <w:sz w:val="36"/>
          <w:szCs w:val="36"/>
        </w:rPr>
      </w:pPr>
    </w:p>
    <w:p w14:paraId="4EBA7E02">
      <w:pPr>
        <w:adjustRightInd w:val="0"/>
        <w:snapToGrid w:val="0"/>
        <w:jc w:val="center"/>
        <w:outlineLvl w:val="0"/>
        <w:rPr>
          <w:rFonts w:ascii="方正小标宋_GBK" w:eastAsia="方正小标宋_GBK"/>
          <w:bCs/>
          <w:sz w:val="72"/>
          <w:szCs w:val="72"/>
        </w:rPr>
      </w:pPr>
      <w:r>
        <w:rPr>
          <w:rFonts w:hint="eastAsia" w:ascii="方正小标宋_GBK" w:eastAsia="方正小标宋_GBK"/>
          <w:bCs/>
          <w:sz w:val="72"/>
          <w:szCs w:val="72"/>
        </w:rPr>
        <w:t>建设项目环境影响报告表</w:t>
      </w:r>
    </w:p>
    <w:p w14:paraId="631A52B1">
      <w:pPr>
        <w:adjustRightInd w:val="0"/>
        <w:snapToGrid w:val="0"/>
        <w:spacing w:before="192" w:beforeLines="80"/>
        <w:jc w:val="center"/>
        <w:rPr>
          <w:rFonts w:hint="eastAsia" w:ascii="华文仿宋" w:hAnsi="华文仿宋" w:eastAsia="华文仿宋" w:cs="华文仿宋"/>
          <w:kern w:val="44"/>
          <w:sz w:val="44"/>
          <w:szCs w:val="44"/>
        </w:rPr>
      </w:pPr>
      <w:r>
        <w:rPr>
          <w:rFonts w:hint="eastAsia" w:ascii="楷体_GB2312" w:eastAsia="楷体_GB2312"/>
          <w:bCs/>
          <w:sz w:val="48"/>
          <w:szCs w:val="48"/>
        </w:rPr>
        <w:t>（污染影响类）</w:t>
      </w:r>
    </w:p>
    <w:p w14:paraId="03E34079">
      <w:pPr>
        <w:jc w:val="center"/>
        <w:rPr>
          <w:rFonts w:eastAsia="仿宋"/>
          <w:sz w:val="52"/>
          <w:szCs w:val="52"/>
        </w:rPr>
      </w:pPr>
    </w:p>
    <w:p w14:paraId="683ABE58">
      <w:pPr>
        <w:jc w:val="center"/>
        <w:rPr>
          <w:rFonts w:eastAsia="仿宋"/>
          <w:sz w:val="52"/>
          <w:szCs w:val="52"/>
        </w:rPr>
      </w:pPr>
    </w:p>
    <w:p w14:paraId="1C207A8F">
      <w:pPr>
        <w:ind w:firstLine="1040"/>
        <w:rPr>
          <w:rFonts w:eastAsia="仿宋"/>
          <w:sz w:val="44"/>
          <w:szCs w:val="44"/>
        </w:rPr>
      </w:pPr>
    </w:p>
    <w:p w14:paraId="583F118E">
      <w:pPr>
        <w:ind w:firstLine="1040"/>
        <w:rPr>
          <w:rFonts w:eastAsia="仿宋"/>
          <w:sz w:val="44"/>
          <w:szCs w:val="44"/>
        </w:rPr>
      </w:pPr>
    </w:p>
    <w:p w14:paraId="2078E60D">
      <w:pPr>
        <w:ind w:firstLine="1040"/>
        <w:rPr>
          <w:rFonts w:eastAsia="仿宋"/>
          <w:sz w:val="44"/>
          <w:szCs w:val="44"/>
        </w:rPr>
      </w:pPr>
    </w:p>
    <w:p w14:paraId="591E4A73">
      <w:pPr>
        <w:adjustRightInd w:val="0"/>
        <w:snapToGrid w:val="0"/>
        <w:spacing w:line="288" w:lineRule="auto"/>
        <w:ind w:left="2877" w:leftChars="513" w:hanging="1800" w:hangingChars="500"/>
        <w:rPr>
          <w:rFonts w:ascii="仿宋_GB2312" w:eastAsia="仿宋_GB2312"/>
          <w:sz w:val="32"/>
          <w:szCs w:val="32"/>
          <w:u w:val="single"/>
        </w:rPr>
      </w:pPr>
      <w:r>
        <w:rPr>
          <w:rFonts w:hint="eastAsia" w:ascii="仿宋_GB2312" w:eastAsia="仿宋_GB2312"/>
          <w:sz w:val="36"/>
          <w:szCs w:val="36"/>
        </w:rPr>
        <w:t>项目名称：</w:t>
      </w:r>
      <w:r>
        <w:rPr>
          <w:rFonts w:hint="eastAsia" w:ascii="仿宋_GB2312" w:eastAsia="仿宋_GB2312"/>
          <w:sz w:val="36"/>
          <w:szCs w:val="36"/>
          <w:u w:val="single"/>
          <w:lang w:val="en-US" w:eastAsia="zh-CN"/>
        </w:rPr>
        <w:t>年产700万件LED显示模组产品、COB灯带产品</w:t>
      </w:r>
      <w:r>
        <w:rPr>
          <w:rFonts w:hint="eastAsia" w:ascii="仿宋_GB2312" w:eastAsia="仿宋_GB2312"/>
          <w:sz w:val="36"/>
          <w:szCs w:val="36"/>
          <w:u w:val="single"/>
        </w:rPr>
        <w:t>项目</w:t>
      </w:r>
    </w:p>
    <w:p w14:paraId="7A1B13C9">
      <w:pPr>
        <w:adjustRightInd w:val="0"/>
        <w:snapToGrid w:val="0"/>
        <w:spacing w:line="288" w:lineRule="auto"/>
        <w:ind w:firstLine="1040"/>
        <w:rPr>
          <w:rFonts w:ascii="仿宋_GB2312" w:eastAsia="仿宋_GB2312"/>
          <w:sz w:val="36"/>
          <w:szCs w:val="36"/>
          <w:u w:val="single"/>
        </w:rPr>
      </w:pPr>
      <w:r>
        <w:rPr>
          <w:rFonts w:hint="eastAsia" w:ascii="仿宋_GB2312" w:eastAsia="仿宋_GB2312"/>
          <w:sz w:val="36"/>
          <w:szCs w:val="36"/>
        </w:rPr>
        <w:t>建设单位：</w:t>
      </w:r>
      <w:r>
        <w:rPr>
          <w:rFonts w:hint="eastAsia" w:ascii="仿宋_GB2312" w:eastAsia="仿宋_GB2312"/>
          <w:sz w:val="36"/>
          <w:szCs w:val="36"/>
          <w:u w:val="single"/>
        </w:rPr>
        <w:t xml:space="preserve"> </w:t>
      </w:r>
      <w:r>
        <w:rPr>
          <w:rFonts w:ascii="仿宋_GB2312" w:eastAsia="仿宋_GB2312"/>
          <w:sz w:val="36"/>
          <w:szCs w:val="36"/>
          <w:u w:val="single"/>
        </w:rPr>
        <w:t xml:space="preserve">    </w:t>
      </w:r>
      <w:r>
        <w:rPr>
          <w:rFonts w:hint="eastAsia" w:ascii="仿宋_GB2312" w:eastAsia="仿宋_GB2312"/>
          <w:sz w:val="36"/>
          <w:szCs w:val="36"/>
          <w:u w:val="single"/>
        </w:rPr>
        <w:t>安徽</w:t>
      </w:r>
      <w:r>
        <w:rPr>
          <w:rFonts w:hint="eastAsia" w:ascii="仿宋_GB2312" w:eastAsia="仿宋_GB2312"/>
          <w:sz w:val="36"/>
          <w:szCs w:val="36"/>
          <w:u w:val="single"/>
          <w:lang w:val="en-US" w:eastAsia="zh-CN"/>
        </w:rPr>
        <w:t>芯锐半导体</w:t>
      </w:r>
      <w:r>
        <w:rPr>
          <w:rFonts w:hint="eastAsia" w:ascii="仿宋_GB2312" w:eastAsia="仿宋_GB2312"/>
          <w:sz w:val="36"/>
          <w:szCs w:val="36"/>
          <w:u w:val="single"/>
        </w:rPr>
        <w:t xml:space="preserve">科技有限公司 </w:t>
      </w:r>
      <w:r>
        <w:rPr>
          <w:rFonts w:ascii="仿宋_GB2312" w:eastAsia="仿宋_GB2312"/>
          <w:sz w:val="36"/>
          <w:szCs w:val="36"/>
          <w:u w:val="single"/>
        </w:rPr>
        <w:t xml:space="preserve">    </w:t>
      </w:r>
      <w:r>
        <w:rPr>
          <w:rFonts w:hint="eastAsia" w:ascii="仿宋_GB2312" w:eastAsia="仿宋_GB2312"/>
          <w:sz w:val="36"/>
          <w:szCs w:val="36"/>
          <w:u w:val="single"/>
        </w:rPr>
        <w:t xml:space="preserve">  </w:t>
      </w:r>
    </w:p>
    <w:p w14:paraId="7BD30971">
      <w:pPr>
        <w:adjustRightInd w:val="0"/>
        <w:snapToGrid w:val="0"/>
        <w:spacing w:line="288" w:lineRule="auto"/>
        <w:ind w:firstLine="1040"/>
        <w:rPr>
          <w:rFonts w:ascii="仿宋_GB2312" w:eastAsia="仿宋_GB2312"/>
          <w:sz w:val="36"/>
          <w:szCs w:val="36"/>
          <w:u w:val="single"/>
        </w:rPr>
      </w:pPr>
      <w:r>
        <w:rPr>
          <w:rFonts w:hint="eastAsia" w:ascii="仿宋_GB2312" w:eastAsia="仿宋_GB2312"/>
          <w:sz w:val="36"/>
          <w:szCs w:val="36"/>
        </w:rPr>
        <w:t>编制日期：</w:t>
      </w:r>
      <w:r>
        <w:rPr>
          <w:rFonts w:hint="eastAsia" w:ascii="仿宋_GB2312" w:eastAsia="仿宋_GB2312"/>
          <w:sz w:val="36"/>
          <w:szCs w:val="36"/>
          <w:u w:val="single"/>
        </w:rPr>
        <w:t xml:space="preserve"> </w:t>
      </w:r>
      <w:r>
        <w:rPr>
          <w:rFonts w:ascii="仿宋_GB2312" w:eastAsia="仿宋_GB2312"/>
          <w:sz w:val="36"/>
          <w:szCs w:val="36"/>
          <w:u w:val="single"/>
        </w:rPr>
        <w:t xml:space="preserve">        202</w:t>
      </w:r>
      <w:r>
        <w:rPr>
          <w:rFonts w:hint="eastAsia" w:ascii="仿宋_GB2312" w:eastAsia="仿宋_GB2312"/>
          <w:sz w:val="36"/>
          <w:szCs w:val="36"/>
          <w:u w:val="single"/>
          <w:lang w:val="en-US" w:eastAsia="zh-CN"/>
        </w:rPr>
        <w:t>6</w:t>
      </w:r>
      <w:r>
        <w:rPr>
          <w:rFonts w:hint="eastAsia" w:ascii="仿宋_GB2312" w:eastAsia="仿宋_GB2312"/>
          <w:sz w:val="36"/>
          <w:szCs w:val="36"/>
          <w:u w:val="single"/>
        </w:rPr>
        <w:t>年</w:t>
      </w:r>
      <w:r>
        <w:rPr>
          <w:rFonts w:hint="eastAsia" w:ascii="仿宋_GB2312" w:eastAsia="仿宋_GB2312"/>
          <w:sz w:val="36"/>
          <w:szCs w:val="36"/>
          <w:u w:val="single"/>
          <w:lang w:val="en-US" w:eastAsia="zh-CN"/>
        </w:rPr>
        <w:t>3</w:t>
      </w:r>
      <w:r>
        <w:rPr>
          <w:rFonts w:hint="eastAsia" w:ascii="仿宋_GB2312" w:eastAsia="仿宋_GB2312"/>
          <w:sz w:val="36"/>
          <w:szCs w:val="36"/>
          <w:u w:val="single"/>
        </w:rPr>
        <w:t>月</w:t>
      </w:r>
      <w:r>
        <w:rPr>
          <w:rFonts w:ascii="仿宋_GB2312" w:eastAsia="仿宋_GB2312"/>
          <w:sz w:val="36"/>
          <w:szCs w:val="36"/>
          <w:u w:val="single"/>
        </w:rPr>
        <w:t xml:space="preserve">       </w:t>
      </w:r>
      <w:r>
        <w:rPr>
          <w:rFonts w:hint="eastAsia" w:ascii="仿宋_GB2312" w:eastAsia="仿宋_GB2312"/>
          <w:sz w:val="36"/>
          <w:szCs w:val="36"/>
          <w:u w:val="single"/>
          <w:lang w:val="en-US" w:eastAsia="zh-CN"/>
        </w:rPr>
        <w:t xml:space="preserve"> </w:t>
      </w:r>
      <w:r>
        <w:rPr>
          <w:rFonts w:ascii="仿宋_GB2312" w:eastAsia="仿宋_GB2312"/>
          <w:sz w:val="36"/>
          <w:szCs w:val="36"/>
          <w:u w:val="single"/>
        </w:rPr>
        <w:t xml:space="preserve">      </w:t>
      </w:r>
      <w:r>
        <w:rPr>
          <w:rFonts w:hint="eastAsia" w:ascii="仿宋_GB2312" w:eastAsia="仿宋_GB2312"/>
          <w:sz w:val="36"/>
          <w:szCs w:val="36"/>
          <w:u w:val="single"/>
        </w:rPr>
        <w:t xml:space="preserve">   </w:t>
      </w:r>
    </w:p>
    <w:p w14:paraId="6A1E24F7">
      <w:pPr>
        <w:adjustRightInd w:val="0"/>
        <w:snapToGrid w:val="0"/>
        <w:spacing w:line="288" w:lineRule="auto"/>
        <w:ind w:firstLine="1040"/>
        <w:rPr>
          <w:rFonts w:ascii="仿宋_GB2312" w:eastAsia="仿宋_GB2312"/>
          <w:sz w:val="28"/>
          <w:szCs w:val="28"/>
          <w:u w:val="single"/>
        </w:rPr>
      </w:pPr>
      <w:bookmarkStart w:id="0" w:name="_Hlk57884087"/>
    </w:p>
    <w:p w14:paraId="255BA042">
      <w:pPr>
        <w:adjustRightInd w:val="0"/>
        <w:snapToGrid w:val="0"/>
        <w:spacing w:line="288" w:lineRule="auto"/>
        <w:ind w:firstLine="1040"/>
        <w:rPr>
          <w:rFonts w:ascii="仿宋_GB2312" w:eastAsia="仿宋_GB2312"/>
          <w:sz w:val="28"/>
          <w:szCs w:val="28"/>
          <w:u w:val="single"/>
        </w:rPr>
      </w:pPr>
    </w:p>
    <w:p w14:paraId="2BD574E0">
      <w:pPr>
        <w:adjustRightInd w:val="0"/>
        <w:snapToGrid w:val="0"/>
        <w:spacing w:line="288" w:lineRule="auto"/>
        <w:ind w:firstLine="1040"/>
        <w:rPr>
          <w:rFonts w:ascii="仿宋_GB2312" w:eastAsia="仿宋_GB2312"/>
          <w:sz w:val="28"/>
          <w:szCs w:val="28"/>
          <w:u w:val="single"/>
        </w:rPr>
      </w:pPr>
    </w:p>
    <w:p w14:paraId="10DC0D5E">
      <w:pPr>
        <w:adjustRightInd w:val="0"/>
        <w:snapToGrid w:val="0"/>
        <w:spacing w:line="288" w:lineRule="auto"/>
        <w:ind w:firstLine="1040"/>
        <w:rPr>
          <w:rFonts w:ascii="仿宋_GB2312" w:eastAsia="仿宋_GB2312"/>
          <w:sz w:val="28"/>
          <w:szCs w:val="28"/>
        </w:rPr>
      </w:pPr>
    </w:p>
    <w:p w14:paraId="0964B116">
      <w:pPr>
        <w:adjustRightInd w:val="0"/>
        <w:snapToGrid w:val="0"/>
        <w:spacing w:line="288" w:lineRule="auto"/>
        <w:ind w:firstLine="1040"/>
        <w:rPr>
          <w:rFonts w:ascii="仿宋_GB2312" w:eastAsia="仿宋_GB2312"/>
          <w:sz w:val="28"/>
          <w:szCs w:val="28"/>
        </w:rPr>
      </w:pPr>
    </w:p>
    <w:bookmarkEnd w:id="0"/>
    <w:p w14:paraId="240397A3">
      <w:pPr>
        <w:adjustRightInd w:val="0"/>
        <w:snapToGrid w:val="0"/>
        <w:spacing w:line="288" w:lineRule="auto"/>
        <w:jc w:val="center"/>
        <w:rPr>
          <w:rFonts w:ascii="楷体_GB2312" w:eastAsia="楷体_GB2312"/>
          <w:sz w:val="36"/>
          <w:szCs w:val="36"/>
        </w:rPr>
      </w:pPr>
      <w:r>
        <w:rPr>
          <w:rFonts w:hint="eastAsia" w:ascii="楷体_GB2312" w:eastAsia="楷体_GB2312"/>
          <w:sz w:val="36"/>
          <w:szCs w:val="36"/>
        </w:rPr>
        <w:t>中华人民共和国生态环境部制</w:t>
      </w:r>
    </w:p>
    <w:p w14:paraId="38DD15FE">
      <w:pPr>
        <w:adjustRightInd w:val="0"/>
        <w:snapToGrid w:val="0"/>
        <w:spacing w:line="288" w:lineRule="auto"/>
        <w:ind w:firstLine="1040"/>
        <w:rPr>
          <w:rFonts w:ascii="仿宋_GB2312" w:eastAsia="仿宋_GB2312"/>
          <w:sz w:val="36"/>
          <w:szCs w:val="36"/>
        </w:rPr>
        <w:sectPr>
          <w:footerReference r:id="rId5" w:type="default"/>
          <w:footerReference r:id="rId6" w:type="even"/>
          <w:pgSz w:w="11906" w:h="16838"/>
          <w:pgMar w:top="1418" w:right="1440" w:bottom="1418" w:left="1440" w:header="851" w:footer="1077" w:gutter="0"/>
          <w:pgBorders>
            <w:top w:val="none" w:sz="0" w:space="0"/>
            <w:left w:val="none" w:sz="0" w:space="0"/>
            <w:bottom w:val="none" w:sz="0" w:space="0"/>
            <w:right w:val="none" w:sz="0" w:space="0"/>
          </w:pgBorders>
          <w:pgNumType w:start="3"/>
          <w:cols w:space="720" w:num="1"/>
          <w:docGrid w:linePitch="312" w:charSpace="0"/>
        </w:sectPr>
      </w:pPr>
    </w:p>
    <w:p w14:paraId="14A17995">
      <w:pPr>
        <w:pStyle w:val="20"/>
        <w:jc w:val="center"/>
        <w:outlineLvl w:val="0"/>
        <w:rPr>
          <w:rFonts w:hint="eastAsia" w:ascii="黑体" w:hAnsi="黑体" w:eastAsia="黑体"/>
          <w:snapToGrid w:val="0"/>
          <w:sz w:val="30"/>
          <w:szCs w:val="30"/>
        </w:rPr>
      </w:pPr>
      <w:r>
        <w:rPr>
          <w:rFonts w:hint="eastAsia" w:ascii="黑体" w:hAnsi="黑体" w:eastAsia="黑体"/>
          <w:snapToGrid w:val="0"/>
          <w:sz w:val="30"/>
          <w:szCs w:val="30"/>
        </w:rPr>
        <w:t>一、建设项目基本情况</w:t>
      </w:r>
    </w:p>
    <w:tbl>
      <w:tblPr>
        <w:tblStyle w:val="2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024"/>
        <w:gridCol w:w="1743"/>
        <w:gridCol w:w="2496"/>
        <w:gridCol w:w="3789"/>
      </w:tblGrid>
      <w:tr w14:paraId="73294B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24" w:type="dxa"/>
            <w:tcMar>
              <w:top w:w="16" w:type="dxa"/>
              <w:left w:w="16" w:type="dxa"/>
              <w:right w:w="16" w:type="dxa"/>
            </w:tcMar>
            <w:vAlign w:val="center"/>
          </w:tcPr>
          <w:p w14:paraId="11C20779">
            <w:pPr>
              <w:adjustRightInd w:val="0"/>
              <w:snapToGrid w:val="0"/>
              <w:jc w:val="center"/>
              <w:rPr>
                <w:sz w:val="24"/>
              </w:rPr>
            </w:pPr>
            <w:r>
              <w:rPr>
                <w:sz w:val="24"/>
              </w:rPr>
              <w:t>建设项目名称</w:t>
            </w:r>
          </w:p>
        </w:tc>
        <w:tc>
          <w:tcPr>
            <w:tcW w:w="8028" w:type="dxa"/>
            <w:gridSpan w:val="3"/>
            <w:vAlign w:val="center"/>
          </w:tcPr>
          <w:p w14:paraId="5BA5653A">
            <w:pPr>
              <w:adjustRightInd w:val="0"/>
              <w:snapToGrid w:val="0"/>
              <w:jc w:val="center"/>
              <w:rPr>
                <w:sz w:val="24"/>
              </w:rPr>
            </w:pPr>
            <w:r>
              <w:rPr>
                <w:rFonts w:hint="eastAsia"/>
                <w:sz w:val="24"/>
              </w:rPr>
              <w:t>年产700万件LED显示模组产品、COB灯带产品项目</w:t>
            </w:r>
          </w:p>
        </w:tc>
      </w:tr>
      <w:tr w14:paraId="51BD69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24" w:type="dxa"/>
            <w:tcMar>
              <w:top w:w="16" w:type="dxa"/>
              <w:left w:w="16" w:type="dxa"/>
              <w:right w:w="16" w:type="dxa"/>
            </w:tcMar>
            <w:vAlign w:val="center"/>
          </w:tcPr>
          <w:p w14:paraId="124AB008">
            <w:pPr>
              <w:adjustRightInd w:val="0"/>
              <w:snapToGrid w:val="0"/>
              <w:jc w:val="center"/>
              <w:rPr>
                <w:sz w:val="24"/>
              </w:rPr>
            </w:pPr>
            <w:r>
              <w:rPr>
                <w:sz w:val="24"/>
              </w:rPr>
              <w:t>项目代码</w:t>
            </w:r>
          </w:p>
        </w:tc>
        <w:tc>
          <w:tcPr>
            <w:tcW w:w="8028" w:type="dxa"/>
            <w:gridSpan w:val="3"/>
            <w:vAlign w:val="center"/>
          </w:tcPr>
          <w:p w14:paraId="564FE2D2">
            <w:pPr>
              <w:adjustRightInd w:val="0"/>
              <w:snapToGrid w:val="0"/>
              <w:jc w:val="center"/>
              <w:rPr>
                <w:rFonts w:hint="default" w:eastAsia="宋体"/>
                <w:sz w:val="24"/>
                <w:lang w:val="en-US" w:eastAsia="zh-CN"/>
              </w:rPr>
            </w:pPr>
            <w:r>
              <w:rPr>
                <w:sz w:val="24"/>
              </w:rPr>
              <w:t>2</w:t>
            </w:r>
            <w:r>
              <w:rPr>
                <w:rFonts w:hint="eastAsia"/>
                <w:sz w:val="24"/>
                <w:lang w:val="en-US" w:eastAsia="zh-CN"/>
              </w:rPr>
              <w:t>510</w:t>
            </w:r>
            <w:r>
              <w:rPr>
                <w:sz w:val="24"/>
              </w:rPr>
              <w:t>-34</w:t>
            </w:r>
            <w:r>
              <w:rPr>
                <w:rFonts w:hint="eastAsia"/>
                <w:sz w:val="24"/>
                <w:lang w:val="en-US" w:eastAsia="zh-CN"/>
              </w:rPr>
              <w:t>1763</w:t>
            </w:r>
            <w:r>
              <w:rPr>
                <w:sz w:val="24"/>
              </w:rPr>
              <w:t>-04-01-</w:t>
            </w:r>
            <w:r>
              <w:rPr>
                <w:rFonts w:hint="eastAsia"/>
                <w:sz w:val="24"/>
                <w:lang w:val="en-US" w:eastAsia="zh-CN"/>
              </w:rPr>
              <w:t>777695</w:t>
            </w:r>
          </w:p>
        </w:tc>
      </w:tr>
      <w:tr w14:paraId="402D31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24" w:type="dxa"/>
            <w:tcMar>
              <w:top w:w="16" w:type="dxa"/>
              <w:left w:w="16" w:type="dxa"/>
              <w:right w:w="16" w:type="dxa"/>
            </w:tcMar>
            <w:vAlign w:val="center"/>
          </w:tcPr>
          <w:p w14:paraId="6A90E3AB">
            <w:pPr>
              <w:adjustRightInd w:val="0"/>
              <w:snapToGrid w:val="0"/>
              <w:jc w:val="center"/>
              <w:rPr>
                <w:sz w:val="24"/>
              </w:rPr>
            </w:pPr>
            <w:r>
              <w:rPr>
                <w:sz w:val="24"/>
              </w:rPr>
              <w:t>建设单位联系人</w:t>
            </w:r>
          </w:p>
        </w:tc>
        <w:tc>
          <w:tcPr>
            <w:tcW w:w="1743" w:type="dxa"/>
            <w:vAlign w:val="center"/>
          </w:tcPr>
          <w:p w14:paraId="537AFD2C">
            <w:pPr>
              <w:adjustRightInd w:val="0"/>
              <w:snapToGrid w:val="0"/>
              <w:jc w:val="center"/>
              <w:rPr>
                <w:sz w:val="24"/>
              </w:rPr>
            </w:pPr>
            <w:r>
              <w:rPr>
                <w:rFonts w:hint="eastAsia"/>
                <w:sz w:val="24"/>
              </w:rPr>
              <w:t>李斌</w:t>
            </w:r>
          </w:p>
        </w:tc>
        <w:tc>
          <w:tcPr>
            <w:tcW w:w="2496" w:type="dxa"/>
            <w:vAlign w:val="center"/>
          </w:tcPr>
          <w:p w14:paraId="304F69F6">
            <w:pPr>
              <w:adjustRightInd w:val="0"/>
              <w:snapToGrid w:val="0"/>
              <w:jc w:val="center"/>
              <w:rPr>
                <w:sz w:val="24"/>
              </w:rPr>
            </w:pPr>
            <w:r>
              <w:rPr>
                <w:sz w:val="24"/>
              </w:rPr>
              <w:t>联系方式</w:t>
            </w:r>
          </w:p>
        </w:tc>
        <w:tc>
          <w:tcPr>
            <w:tcW w:w="3789" w:type="dxa"/>
            <w:vAlign w:val="center"/>
          </w:tcPr>
          <w:p w14:paraId="71A0C833">
            <w:pPr>
              <w:adjustRightInd w:val="0"/>
              <w:snapToGrid w:val="0"/>
              <w:jc w:val="center"/>
              <w:rPr>
                <w:sz w:val="24"/>
              </w:rPr>
            </w:pPr>
            <w:r>
              <w:rPr>
                <w:rFonts w:hint="eastAsia"/>
                <w:sz w:val="24"/>
              </w:rPr>
              <w:t>18156606667</w:t>
            </w:r>
          </w:p>
        </w:tc>
      </w:tr>
      <w:tr w14:paraId="3AE733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24" w:type="dxa"/>
            <w:tcMar>
              <w:top w:w="16" w:type="dxa"/>
              <w:left w:w="16" w:type="dxa"/>
              <w:right w:w="16" w:type="dxa"/>
            </w:tcMar>
            <w:vAlign w:val="center"/>
          </w:tcPr>
          <w:p w14:paraId="20CF22C2">
            <w:pPr>
              <w:adjustRightInd w:val="0"/>
              <w:snapToGrid w:val="0"/>
              <w:jc w:val="center"/>
              <w:rPr>
                <w:sz w:val="24"/>
              </w:rPr>
            </w:pPr>
            <w:r>
              <w:rPr>
                <w:sz w:val="24"/>
              </w:rPr>
              <w:t>建设地点</w:t>
            </w:r>
          </w:p>
        </w:tc>
        <w:tc>
          <w:tcPr>
            <w:tcW w:w="8028" w:type="dxa"/>
            <w:gridSpan w:val="3"/>
            <w:vAlign w:val="center"/>
          </w:tcPr>
          <w:p w14:paraId="45752A5E">
            <w:pPr>
              <w:adjustRightInd w:val="0"/>
              <w:snapToGrid w:val="0"/>
              <w:jc w:val="center"/>
              <w:rPr>
                <w:rFonts w:hint="default" w:eastAsia="宋体"/>
                <w:sz w:val="24"/>
                <w:lang w:val="en-US" w:eastAsia="zh-CN"/>
              </w:rPr>
            </w:pPr>
            <w:r>
              <w:rPr>
                <w:sz w:val="24"/>
                <w:u w:val="single"/>
              </w:rPr>
              <w:t xml:space="preserve"> 安徽 </w:t>
            </w:r>
            <w:r>
              <w:rPr>
                <w:sz w:val="24"/>
              </w:rPr>
              <w:t>省</w:t>
            </w:r>
            <w:r>
              <w:rPr>
                <w:sz w:val="24"/>
                <w:u w:val="single"/>
              </w:rPr>
              <w:t xml:space="preserve"> </w:t>
            </w:r>
            <w:r>
              <w:rPr>
                <w:rFonts w:hint="eastAsia"/>
                <w:sz w:val="24"/>
                <w:u w:val="single"/>
                <w:lang w:val="en-US" w:eastAsia="zh-CN"/>
              </w:rPr>
              <w:t>池州</w:t>
            </w:r>
            <w:r>
              <w:rPr>
                <w:sz w:val="24"/>
                <w:u w:val="single"/>
              </w:rPr>
              <w:t xml:space="preserve"> </w:t>
            </w:r>
            <w:r>
              <w:rPr>
                <w:sz w:val="24"/>
              </w:rPr>
              <w:t>市</w:t>
            </w:r>
            <w:r>
              <w:rPr>
                <w:rFonts w:hint="eastAsia"/>
                <w:sz w:val="24"/>
                <w:u w:val="single"/>
              </w:rPr>
              <w:t>皖江江南新兴产业集中区</w:t>
            </w:r>
            <w:r>
              <w:rPr>
                <w:rFonts w:hint="eastAsia"/>
                <w:sz w:val="24"/>
                <w:u w:val="single"/>
                <w:lang w:val="en-US" w:eastAsia="zh-CN"/>
              </w:rPr>
              <w:t>众飞产业园3号厂房一层</w:t>
            </w:r>
          </w:p>
        </w:tc>
      </w:tr>
      <w:tr w14:paraId="66A381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24" w:type="dxa"/>
            <w:tcMar>
              <w:top w:w="16" w:type="dxa"/>
              <w:left w:w="16" w:type="dxa"/>
              <w:right w:w="16" w:type="dxa"/>
            </w:tcMar>
            <w:vAlign w:val="center"/>
          </w:tcPr>
          <w:p w14:paraId="52A94641">
            <w:pPr>
              <w:adjustRightInd w:val="0"/>
              <w:snapToGrid w:val="0"/>
              <w:jc w:val="center"/>
              <w:rPr>
                <w:sz w:val="24"/>
              </w:rPr>
            </w:pPr>
            <w:r>
              <w:rPr>
                <w:sz w:val="24"/>
              </w:rPr>
              <w:t>地理坐标</w:t>
            </w:r>
          </w:p>
        </w:tc>
        <w:tc>
          <w:tcPr>
            <w:tcW w:w="8028" w:type="dxa"/>
            <w:gridSpan w:val="3"/>
            <w:vAlign w:val="center"/>
          </w:tcPr>
          <w:p w14:paraId="42F9078D">
            <w:pPr>
              <w:jc w:val="center"/>
              <w:rPr>
                <w:sz w:val="24"/>
              </w:rPr>
            </w:pPr>
            <w:r>
              <w:rPr>
                <w:sz w:val="24"/>
                <w:highlight w:val="none"/>
              </w:rPr>
              <w:t>（</w:t>
            </w:r>
            <w:r>
              <w:rPr>
                <w:sz w:val="24"/>
                <w:highlight w:val="none"/>
                <w:u w:val="single"/>
              </w:rPr>
              <w:t xml:space="preserve"> 11</w:t>
            </w:r>
            <w:r>
              <w:rPr>
                <w:rFonts w:hint="eastAsia"/>
                <w:sz w:val="24"/>
                <w:highlight w:val="none"/>
                <w:u w:val="single"/>
                <w:lang w:val="en-US" w:eastAsia="zh-CN"/>
              </w:rPr>
              <w:t>7</w:t>
            </w:r>
            <w:r>
              <w:rPr>
                <w:sz w:val="24"/>
                <w:highlight w:val="none"/>
                <w:u w:val="single"/>
              </w:rPr>
              <w:t xml:space="preserve"> </w:t>
            </w:r>
            <w:r>
              <w:rPr>
                <w:sz w:val="24"/>
                <w:highlight w:val="none"/>
              </w:rPr>
              <w:t>度</w:t>
            </w:r>
            <w:r>
              <w:rPr>
                <w:sz w:val="24"/>
                <w:highlight w:val="none"/>
                <w:u w:val="single"/>
              </w:rPr>
              <w:t xml:space="preserve"> </w:t>
            </w:r>
            <w:r>
              <w:rPr>
                <w:rFonts w:hint="eastAsia"/>
                <w:sz w:val="24"/>
                <w:highlight w:val="none"/>
                <w:u w:val="single"/>
                <w:lang w:val="en-US" w:eastAsia="zh-CN"/>
              </w:rPr>
              <w:t>38</w:t>
            </w:r>
            <w:r>
              <w:rPr>
                <w:sz w:val="24"/>
                <w:highlight w:val="none"/>
                <w:u w:val="single"/>
              </w:rPr>
              <w:t xml:space="preserve"> </w:t>
            </w:r>
            <w:r>
              <w:rPr>
                <w:sz w:val="24"/>
                <w:highlight w:val="none"/>
              </w:rPr>
              <w:t>分</w:t>
            </w:r>
            <w:r>
              <w:rPr>
                <w:sz w:val="24"/>
                <w:highlight w:val="none"/>
                <w:u w:val="single"/>
              </w:rPr>
              <w:t xml:space="preserve"> </w:t>
            </w:r>
            <w:r>
              <w:rPr>
                <w:rFonts w:hint="eastAsia"/>
                <w:sz w:val="24"/>
                <w:highlight w:val="none"/>
                <w:u w:val="single"/>
                <w:lang w:val="en-US" w:eastAsia="zh-CN"/>
              </w:rPr>
              <w:t xml:space="preserve">59.044 </w:t>
            </w:r>
            <w:r>
              <w:rPr>
                <w:sz w:val="24"/>
                <w:highlight w:val="none"/>
              </w:rPr>
              <w:t>秒，</w:t>
            </w:r>
            <w:r>
              <w:rPr>
                <w:sz w:val="24"/>
                <w:highlight w:val="none"/>
                <w:u w:val="single"/>
              </w:rPr>
              <w:t xml:space="preserve"> 3</w:t>
            </w:r>
            <w:r>
              <w:rPr>
                <w:rFonts w:hint="eastAsia"/>
                <w:sz w:val="24"/>
                <w:highlight w:val="none"/>
                <w:u w:val="single"/>
                <w:lang w:val="en-US" w:eastAsia="zh-CN"/>
              </w:rPr>
              <w:t>0</w:t>
            </w:r>
            <w:r>
              <w:rPr>
                <w:sz w:val="24"/>
                <w:highlight w:val="none"/>
                <w:u w:val="single"/>
              </w:rPr>
              <w:t xml:space="preserve"> </w:t>
            </w:r>
            <w:r>
              <w:rPr>
                <w:sz w:val="24"/>
                <w:highlight w:val="none"/>
              </w:rPr>
              <w:t>度</w:t>
            </w:r>
            <w:r>
              <w:rPr>
                <w:sz w:val="24"/>
                <w:highlight w:val="none"/>
                <w:u w:val="single"/>
              </w:rPr>
              <w:t xml:space="preserve"> </w:t>
            </w:r>
            <w:r>
              <w:rPr>
                <w:rFonts w:hint="eastAsia"/>
                <w:sz w:val="24"/>
                <w:highlight w:val="none"/>
                <w:u w:val="single"/>
                <w:lang w:val="en-US" w:eastAsia="zh-CN"/>
              </w:rPr>
              <w:t>44</w:t>
            </w:r>
            <w:r>
              <w:rPr>
                <w:sz w:val="24"/>
                <w:highlight w:val="none"/>
                <w:u w:val="single"/>
              </w:rPr>
              <w:t xml:space="preserve"> </w:t>
            </w:r>
            <w:r>
              <w:rPr>
                <w:sz w:val="24"/>
                <w:highlight w:val="none"/>
              </w:rPr>
              <w:t>分</w:t>
            </w:r>
            <w:r>
              <w:rPr>
                <w:sz w:val="24"/>
                <w:highlight w:val="none"/>
                <w:u w:val="single"/>
              </w:rPr>
              <w:t xml:space="preserve"> </w:t>
            </w:r>
            <w:r>
              <w:rPr>
                <w:rFonts w:hint="eastAsia"/>
                <w:sz w:val="24"/>
                <w:highlight w:val="none"/>
                <w:u w:val="single"/>
                <w:lang w:val="en-US" w:eastAsia="zh-CN"/>
              </w:rPr>
              <w:t>39.977</w:t>
            </w:r>
            <w:r>
              <w:rPr>
                <w:sz w:val="24"/>
                <w:highlight w:val="none"/>
                <w:u w:val="single"/>
              </w:rPr>
              <w:t xml:space="preserve"> </w:t>
            </w:r>
            <w:r>
              <w:rPr>
                <w:sz w:val="24"/>
                <w:highlight w:val="none"/>
              </w:rPr>
              <w:t>秒）</w:t>
            </w:r>
          </w:p>
        </w:tc>
      </w:tr>
      <w:tr w14:paraId="49C251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1" w:hRule="atLeast"/>
          <w:jc w:val="center"/>
        </w:trPr>
        <w:tc>
          <w:tcPr>
            <w:tcW w:w="1024" w:type="dxa"/>
            <w:tcMar>
              <w:top w:w="16" w:type="dxa"/>
              <w:left w:w="16" w:type="dxa"/>
              <w:right w:w="16" w:type="dxa"/>
            </w:tcMar>
            <w:vAlign w:val="center"/>
          </w:tcPr>
          <w:p w14:paraId="7C41BC8A">
            <w:pPr>
              <w:adjustRightInd w:val="0"/>
              <w:snapToGrid w:val="0"/>
              <w:jc w:val="center"/>
              <w:rPr>
                <w:sz w:val="24"/>
              </w:rPr>
            </w:pPr>
            <w:r>
              <w:rPr>
                <w:sz w:val="24"/>
              </w:rPr>
              <w:t>国民经济行业类别</w:t>
            </w:r>
          </w:p>
        </w:tc>
        <w:tc>
          <w:tcPr>
            <w:tcW w:w="1743" w:type="dxa"/>
            <w:vAlign w:val="center"/>
          </w:tcPr>
          <w:p w14:paraId="00EAFCBD">
            <w:pPr>
              <w:adjustRightInd w:val="0"/>
              <w:snapToGrid w:val="0"/>
              <w:jc w:val="center"/>
              <w:rPr>
                <w:rFonts w:hint="eastAsia"/>
                <w:sz w:val="24"/>
              </w:rPr>
            </w:pPr>
            <w:r>
              <w:rPr>
                <w:rFonts w:hint="eastAsia"/>
                <w:sz w:val="24"/>
              </w:rPr>
              <w:t>C3974显示器件制造</w:t>
            </w:r>
          </w:p>
          <w:p w14:paraId="70C78D76">
            <w:pPr>
              <w:adjustRightInd w:val="0"/>
              <w:snapToGrid w:val="0"/>
              <w:jc w:val="center"/>
              <w:rPr>
                <w:rFonts w:hint="default" w:eastAsia="宋体"/>
                <w:sz w:val="24"/>
                <w:lang w:val="en-US" w:eastAsia="zh-CN"/>
              </w:rPr>
            </w:pPr>
            <w:r>
              <w:rPr>
                <w:rFonts w:hint="eastAsia"/>
                <w:sz w:val="24"/>
              </w:rPr>
              <w:t>C3</w:t>
            </w:r>
            <w:r>
              <w:rPr>
                <w:rFonts w:hint="eastAsia"/>
                <w:sz w:val="24"/>
                <w:lang w:val="en-US" w:eastAsia="zh-CN"/>
              </w:rPr>
              <w:t>871电光源制造</w:t>
            </w:r>
          </w:p>
        </w:tc>
        <w:tc>
          <w:tcPr>
            <w:tcW w:w="2496" w:type="dxa"/>
            <w:vAlign w:val="center"/>
          </w:tcPr>
          <w:p w14:paraId="51EE82DA">
            <w:pPr>
              <w:adjustRightInd w:val="0"/>
              <w:snapToGrid w:val="0"/>
              <w:jc w:val="center"/>
              <w:rPr>
                <w:sz w:val="24"/>
              </w:rPr>
            </w:pPr>
            <w:bookmarkStart w:id="1" w:name="_Hlk49843745"/>
            <w:r>
              <w:rPr>
                <w:sz w:val="24"/>
              </w:rPr>
              <w:t>建设项目</w:t>
            </w:r>
          </w:p>
          <w:p w14:paraId="461EB4C5">
            <w:pPr>
              <w:adjustRightInd w:val="0"/>
              <w:snapToGrid w:val="0"/>
              <w:jc w:val="center"/>
              <w:rPr>
                <w:sz w:val="24"/>
              </w:rPr>
            </w:pPr>
            <w:r>
              <w:rPr>
                <w:sz w:val="24"/>
              </w:rPr>
              <w:t>行业类别</w:t>
            </w:r>
            <w:bookmarkEnd w:id="1"/>
          </w:p>
        </w:tc>
        <w:tc>
          <w:tcPr>
            <w:tcW w:w="3789" w:type="dxa"/>
            <w:vAlign w:val="center"/>
          </w:tcPr>
          <w:p w14:paraId="6528466B">
            <w:pPr>
              <w:adjustRightInd w:val="0"/>
              <w:snapToGrid w:val="0"/>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三十六、计算机、通信和其他电子设备制造业39-80电子器件制造397-显示器件制造；集成电路制造；使用有机溶剂的；有酸洗的以上均不含仅分割、焊接、组装的</w:t>
            </w:r>
          </w:p>
          <w:p w14:paraId="314C9482">
            <w:pPr>
              <w:adjustRightInd w:val="0"/>
              <w:snapToGrid w:val="0"/>
              <w:jc w:val="center"/>
              <w:rPr>
                <w:rFonts w:hint="eastAsia"/>
                <w:lang w:val="en-US" w:eastAsia="zh-CN"/>
              </w:rPr>
            </w:pPr>
            <w:r>
              <w:rPr>
                <w:rFonts w:hint="eastAsia" w:ascii="Times New Roman" w:hAnsi="Times New Roman" w:eastAsia="宋体" w:cs="Times New Roman"/>
                <w:sz w:val="21"/>
                <w:szCs w:val="21"/>
              </w:rPr>
              <w:t>三十五、电气机械和器材制造业38-</w:t>
            </w:r>
            <w:r>
              <w:rPr>
                <w:rFonts w:hint="eastAsia" w:cs="Times New Roman"/>
                <w:sz w:val="21"/>
                <w:szCs w:val="21"/>
                <w:lang w:val="en-US" w:eastAsia="zh-CN"/>
              </w:rPr>
              <w:t>77</w:t>
            </w:r>
            <w:r>
              <w:rPr>
                <w:rFonts w:hint="eastAsia" w:ascii="Times New Roman" w:hAnsi="Times New Roman" w:eastAsia="宋体" w:cs="Times New Roman"/>
                <w:sz w:val="21"/>
                <w:szCs w:val="21"/>
              </w:rPr>
              <w:t>照明器具制造387-其他（仅分割、焊接、组装的除外；年用非溶剂型低VOCs含量涂料10吨以下的除外）</w:t>
            </w:r>
          </w:p>
        </w:tc>
      </w:tr>
      <w:tr w14:paraId="75A847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1219" w:hRule="atLeast"/>
          <w:jc w:val="center"/>
        </w:trPr>
        <w:tc>
          <w:tcPr>
            <w:tcW w:w="1024" w:type="dxa"/>
            <w:tcMar>
              <w:top w:w="16" w:type="dxa"/>
              <w:left w:w="16" w:type="dxa"/>
              <w:right w:w="16" w:type="dxa"/>
            </w:tcMar>
            <w:vAlign w:val="center"/>
          </w:tcPr>
          <w:p w14:paraId="3EAF5C45">
            <w:pPr>
              <w:adjustRightInd w:val="0"/>
              <w:snapToGrid w:val="0"/>
              <w:jc w:val="center"/>
              <w:rPr>
                <w:sz w:val="24"/>
              </w:rPr>
            </w:pPr>
            <w:r>
              <w:rPr>
                <w:sz w:val="24"/>
              </w:rPr>
              <w:t>建设性质</w:t>
            </w:r>
          </w:p>
        </w:tc>
        <w:tc>
          <w:tcPr>
            <w:tcW w:w="1743" w:type="dxa"/>
            <w:vAlign w:val="center"/>
          </w:tcPr>
          <w:p w14:paraId="68739184">
            <w:pPr>
              <w:jc w:val="left"/>
              <w:rPr>
                <w:szCs w:val="21"/>
              </w:rPr>
            </w:pPr>
            <w:r>
              <w:rPr>
                <w:rFonts w:eastAsia="等线"/>
                <w:szCs w:val="21"/>
              </w:rPr>
              <w:sym w:font="Wingdings" w:char="F0FE"/>
            </w:r>
            <w:r>
              <w:rPr>
                <w:szCs w:val="21"/>
              </w:rPr>
              <w:t>新建（迁建）</w:t>
            </w:r>
          </w:p>
          <w:p w14:paraId="34A2559D">
            <w:pPr>
              <w:jc w:val="left"/>
              <w:rPr>
                <w:szCs w:val="21"/>
              </w:rPr>
            </w:pPr>
            <w:r>
              <w:rPr>
                <w:szCs w:val="21"/>
              </w:rPr>
              <w:t>□改建</w:t>
            </w:r>
          </w:p>
          <w:p w14:paraId="52BB27A6">
            <w:pPr>
              <w:jc w:val="left"/>
              <w:rPr>
                <w:szCs w:val="21"/>
              </w:rPr>
            </w:pPr>
            <w:r>
              <w:rPr>
                <w:szCs w:val="21"/>
              </w:rPr>
              <w:t>□扩建</w:t>
            </w:r>
          </w:p>
          <w:p w14:paraId="70ECED4F">
            <w:pPr>
              <w:jc w:val="left"/>
              <w:rPr>
                <w:szCs w:val="21"/>
              </w:rPr>
            </w:pPr>
            <w:r>
              <w:rPr>
                <w:szCs w:val="21"/>
              </w:rPr>
              <w:t>□技术改造</w:t>
            </w:r>
          </w:p>
        </w:tc>
        <w:tc>
          <w:tcPr>
            <w:tcW w:w="2496" w:type="dxa"/>
            <w:vAlign w:val="center"/>
          </w:tcPr>
          <w:p w14:paraId="4C58E004">
            <w:pPr>
              <w:adjustRightInd w:val="0"/>
              <w:snapToGrid w:val="0"/>
              <w:jc w:val="center"/>
              <w:rPr>
                <w:sz w:val="24"/>
              </w:rPr>
            </w:pPr>
            <w:r>
              <w:rPr>
                <w:sz w:val="24"/>
              </w:rPr>
              <w:t>建设项目</w:t>
            </w:r>
          </w:p>
          <w:p w14:paraId="0896DE16">
            <w:pPr>
              <w:adjustRightInd w:val="0"/>
              <w:snapToGrid w:val="0"/>
              <w:jc w:val="center"/>
              <w:rPr>
                <w:szCs w:val="21"/>
              </w:rPr>
            </w:pPr>
            <w:r>
              <w:rPr>
                <w:sz w:val="24"/>
              </w:rPr>
              <w:t>申报情形</w:t>
            </w:r>
          </w:p>
        </w:tc>
        <w:tc>
          <w:tcPr>
            <w:tcW w:w="3789" w:type="dxa"/>
            <w:vAlign w:val="center"/>
          </w:tcPr>
          <w:p w14:paraId="1ED2A34C">
            <w:pPr>
              <w:jc w:val="left"/>
              <w:rPr>
                <w:szCs w:val="21"/>
              </w:rPr>
            </w:pPr>
            <w:r>
              <w:rPr>
                <w:szCs w:val="21"/>
              </w:rPr>
              <w:sym w:font="Wingdings" w:char="F0FE"/>
            </w:r>
            <w:r>
              <w:rPr>
                <w:szCs w:val="21"/>
              </w:rPr>
              <w:t xml:space="preserve">首次申报项目             </w:t>
            </w:r>
          </w:p>
          <w:p w14:paraId="11CF6205">
            <w:pPr>
              <w:jc w:val="left"/>
              <w:rPr>
                <w:szCs w:val="21"/>
              </w:rPr>
            </w:pPr>
            <w:r>
              <w:rPr>
                <w:szCs w:val="21"/>
              </w:rPr>
              <w:t>□不予批准后再次申报项目</w:t>
            </w:r>
          </w:p>
          <w:p w14:paraId="5BF01143">
            <w:pPr>
              <w:jc w:val="left"/>
              <w:rPr>
                <w:szCs w:val="21"/>
              </w:rPr>
            </w:pPr>
            <w:r>
              <w:rPr>
                <w:szCs w:val="21"/>
              </w:rPr>
              <w:t xml:space="preserve">□超五年重新审核项目     </w:t>
            </w:r>
          </w:p>
          <w:p w14:paraId="23D32111">
            <w:pPr>
              <w:jc w:val="left"/>
              <w:rPr>
                <w:szCs w:val="21"/>
              </w:rPr>
            </w:pPr>
            <w:r>
              <w:rPr>
                <w:szCs w:val="21"/>
              </w:rPr>
              <w:t>□重大变动重新报批项目</w:t>
            </w:r>
          </w:p>
        </w:tc>
      </w:tr>
      <w:tr w14:paraId="0C99F2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851" w:hRule="atLeast"/>
          <w:jc w:val="center"/>
        </w:trPr>
        <w:tc>
          <w:tcPr>
            <w:tcW w:w="1024" w:type="dxa"/>
            <w:tcMar>
              <w:top w:w="16" w:type="dxa"/>
              <w:left w:w="16" w:type="dxa"/>
              <w:right w:w="16" w:type="dxa"/>
            </w:tcMar>
            <w:vAlign w:val="center"/>
          </w:tcPr>
          <w:p w14:paraId="7AD4EC8F">
            <w:pPr>
              <w:adjustRightInd w:val="0"/>
              <w:snapToGrid w:val="0"/>
              <w:jc w:val="center"/>
              <w:rPr>
                <w:sz w:val="24"/>
              </w:rPr>
            </w:pPr>
            <w:r>
              <w:rPr>
                <w:sz w:val="24"/>
              </w:rPr>
              <w:t>项目审批（核准/备案）部门（选填）</w:t>
            </w:r>
          </w:p>
        </w:tc>
        <w:tc>
          <w:tcPr>
            <w:tcW w:w="1743" w:type="dxa"/>
            <w:vAlign w:val="center"/>
          </w:tcPr>
          <w:p w14:paraId="55841159">
            <w:pPr>
              <w:adjustRightInd w:val="0"/>
              <w:snapToGrid w:val="0"/>
              <w:jc w:val="center"/>
              <w:rPr>
                <w:sz w:val="24"/>
              </w:rPr>
            </w:pPr>
            <w:r>
              <w:rPr>
                <w:rFonts w:hint="eastAsia"/>
                <w:sz w:val="24"/>
              </w:rPr>
              <w:t>皖江江南产业集中区管委会产业发展部</w:t>
            </w:r>
          </w:p>
        </w:tc>
        <w:tc>
          <w:tcPr>
            <w:tcW w:w="2496" w:type="dxa"/>
            <w:vAlign w:val="center"/>
          </w:tcPr>
          <w:p w14:paraId="469A76A6">
            <w:pPr>
              <w:adjustRightInd w:val="0"/>
              <w:snapToGrid w:val="0"/>
              <w:jc w:val="center"/>
              <w:rPr>
                <w:sz w:val="24"/>
              </w:rPr>
            </w:pPr>
            <w:r>
              <w:rPr>
                <w:sz w:val="24"/>
              </w:rPr>
              <w:t>项目审批（核准/</w:t>
            </w:r>
          </w:p>
          <w:p w14:paraId="2EC686B0">
            <w:pPr>
              <w:adjustRightInd w:val="0"/>
              <w:snapToGrid w:val="0"/>
              <w:jc w:val="center"/>
              <w:rPr>
                <w:sz w:val="24"/>
              </w:rPr>
            </w:pPr>
            <w:r>
              <w:rPr>
                <w:sz w:val="24"/>
              </w:rPr>
              <w:t>备案）文号（选填）</w:t>
            </w:r>
          </w:p>
        </w:tc>
        <w:tc>
          <w:tcPr>
            <w:tcW w:w="3789" w:type="dxa"/>
            <w:vAlign w:val="center"/>
          </w:tcPr>
          <w:p w14:paraId="1129D340">
            <w:pPr>
              <w:adjustRightInd w:val="0"/>
              <w:snapToGrid w:val="0"/>
              <w:jc w:val="center"/>
              <w:rPr>
                <w:sz w:val="24"/>
              </w:rPr>
            </w:pPr>
            <w:r>
              <w:rPr>
                <w:rFonts w:hint="eastAsia"/>
                <w:sz w:val="24"/>
              </w:rPr>
              <w:t>江南管产〔2025〕</w:t>
            </w:r>
            <w:r>
              <w:rPr>
                <w:rFonts w:hint="eastAsia"/>
                <w:sz w:val="24"/>
                <w:lang w:val="en-US" w:eastAsia="zh-CN"/>
              </w:rPr>
              <w:t>232</w:t>
            </w:r>
            <w:r>
              <w:rPr>
                <w:rFonts w:hint="eastAsia"/>
                <w:sz w:val="24"/>
              </w:rPr>
              <w:t>号</w:t>
            </w:r>
          </w:p>
        </w:tc>
      </w:tr>
      <w:tr w14:paraId="2769B05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24" w:type="dxa"/>
            <w:tcMar>
              <w:top w:w="16" w:type="dxa"/>
              <w:left w:w="16" w:type="dxa"/>
              <w:right w:w="16" w:type="dxa"/>
            </w:tcMar>
            <w:vAlign w:val="center"/>
          </w:tcPr>
          <w:p w14:paraId="08F51D15">
            <w:pPr>
              <w:adjustRightInd w:val="0"/>
              <w:snapToGrid w:val="0"/>
              <w:jc w:val="center"/>
              <w:rPr>
                <w:sz w:val="24"/>
              </w:rPr>
            </w:pPr>
            <w:r>
              <w:rPr>
                <w:sz w:val="24"/>
              </w:rPr>
              <w:t>总投资（万元）</w:t>
            </w:r>
          </w:p>
        </w:tc>
        <w:tc>
          <w:tcPr>
            <w:tcW w:w="1743" w:type="dxa"/>
            <w:vAlign w:val="center"/>
          </w:tcPr>
          <w:p w14:paraId="3E6962EE">
            <w:pPr>
              <w:adjustRightInd w:val="0"/>
              <w:snapToGrid w:val="0"/>
              <w:jc w:val="center"/>
              <w:rPr>
                <w:rFonts w:hint="default" w:eastAsia="宋体"/>
                <w:sz w:val="24"/>
                <w:lang w:val="en-US" w:eastAsia="zh-CN"/>
              </w:rPr>
            </w:pPr>
            <w:r>
              <w:rPr>
                <w:rFonts w:hint="eastAsia"/>
                <w:sz w:val="24"/>
                <w:lang w:val="en-US" w:eastAsia="zh-CN"/>
              </w:rPr>
              <w:t>35000</w:t>
            </w:r>
          </w:p>
        </w:tc>
        <w:tc>
          <w:tcPr>
            <w:tcW w:w="2496" w:type="dxa"/>
            <w:tcMar>
              <w:top w:w="16" w:type="dxa"/>
              <w:left w:w="16" w:type="dxa"/>
              <w:right w:w="16" w:type="dxa"/>
            </w:tcMar>
            <w:vAlign w:val="center"/>
          </w:tcPr>
          <w:p w14:paraId="6C05160E">
            <w:pPr>
              <w:adjustRightInd w:val="0"/>
              <w:snapToGrid w:val="0"/>
              <w:jc w:val="center"/>
              <w:rPr>
                <w:sz w:val="24"/>
              </w:rPr>
            </w:pPr>
            <w:r>
              <w:rPr>
                <w:sz w:val="24"/>
              </w:rPr>
              <w:t>环保投资（万元）</w:t>
            </w:r>
          </w:p>
        </w:tc>
        <w:tc>
          <w:tcPr>
            <w:tcW w:w="3789" w:type="dxa"/>
            <w:vAlign w:val="center"/>
          </w:tcPr>
          <w:p w14:paraId="1A2C0FDF">
            <w:pPr>
              <w:adjustRightInd w:val="0"/>
              <w:snapToGrid w:val="0"/>
              <w:jc w:val="center"/>
              <w:rPr>
                <w:rFonts w:hint="default" w:eastAsia="宋体"/>
                <w:sz w:val="24"/>
                <w:lang w:val="en-US" w:eastAsia="zh-CN"/>
              </w:rPr>
            </w:pPr>
            <w:r>
              <w:rPr>
                <w:rFonts w:hint="eastAsia"/>
                <w:sz w:val="24"/>
                <w:highlight w:val="none"/>
                <w:lang w:val="en-US" w:eastAsia="zh-CN"/>
              </w:rPr>
              <w:t>43</w:t>
            </w:r>
          </w:p>
        </w:tc>
      </w:tr>
      <w:tr w14:paraId="05791F2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24" w:type="dxa"/>
            <w:tcMar>
              <w:top w:w="16" w:type="dxa"/>
              <w:left w:w="16" w:type="dxa"/>
              <w:right w:w="16" w:type="dxa"/>
            </w:tcMar>
            <w:vAlign w:val="center"/>
          </w:tcPr>
          <w:p w14:paraId="1C9F84CD">
            <w:pPr>
              <w:adjustRightInd w:val="0"/>
              <w:snapToGrid w:val="0"/>
              <w:jc w:val="center"/>
              <w:rPr>
                <w:sz w:val="24"/>
              </w:rPr>
            </w:pPr>
            <w:r>
              <w:rPr>
                <w:sz w:val="24"/>
              </w:rPr>
              <w:t>环保投资占比（%）</w:t>
            </w:r>
          </w:p>
        </w:tc>
        <w:tc>
          <w:tcPr>
            <w:tcW w:w="1743" w:type="dxa"/>
            <w:vAlign w:val="center"/>
          </w:tcPr>
          <w:p w14:paraId="2EB67BF9">
            <w:pPr>
              <w:adjustRightInd w:val="0"/>
              <w:snapToGrid w:val="0"/>
              <w:jc w:val="center"/>
              <w:rPr>
                <w:rFonts w:hint="default" w:eastAsia="宋体"/>
                <w:sz w:val="24"/>
                <w:lang w:val="en-US" w:eastAsia="zh-CN"/>
              </w:rPr>
            </w:pPr>
            <w:r>
              <w:rPr>
                <w:rFonts w:hint="eastAsia"/>
                <w:sz w:val="24"/>
                <w:highlight w:val="none"/>
                <w:lang w:val="en-US" w:eastAsia="zh-CN"/>
              </w:rPr>
              <w:t>0.12</w:t>
            </w:r>
          </w:p>
        </w:tc>
        <w:tc>
          <w:tcPr>
            <w:tcW w:w="2496" w:type="dxa"/>
            <w:tcMar>
              <w:top w:w="16" w:type="dxa"/>
              <w:left w:w="16" w:type="dxa"/>
              <w:right w:w="16" w:type="dxa"/>
            </w:tcMar>
            <w:vAlign w:val="center"/>
          </w:tcPr>
          <w:p w14:paraId="29BECE95">
            <w:pPr>
              <w:adjustRightInd w:val="0"/>
              <w:snapToGrid w:val="0"/>
              <w:jc w:val="center"/>
              <w:rPr>
                <w:sz w:val="24"/>
              </w:rPr>
            </w:pPr>
            <w:r>
              <w:rPr>
                <w:sz w:val="24"/>
              </w:rPr>
              <w:t>施工工期</w:t>
            </w:r>
          </w:p>
        </w:tc>
        <w:tc>
          <w:tcPr>
            <w:tcW w:w="3789" w:type="dxa"/>
            <w:vAlign w:val="center"/>
          </w:tcPr>
          <w:p w14:paraId="1807FCC7">
            <w:pPr>
              <w:adjustRightInd w:val="0"/>
              <w:snapToGrid w:val="0"/>
              <w:jc w:val="center"/>
              <w:rPr>
                <w:sz w:val="24"/>
              </w:rPr>
            </w:pPr>
            <w:r>
              <w:rPr>
                <w:sz w:val="24"/>
              </w:rPr>
              <w:t>6</w:t>
            </w:r>
            <w:r>
              <w:rPr>
                <w:rFonts w:hint="eastAsia"/>
                <w:sz w:val="24"/>
              </w:rPr>
              <w:t>个月</w:t>
            </w:r>
          </w:p>
        </w:tc>
      </w:tr>
      <w:tr w14:paraId="14D056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97" w:hRule="atLeast"/>
          <w:jc w:val="center"/>
        </w:trPr>
        <w:tc>
          <w:tcPr>
            <w:tcW w:w="1024" w:type="dxa"/>
            <w:tcMar>
              <w:top w:w="16" w:type="dxa"/>
              <w:left w:w="16" w:type="dxa"/>
              <w:right w:w="16" w:type="dxa"/>
            </w:tcMar>
            <w:vAlign w:val="center"/>
          </w:tcPr>
          <w:p w14:paraId="12AE0D18">
            <w:pPr>
              <w:adjustRightInd w:val="0"/>
              <w:snapToGrid w:val="0"/>
              <w:jc w:val="center"/>
              <w:rPr>
                <w:sz w:val="24"/>
              </w:rPr>
            </w:pPr>
            <w:r>
              <w:rPr>
                <w:sz w:val="24"/>
              </w:rPr>
              <w:t>是否开工建设</w:t>
            </w:r>
          </w:p>
        </w:tc>
        <w:tc>
          <w:tcPr>
            <w:tcW w:w="1743" w:type="dxa"/>
            <w:vAlign w:val="center"/>
          </w:tcPr>
          <w:p w14:paraId="3A38FBFB">
            <w:pPr>
              <w:adjustRightInd w:val="0"/>
              <w:snapToGrid w:val="0"/>
              <w:rPr>
                <w:sz w:val="24"/>
              </w:rPr>
            </w:pPr>
            <w:r>
              <w:rPr>
                <w:sz w:val="24"/>
              </w:rPr>
              <w:sym w:font="Wingdings" w:char="F0FE"/>
            </w:r>
            <w:r>
              <w:rPr>
                <w:sz w:val="24"/>
              </w:rPr>
              <w:t>否</w:t>
            </w:r>
          </w:p>
          <w:p w14:paraId="372790BE">
            <w:pPr>
              <w:adjustRightInd w:val="0"/>
              <w:snapToGrid w:val="0"/>
              <w:rPr>
                <w:sz w:val="24"/>
              </w:rPr>
            </w:pPr>
            <w:r>
              <w:rPr>
                <w:sz w:val="24"/>
              </w:rPr>
              <w:sym w:font="Wingdings 2" w:char="00A3"/>
            </w:r>
            <w:r>
              <w:rPr>
                <w:sz w:val="24"/>
              </w:rPr>
              <w:t>是：</w:t>
            </w:r>
            <w:r>
              <w:rPr>
                <w:sz w:val="24"/>
                <w:u w:val="single"/>
              </w:rPr>
              <w:t xml:space="preserve">             </w:t>
            </w:r>
          </w:p>
        </w:tc>
        <w:tc>
          <w:tcPr>
            <w:tcW w:w="2496" w:type="dxa"/>
            <w:tcMar>
              <w:top w:w="16" w:type="dxa"/>
              <w:left w:w="16" w:type="dxa"/>
              <w:right w:w="16" w:type="dxa"/>
            </w:tcMar>
            <w:vAlign w:val="center"/>
          </w:tcPr>
          <w:p w14:paraId="0FE4DCA4">
            <w:pPr>
              <w:adjustRightInd w:val="0"/>
              <w:snapToGrid w:val="0"/>
              <w:jc w:val="center"/>
              <w:rPr>
                <w:sz w:val="24"/>
              </w:rPr>
            </w:pPr>
            <w:r>
              <w:rPr>
                <w:spacing w:val="-6"/>
                <w:sz w:val="24"/>
              </w:rPr>
              <w:t>用地面积（m</w:t>
            </w:r>
            <w:r>
              <w:rPr>
                <w:spacing w:val="-6"/>
                <w:sz w:val="24"/>
                <w:vertAlign w:val="superscript"/>
              </w:rPr>
              <w:t>2</w:t>
            </w:r>
            <w:r>
              <w:rPr>
                <w:spacing w:val="-6"/>
                <w:sz w:val="24"/>
              </w:rPr>
              <w:t>）</w:t>
            </w:r>
          </w:p>
        </w:tc>
        <w:tc>
          <w:tcPr>
            <w:tcW w:w="3789" w:type="dxa"/>
            <w:vAlign w:val="center"/>
          </w:tcPr>
          <w:p w14:paraId="59F13021">
            <w:pPr>
              <w:adjustRightInd w:val="0"/>
              <w:snapToGrid w:val="0"/>
              <w:jc w:val="center"/>
              <w:rPr>
                <w:rFonts w:hint="default" w:eastAsia="宋体"/>
                <w:sz w:val="24"/>
                <w:lang w:val="en-US" w:eastAsia="zh-CN"/>
              </w:rPr>
            </w:pPr>
            <w:r>
              <w:rPr>
                <w:rFonts w:hint="eastAsia"/>
                <w:sz w:val="24"/>
                <w:lang w:val="en-US" w:eastAsia="zh-CN"/>
              </w:rPr>
              <w:t>4400</w:t>
            </w:r>
          </w:p>
        </w:tc>
      </w:tr>
      <w:tr w14:paraId="5008CF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024" w:type="dxa"/>
            <w:vAlign w:val="center"/>
          </w:tcPr>
          <w:p w14:paraId="179ED722">
            <w:pPr>
              <w:autoSpaceDE w:val="0"/>
              <w:autoSpaceDN w:val="0"/>
              <w:adjustRightInd w:val="0"/>
              <w:snapToGrid w:val="0"/>
              <w:jc w:val="center"/>
              <w:rPr>
                <w:kern w:val="0"/>
                <w:sz w:val="24"/>
              </w:rPr>
            </w:pPr>
            <w:r>
              <w:rPr>
                <w:kern w:val="0"/>
                <w:sz w:val="24"/>
              </w:rPr>
              <w:t>专项评价设置情况</w:t>
            </w:r>
          </w:p>
        </w:tc>
        <w:tc>
          <w:tcPr>
            <w:tcW w:w="8028" w:type="dxa"/>
            <w:gridSpan w:val="3"/>
            <w:vAlign w:val="center"/>
          </w:tcPr>
          <w:p w14:paraId="43AFF2F7">
            <w:pPr>
              <w:autoSpaceDE w:val="0"/>
              <w:autoSpaceDN w:val="0"/>
              <w:adjustRightInd w:val="0"/>
              <w:snapToGrid w:val="0"/>
              <w:jc w:val="center"/>
              <w:rPr>
                <w:kern w:val="0"/>
                <w:sz w:val="24"/>
              </w:rPr>
            </w:pPr>
            <w:r>
              <w:rPr>
                <w:kern w:val="0"/>
                <w:sz w:val="24"/>
              </w:rPr>
              <w:t>无</w:t>
            </w:r>
          </w:p>
        </w:tc>
      </w:tr>
      <w:tr w14:paraId="7F1757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024" w:type="dxa"/>
            <w:vAlign w:val="center"/>
          </w:tcPr>
          <w:p w14:paraId="7D164F9C">
            <w:pPr>
              <w:autoSpaceDE w:val="0"/>
              <w:autoSpaceDN w:val="0"/>
              <w:adjustRightInd w:val="0"/>
              <w:snapToGrid w:val="0"/>
              <w:jc w:val="center"/>
              <w:rPr>
                <w:kern w:val="0"/>
                <w:sz w:val="24"/>
              </w:rPr>
            </w:pPr>
            <w:r>
              <w:rPr>
                <w:sz w:val="24"/>
              </w:rPr>
              <w:t>规划情况</w:t>
            </w:r>
          </w:p>
        </w:tc>
        <w:tc>
          <w:tcPr>
            <w:tcW w:w="8028" w:type="dxa"/>
            <w:gridSpan w:val="3"/>
            <w:vAlign w:val="center"/>
          </w:tcPr>
          <w:p w14:paraId="4FBA515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kern w:val="0"/>
                <w:sz w:val="24"/>
              </w:rPr>
            </w:pPr>
            <w:r>
              <w:rPr>
                <w:rFonts w:hint="eastAsia"/>
                <w:kern w:val="0"/>
                <w:sz w:val="24"/>
              </w:rPr>
              <w:t>规划名称：</w:t>
            </w:r>
            <w:r>
              <w:rPr>
                <w:rFonts w:hint="default" w:ascii="Times New Roman" w:hAnsi="Times New Roman" w:cs="Times New Roman"/>
                <w:color w:val="auto"/>
                <w:sz w:val="24"/>
                <w:szCs w:val="24"/>
                <w:highlight w:val="none"/>
              </w:rPr>
              <w:t>《安徽省江南产业集中区总体规划（2017-2030）》</w:t>
            </w:r>
            <w:r>
              <w:rPr>
                <w:rFonts w:hint="eastAsia"/>
                <w:kern w:val="0"/>
                <w:sz w:val="24"/>
              </w:rPr>
              <w:t>；</w:t>
            </w:r>
          </w:p>
          <w:p w14:paraId="7E0534A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kern w:val="0"/>
                <w:sz w:val="24"/>
              </w:rPr>
            </w:pPr>
            <w:r>
              <w:rPr>
                <w:rFonts w:hint="eastAsia"/>
                <w:kern w:val="0"/>
                <w:sz w:val="24"/>
              </w:rPr>
              <w:t>审批机关：</w:t>
            </w:r>
            <w:r>
              <w:rPr>
                <w:rFonts w:hint="eastAsia"/>
                <w:kern w:val="0"/>
                <w:sz w:val="24"/>
                <w:lang w:val="en-US" w:eastAsia="zh-CN"/>
              </w:rPr>
              <w:t>安徽省</w:t>
            </w:r>
            <w:r>
              <w:rPr>
                <w:rFonts w:hint="eastAsia"/>
                <w:kern w:val="0"/>
                <w:sz w:val="24"/>
              </w:rPr>
              <w:t>人民政府；</w:t>
            </w:r>
          </w:p>
          <w:p w14:paraId="5BF91E9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cs="Times New Roman"/>
                <w:color w:val="auto"/>
                <w:sz w:val="24"/>
                <w:szCs w:val="24"/>
                <w:highlight w:val="none"/>
                <w:lang w:val="en-US" w:eastAsia="zh-CN"/>
              </w:rPr>
            </w:pPr>
            <w:r>
              <w:rPr>
                <w:rFonts w:hint="default" w:ascii="Times New Roman" w:hAnsi="Times New Roman" w:cs="Times New Roman"/>
                <w:color w:val="auto"/>
                <w:sz w:val="24"/>
                <w:szCs w:val="24"/>
                <w:highlight w:val="none"/>
              </w:rPr>
              <w:t>审查文件名称及文号：</w:t>
            </w:r>
            <w:r>
              <w:rPr>
                <w:rFonts w:hint="eastAsia" w:cs="Times New Roman"/>
                <w:color w:val="auto"/>
                <w:sz w:val="24"/>
                <w:szCs w:val="24"/>
                <w:highlight w:val="none"/>
                <w:lang w:val="en-US" w:eastAsia="zh-CN"/>
              </w:rPr>
              <w:t>《安徽省人民政府关于同意安徽省江南产业集中区总体规划的批复》（皖政秘〔2016〕138号）</w:t>
            </w:r>
          </w:p>
          <w:p w14:paraId="1F9A2B5E">
            <w:pPr>
              <w:autoSpaceDE w:val="0"/>
              <w:autoSpaceDN w:val="0"/>
              <w:adjustRightInd w:val="0"/>
              <w:snapToGrid w:val="0"/>
              <w:spacing w:before="0" w:beforeLines="-2147483648" w:line="360" w:lineRule="auto"/>
              <w:ind w:firstLine="480" w:firstLineChars="200"/>
              <w:rPr>
                <w:rFonts w:hint="eastAsia"/>
                <w:color w:val="auto"/>
                <w:kern w:val="0"/>
                <w:sz w:val="24"/>
              </w:rPr>
            </w:pPr>
          </w:p>
          <w:p w14:paraId="224E8090">
            <w:pPr>
              <w:autoSpaceDE w:val="0"/>
              <w:autoSpaceDN w:val="0"/>
              <w:adjustRightInd w:val="0"/>
              <w:snapToGrid w:val="0"/>
              <w:spacing w:before="0" w:beforeLines="-2147483648" w:line="360" w:lineRule="auto"/>
              <w:ind w:firstLine="480" w:firstLineChars="200"/>
              <w:rPr>
                <w:color w:val="auto"/>
                <w:kern w:val="0"/>
                <w:sz w:val="24"/>
              </w:rPr>
            </w:pPr>
            <w:r>
              <w:rPr>
                <w:rFonts w:hint="eastAsia"/>
                <w:color w:val="auto"/>
                <w:kern w:val="0"/>
                <w:sz w:val="24"/>
              </w:rPr>
              <w:t>规划名称：《安徽省江南产业集中区产业发展规划（2019-2030年）》</w:t>
            </w:r>
          </w:p>
          <w:p w14:paraId="030A0B7B">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cs="Times New Roman"/>
                <w:color w:val="auto"/>
                <w:sz w:val="24"/>
                <w:szCs w:val="24"/>
                <w:highlight w:val="none"/>
                <w:lang w:val="en-US" w:eastAsia="zh-CN"/>
              </w:rPr>
            </w:pPr>
            <w:r>
              <w:rPr>
                <w:rFonts w:hint="eastAsia"/>
                <w:color w:val="auto"/>
                <w:kern w:val="0"/>
                <w:sz w:val="24"/>
              </w:rPr>
              <w:t>审批机关：</w:t>
            </w:r>
            <w:r>
              <w:rPr>
                <w:rFonts w:hint="eastAsia"/>
                <w:color w:val="auto"/>
                <w:kern w:val="0"/>
                <w:sz w:val="24"/>
                <w:lang w:val="en-US" w:eastAsia="zh-CN"/>
              </w:rPr>
              <w:t>安徽省人民政府</w:t>
            </w:r>
          </w:p>
        </w:tc>
      </w:tr>
      <w:tr w14:paraId="2AB9BD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4" w:type="dxa"/>
            <w:vAlign w:val="center"/>
          </w:tcPr>
          <w:p w14:paraId="4F5F3FE7">
            <w:pPr>
              <w:adjustRightInd w:val="0"/>
              <w:snapToGrid w:val="0"/>
              <w:jc w:val="center"/>
              <w:rPr>
                <w:kern w:val="0"/>
                <w:sz w:val="24"/>
              </w:rPr>
            </w:pPr>
            <w:r>
              <w:rPr>
                <w:sz w:val="24"/>
              </w:rPr>
              <w:t>规划环境影响评价情况</w:t>
            </w:r>
          </w:p>
        </w:tc>
        <w:tc>
          <w:tcPr>
            <w:tcW w:w="8028" w:type="dxa"/>
            <w:gridSpan w:val="3"/>
            <w:vAlign w:val="center"/>
          </w:tcPr>
          <w:p w14:paraId="4807484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规划文件名称：《安徽省江南产业集中区总体规划环境影响报告书》；</w:t>
            </w:r>
          </w:p>
          <w:p w14:paraId="15F032F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召集审查机关：</w:t>
            </w:r>
            <w:r>
              <w:rPr>
                <w:rFonts w:hint="eastAsia" w:cs="Times New Roman"/>
                <w:color w:val="auto"/>
                <w:sz w:val="24"/>
                <w:szCs w:val="24"/>
                <w:highlight w:val="none"/>
                <w:lang w:eastAsia="zh-CN"/>
              </w:rPr>
              <w:t>原</w:t>
            </w:r>
            <w:r>
              <w:rPr>
                <w:rFonts w:hint="default" w:ascii="Times New Roman" w:hAnsi="Times New Roman" w:cs="Times New Roman"/>
                <w:color w:val="auto"/>
                <w:sz w:val="24"/>
                <w:szCs w:val="24"/>
                <w:highlight w:val="none"/>
              </w:rPr>
              <w:t>安徽省环境保护厅；</w:t>
            </w:r>
          </w:p>
          <w:p w14:paraId="12D1E17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审</w:t>
            </w:r>
            <w:r>
              <w:rPr>
                <w:rFonts w:hint="eastAsia" w:cs="Times New Roman"/>
                <w:color w:val="auto"/>
                <w:sz w:val="24"/>
                <w:szCs w:val="24"/>
                <w:highlight w:val="none"/>
                <w:lang w:val="en-US" w:eastAsia="zh-CN"/>
              </w:rPr>
              <w:t>查</w:t>
            </w:r>
            <w:r>
              <w:rPr>
                <w:rFonts w:hint="default" w:ascii="Times New Roman" w:hAnsi="Times New Roman" w:cs="Times New Roman"/>
                <w:color w:val="auto"/>
                <w:sz w:val="24"/>
                <w:szCs w:val="24"/>
                <w:highlight w:val="none"/>
              </w:rPr>
              <w:t>文件名称及文号：</w:t>
            </w:r>
            <w:r>
              <w:rPr>
                <w:rFonts w:hint="eastAsia" w:ascii="Times New Roman" w:hAnsi="Times New Roman" w:cs="Times New Roman"/>
                <w:color w:val="auto"/>
                <w:sz w:val="24"/>
                <w:szCs w:val="24"/>
                <w:highlight w:val="none"/>
                <w:lang w:eastAsia="zh-CN"/>
              </w:rPr>
              <w:t>《安徽省环保厅关于安徽省江南产业集中区总体规划环境影响报告书审查意见的函》</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以皖环函</w:t>
            </w:r>
            <w:r>
              <w:rPr>
                <w:rFonts w:hint="eastAsia" w:cs="Times New Roman"/>
                <w:color w:val="auto"/>
                <w:sz w:val="24"/>
                <w:szCs w:val="24"/>
                <w:highlight w:val="none"/>
                <w:lang w:val="en-US" w:eastAsia="zh-CN"/>
              </w:rPr>
              <w:t>〔2018〕</w:t>
            </w:r>
            <w:r>
              <w:rPr>
                <w:rFonts w:hint="eastAsia" w:ascii="Times New Roman" w:hAnsi="Times New Roman" w:cs="Times New Roman"/>
                <w:color w:val="auto"/>
                <w:sz w:val="24"/>
                <w:szCs w:val="24"/>
                <w:highlight w:val="none"/>
                <w:lang w:val="en-US" w:eastAsia="zh-CN"/>
              </w:rPr>
              <w:t>374号</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eastAsia="zh-CN"/>
              </w:rPr>
              <w:t>。</w:t>
            </w:r>
          </w:p>
          <w:p w14:paraId="4F70132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规划文件名称：《安徽省江南产业集中区产业发展规划（2019-2030年）环境影响报告书》；</w:t>
            </w:r>
          </w:p>
          <w:p w14:paraId="430B545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召集审查机关：</w:t>
            </w:r>
            <w:r>
              <w:rPr>
                <w:rFonts w:hint="eastAsia" w:cs="Times New Roman"/>
                <w:color w:val="auto"/>
                <w:sz w:val="24"/>
                <w:szCs w:val="24"/>
                <w:highlight w:val="none"/>
                <w:lang w:eastAsia="zh-CN"/>
              </w:rPr>
              <w:t>原</w:t>
            </w:r>
            <w:r>
              <w:rPr>
                <w:rFonts w:hint="default" w:ascii="Times New Roman" w:hAnsi="Times New Roman" w:cs="Times New Roman"/>
                <w:color w:val="auto"/>
                <w:sz w:val="24"/>
                <w:szCs w:val="24"/>
                <w:highlight w:val="none"/>
              </w:rPr>
              <w:t>安徽省环境保护厅；</w:t>
            </w:r>
          </w:p>
          <w:p w14:paraId="0F99F538">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pPr>
            <w:r>
              <w:rPr>
                <w:rFonts w:hint="default" w:ascii="Times New Roman" w:hAnsi="Times New Roman" w:cs="Times New Roman"/>
                <w:color w:val="auto"/>
                <w:sz w:val="24"/>
                <w:szCs w:val="24"/>
                <w:highlight w:val="none"/>
              </w:rPr>
              <w:t>审</w:t>
            </w:r>
            <w:r>
              <w:rPr>
                <w:rFonts w:hint="eastAsia" w:cs="Times New Roman"/>
                <w:color w:val="auto"/>
                <w:sz w:val="24"/>
                <w:szCs w:val="24"/>
                <w:highlight w:val="none"/>
                <w:lang w:val="en-US" w:eastAsia="zh-CN"/>
              </w:rPr>
              <w:t>查</w:t>
            </w:r>
            <w:r>
              <w:rPr>
                <w:rFonts w:hint="default" w:ascii="Times New Roman" w:hAnsi="Times New Roman" w:cs="Times New Roman"/>
                <w:color w:val="auto"/>
                <w:sz w:val="24"/>
                <w:szCs w:val="24"/>
                <w:highlight w:val="none"/>
              </w:rPr>
              <w:t>文件名称及文号：</w:t>
            </w:r>
            <w:r>
              <w:rPr>
                <w:rFonts w:hint="eastAsia" w:ascii="Times New Roman" w:hAnsi="Times New Roman" w:cs="Times New Roman"/>
                <w:color w:val="auto"/>
                <w:sz w:val="24"/>
                <w:szCs w:val="24"/>
                <w:highlight w:val="none"/>
                <w:lang w:eastAsia="zh-CN"/>
              </w:rPr>
              <w:t>《安徽省环保厅关于安徽省江南产业集中区产业发展规划（2019-2030）环境影响报告书审查意见的函》</w:t>
            </w:r>
            <w:r>
              <w:rPr>
                <w:rFonts w:hint="default" w:ascii="Times New Roman" w:hAnsi="Times New Roman" w:cs="Times New Roman"/>
                <w:color w:val="auto"/>
                <w:sz w:val="24"/>
                <w:szCs w:val="24"/>
                <w:highlight w:val="none"/>
              </w:rPr>
              <w:t>（</w:t>
            </w:r>
            <w:r>
              <w:rPr>
                <w:rFonts w:hint="eastAsia" w:ascii="Times New Roman" w:hAnsi="Times New Roman" w:cs="Times New Roman"/>
                <w:color w:val="auto"/>
                <w:sz w:val="24"/>
                <w:szCs w:val="24"/>
                <w:highlight w:val="none"/>
                <w:lang w:val="en-US" w:eastAsia="zh-CN"/>
              </w:rPr>
              <w:t>皖环函</w:t>
            </w:r>
            <w:r>
              <w:rPr>
                <w:rFonts w:hint="eastAsia" w:cs="Times New Roman"/>
                <w:color w:val="auto"/>
                <w:sz w:val="24"/>
                <w:szCs w:val="24"/>
                <w:highlight w:val="none"/>
                <w:lang w:val="en-US" w:eastAsia="zh-CN"/>
              </w:rPr>
              <w:t>〔2020〕107号</w:t>
            </w:r>
            <w:r>
              <w:rPr>
                <w:rFonts w:hint="default" w:ascii="Times New Roman" w:hAnsi="Times New Roman" w:cs="Times New Roman"/>
                <w:color w:val="auto"/>
                <w:sz w:val="24"/>
                <w:szCs w:val="24"/>
                <w:highlight w:val="none"/>
              </w:rPr>
              <w:t>）</w:t>
            </w:r>
          </w:p>
        </w:tc>
      </w:tr>
      <w:tr w14:paraId="4BD48C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24" w:type="dxa"/>
            <w:vAlign w:val="center"/>
          </w:tcPr>
          <w:p w14:paraId="03ADB5D6">
            <w:pPr>
              <w:autoSpaceDE w:val="0"/>
              <w:autoSpaceDN w:val="0"/>
              <w:adjustRightInd w:val="0"/>
              <w:snapToGrid w:val="0"/>
              <w:jc w:val="center"/>
              <w:rPr>
                <w:kern w:val="0"/>
                <w:sz w:val="24"/>
              </w:rPr>
            </w:pPr>
            <w:r>
              <w:rPr>
                <w:kern w:val="0"/>
                <w:sz w:val="24"/>
              </w:rPr>
              <w:t>规划及规划环境影响评价符合性分析</w:t>
            </w:r>
          </w:p>
        </w:tc>
        <w:tc>
          <w:tcPr>
            <w:tcW w:w="8028" w:type="dxa"/>
            <w:gridSpan w:val="3"/>
            <w:vAlign w:val="center"/>
          </w:tcPr>
          <w:p w14:paraId="30A9BD2F">
            <w:pPr>
              <w:pStyle w:val="51"/>
              <w:ind w:firstLine="482"/>
              <w:rPr>
                <w:b/>
                <w:bCs/>
              </w:rPr>
            </w:pPr>
            <w:r>
              <w:rPr>
                <w:rFonts w:hint="eastAsia"/>
                <w:b/>
                <w:bCs/>
              </w:rPr>
              <w:t>1、</w:t>
            </w:r>
            <w:r>
              <w:rPr>
                <w:rFonts w:hint="eastAsia"/>
                <w:b/>
                <w:bCs/>
                <w:lang w:val="en-US" w:eastAsia="zh-CN"/>
              </w:rPr>
              <w:t>规划</w:t>
            </w:r>
            <w:r>
              <w:rPr>
                <w:rFonts w:hint="eastAsia"/>
                <w:b/>
                <w:bCs/>
              </w:rPr>
              <w:t>符合性分析</w:t>
            </w:r>
          </w:p>
          <w:p w14:paraId="078C31AC">
            <w:pPr>
              <w:pStyle w:val="51"/>
              <w:ind w:firstLine="480"/>
              <w:rPr>
                <w:rFonts w:hint="default" w:eastAsia="宋体"/>
                <w:lang w:val="en-US" w:eastAsia="zh-CN"/>
              </w:rPr>
            </w:pPr>
            <w:r>
              <w:rPr>
                <w:rFonts w:hint="eastAsia"/>
                <w:b w:val="0"/>
                <w:bCs w:val="0"/>
                <w:lang w:eastAsia="zh-CN"/>
              </w:rPr>
              <w:t>（</w:t>
            </w:r>
            <w:r>
              <w:rPr>
                <w:rFonts w:hint="eastAsia"/>
                <w:b w:val="0"/>
                <w:bCs w:val="0"/>
                <w:lang w:val="en-US" w:eastAsia="zh-CN"/>
              </w:rPr>
              <w:t>1</w:t>
            </w:r>
            <w:r>
              <w:rPr>
                <w:rFonts w:hint="eastAsia"/>
                <w:b w:val="0"/>
                <w:bCs w:val="0"/>
                <w:lang w:eastAsia="zh-CN"/>
              </w:rPr>
              <w:t>）</w:t>
            </w:r>
            <w:r>
              <w:rPr>
                <w:rFonts w:hint="eastAsia"/>
                <w:b w:val="0"/>
                <w:bCs w:val="0"/>
                <w:lang w:val="en-US" w:eastAsia="zh-CN"/>
              </w:rPr>
              <w:t>规划范围</w:t>
            </w:r>
          </w:p>
          <w:p w14:paraId="7FA81C72">
            <w:pPr>
              <w:pStyle w:val="51"/>
              <w:ind w:firstLine="480"/>
              <w:rPr>
                <w:rFonts w:hint="eastAsia"/>
              </w:rPr>
            </w:pPr>
            <w:r>
              <w:rPr>
                <w:rFonts w:hint="default" w:ascii="Times New Roman" w:hAnsi="Times New Roman" w:eastAsia="宋体" w:cs="Times New Roman"/>
                <w:color w:val="auto"/>
                <w:sz w:val="24"/>
                <w:szCs w:val="24"/>
                <w:highlight w:val="none"/>
              </w:rPr>
              <w:t>安徽省江南产业集中区（现皖江江南新兴产业集中区）总体规划</w:t>
            </w:r>
            <w:r>
              <w:rPr>
                <w:rFonts w:hint="eastAsia"/>
              </w:rPr>
              <w:t>：北至长江，南至沿江高速、铜九铁路，西至牧之路，东至青通河，包括梅龙街道以及马衙街道、墩上街道部分地区，总体规划面积199.43平方公里（到2030年，建设用地规模控制在56.50平方公里以内），由产业集中区（建设用地规模为36.50平方公里）和城市协调发展区（建设用地规模为20.00平方公里）两部分组成。</w:t>
            </w:r>
          </w:p>
          <w:p w14:paraId="099D184F">
            <w:pPr>
              <w:pStyle w:val="51"/>
              <w:ind w:firstLine="480"/>
              <w:rPr>
                <w:rFonts w:hint="eastAsia"/>
              </w:rPr>
            </w:pPr>
            <w:r>
              <w:rPr>
                <w:rFonts w:hint="eastAsia"/>
              </w:rPr>
              <w:t>安徽省江南产业集中区（现皖江江南新兴产业集中区）产业发展规划：主要针对安徽省江南产业集中区（建设用地规模为36.50平方公里）地块开展研究，不包含城市协调发展区地块；规划不新增建设用地，规划研究内容严格控制在原集中区总体规划划定的建设用地范围之内。</w:t>
            </w:r>
          </w:p>
          <w:p w14:paraId="3CF3DE05">
            <w:pPr>
              <w:pStyle w:val="51"/>
              <w:numPr>
                <w:ilvl w:val="0"/>
                <w:numId w:val="1"/>
              </w:numPr>
              <w:ind w:firstLine="480"/>
              <w:rPr>
                <w:rFonts w:hint="eastAsia"/>
              </w:rPr>
            </w:pPr>
            <w:r>
              <w:rPr>
                <w:rFonts w:hint="eastAsia"/>
              </w:rPr>
              <w:t>规划期限</w:t>
            </w:r>
          </w:p>
          <w:p w14:paraId="0EFF2D31">
            <w:pPr>
              <w:pStyle w:val="51"/>
              <w:numPr>
                <w:ilvl w:val="0"/>
                <w:numId w:val="0"/>
              </w:numPr>
              <w:ind w:firstLine="480" w:firstLineChars="200"/>
              <w:rPr>
                <w:rFonts w:hint="eastAsia"/>
              </w:rPr>
            </w:pPr>
            <w:r>
              <w:rPr>
                <w:rFonts w:hint="eastAsia"/>
              </w:rPr>
              <w:t>安徽省江南产业集中区总体规划：近期2016-2020年，远期：2020-2030年。</w:t>
            </w:r>
          </w:p>
          <w:p w14:paraId="34B7E321">
            <w:pPr>
              <w:pStyle w:val="51"/>
              <w:numPr>
                <w:ilvl w:val="0"/>
                <w:numId w:val="0"/>
              </w:numPr>
              <w:ind w:firstLine="480" w:firstLineChars="200"/>
              <w:rPr>
                <w:rFonts w:hint="eastAsia"/>
              </w:rPr>
            </w:pPr>
            <w:r>
              <w:rPr>
                <w:rFonts w:hint="eastAsia"/>
              </w:rPr>
              <w:t>安徽省江南产业集中区产业发展规划：近期2019-2025年；远期2026-2030年。</w:t>
            </w:r>
          </w:p>
          <w:p w14:paraId="0F2F97C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kern w:val="2"/>
                <w:sz w:val="24"/>
                <w:szCs w:val="24"/>
                <w:highlight w:val="none"/>
              </w:rPr>
            </w:pPr>
            <w:r>
              <w:rPr>
                <w:rFonts w:hint="default" w:ascii="Times New Roman" w:hAnsi="Times New Roman" w:eastAsia="宋体" w:cs="Times New Roman"/>
                <w:color w:val="auto"/>
                <w:kern w:val="2"/>
                <w:sz w:val="24"/>
                <w:szCs w:val="24"/>
                <w:highlight w:val="none"/>
                <w:lang w:val="en-US" w:eastAsia="zh-CN" w:bidi="ar"/>
              </w:rPr>
              <w:t>（3）产业规划</w:t>
            </w:r>
          </w:p>
          <w:p w14:paraId="42E690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
              </w:rPr>
              <w:t>2019年5月，安徽省江南产业集中区（现皖江江南新兴产业集中区）管委会委托合肥工业大学编制了《安徽省江南产业集中区产业发展规划（2019-2030年）》</w:t>
            </w:r>
            <w:r>
              <w:rPr>
                <w:rFonts w:hint="eastAsia" w:ascii="Times New Roman" w:hAnsi="Times New Roman" w:eastAsia="宋体" w:cs="Times New Roman"/>
                <w:color w:val="auto"/>
                <w:kern w:val="2"/>
                <w:sz w:val="24"/>
                <w:szCs w:val="24"/>
                <w:highlight w:val="none"/>
                <w:lang w:val="en-US" w:eastAsia="zh-CN" w:bidi="ar"/>
              </w:rPr>
              <w:t>，规划</w:t>
            </w:r>
            <w:r>
              <w:rPr>
                <w:rFonts w:hint="default" w:ascii="Times New Roman" w:hAnsi="Times New Roman" w:eastAsia="宋体" w:cs="Times New Roman"/>
                <w:color w:val="auto"/>
                <w:kern w:val="2"/>
                <w:sz w:val="24"/>
                <w:szCs w:val="24"/>
                <w:highlight w:val="none"/>
                <w:lang w:val="en-US" w:eastAsia="zh-CN" w:bidi="ar"/>
              </w:rPr>
              <w:t>对《安徽省江南产业集中区总体规划》中主导产业进行调整，调整后主导产业门类为：机械电子、新型材料、大健康产业。</w:t>
            </w:r>
            <w:r>
              <w:rPr>
                <w:rFonts w:hint="eastAsia" w:cs="Times New Roman"/>
                <w:color w:val="auto"/>
                <w:kern w:val="2"/>
                <w:sz w:val="24"/>
                <w:szCs w:val="24"/>
                <w:highlight w:val="none"/>
                <w:lang w:val="en-US" w:eastAsia="zh-CN" w:bidi="ar"/>
              </w:rPr>
              <w:t>2019年10月16日，安徽省人民政府常务会审议通过了《进一步推动江北、江南产业集中区改革创新和高质量发展的意见》，意见明确了集中区的主导产业为机械电子产业、新型材料产业、大健康产业。</w:t>
            </w:r>
          </w:p>
          <w:p w14:paraId="2AE67766">
            <w:pPr>
              <w:pStyle w:val="51"/>
              <w:numPr>
                <w:ilvl w:val="0"/>
                <w:numId w:val="0"/>
              </w:numPr>
              <w:ind w:firstLine="480" w:firstLineChars="200"/>
              <w:rPr>
                <w:rFonts w:hint="eastAsia"/>
              </w:rPr>
            </w:pPr>
            <w:r>
              <w:rPr>
                <w:rFonts w:hint="default" w:ascii="Times New Roman" w:hAnsi="Times New Roman" w:cs="Times New Roman"/>
                <w:b w:val="0"/>
                <w:bCs w:val="0"/>
                <w:color w:val="auto"/>
                <w:sz w:val="24"/>
                <w:szCs w:val="24"/>
                <w:highlight w:val="none"/>
                <w:lang w:val="en-US" w:eastAsia="zh-CN"/>
              </w:rPr>
              <w:t>本项目主要从事LED显示模组、COB灯带的生产，属于</w:t>
            </w:r>
            <w:r>
              <w:rPr>
                <w:rFonts w:hint="eastAsia"/>
                <w:sz w:val="24"/>
                <w:szCs w:val="24"/>
              </w:rPr>
              <w:t>计算机、通信和其他电子设备制造业</w:t>
            </w:r>
            <w:r>
              <w:rPr>
                <w:rFonts w:hint="eastAsia"/>
                <w:sz w:val="24"/>
                <w:szCs w:val="24"/>
                <w:lang w:val="en-US" w:eastAsia="zh-CN"/>
              </w:rPr>
              <w:t>和电气机械和器材制造业</w:t>
            </w:r>
            <w:r>
              <w:rPr>
                <w:rFonts w:hint="default" w:ascii="Times New Roman" w:hAnsi="Times New Roman" w:cs="Times New Roman"/>
                <w:color w:val="auto"/>
                <w:sz w:val="24"/>
                <w:szCs w:val="24"/>
                <w:highlight w:val="none"/>
                <w:lang w:val="en-US" w:eastAsia="zh-CN"/>
              </w:rPr>
              <w:t>，</w:t>
            </w:r>
            <w:r>
              <w:rPr>
                <w:rFonts w:hint="default" w:ascii="Times New Roman" w:hAnsi="Times New Roman" w:cs="Times New Roman"/>
                <w:b w:val="0"/>
                <w:bCs w:val="0"/>
                <w:color w:val="auto"/>
                <w:sz w:val="24"/>
                <w:szCs w:val="24"/>
                <w:highlight w:val="none"/>
                <w:lang w:val="en-US" w:eastAsia="zh-CN"/>
              </w:rPr>
              <w:t>属于主导产业</w:t>
            </w:r>
            <w:r>
              <w:rPr>
                <w:rFonts w:hint="eastAsia" w:ascii="Times New Roman" w:hAnsi="Times New Roman" w:cs="Times New Roman"/>
                <w:b w:val="0"/>
                <w:bCs w:val="0"/>
                <w:color w:val="auto"/>
                <w:sz w:val="24"/>
                <w:szCs w:val="24"/>
                <w:highlight w:val="none"/>
                <w:lang w:val="en-US" w:eastAsia="zh-CN"/>
              </w:rPr>
              <w:t>中的机械电子产业</w:t>
            </w:r>
            <w:r>
              <w:rPr>
                <w:rFonts w:hint="default" w:ascii="Times New Roman" w:hAnsi="Times New Roman" w:cs="Times New Roman"/>
                <w:b w:val="0"/>
                <w:bCs w:val="0"/>
                <w:color w:val="auto"/>
                <w:sz w:val="24"/>
                <w:szCs w:val="24"/>
                <w:highlight w:val="none"/>
                <w:lang w:val="en-US" w:eastAsia="zh-CN"/>
              </w:rPr>
              <w:t>。</w:t>
            </w:r>
            <w:r>
              <w:rPr>
                <w:rFonts w:hint="default" w:ascii="Times New Roman" w:hAnsi="Times New Roman" w:cs="Times New Roman"/>
                <w:color w:val="auto"/>
                <w:sz w:val="24"/>
                <w:szCs w:val="24"/>
                <w:highlight w:val="none"/>
                <w:lang w:val="en-US" w:eastAsia="zh-CN"/>
              </w:rPr>
              <w:t>且根据《安徽省江南产业集中区总体规划》（2010-2030年）中规划用地布局图可知，项目用地属于工业用地（附图</w:t>
            </w:r>
            <w:r>
              <w:rPr>
                <w:rFonts w:hint="eastAsia" w:cs="Times New Roman"/>
                <w:color w:val="auto"/>
                <w:sz w:val="24"/>
                <w:szCs w:val="24"/>
                <w:highlight w:val="none"/>
                <w:lang w:val="en-US" w:eastAsia="zh-CN"/>
              </w:rPr>
              <w:t>4</w:t>
            </w:r>
            <w:r>
              <w:rPr>
                <w:rFonts w:hint="default" w:ascii="Times New Roman" w:hAnsi="Times New Roman"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。因此项目建设符合</w:t>
            </w:r>
            <w:r>
              <w:rPr>
                <w:rFonts w:hint="default" w:ascii="Times New Roman" w:hAnsi="Times New Roman" w:cs="Times New Roman"/>
                <w:color w:val="auto"/>
                <w:sz w:val="24"/>
                <w:szCs w:val="24"/>
                <w:highlight w:val="none"/>
                <w:lang w:val="en-US" w:eastAsia="zh-CN"/>
              </w:rPr>
              <w:t>《安徽省江南产业集中区总体规划》（2010-2030年）</w:t>
            </w:r>
            <w:r>
              <w:rPr>
                <w:rFonts w:hint="eastAsia" w:ascii="宋体" w:hAnsi="宋体" w:cs="宋体"/>
                <w:color w:val="000000"/>
                <w:kern w:val="0"/>
                <w:lang w:bidi="ar"/>
              </w:rPr>
              <w:t>和《安徽省江南产业集中区产业发展规划（</w:t>
            </w:r>
            <w:r>
              <w:rPr>
                <w:color w:val="000000"/>
                <w:kern w:val="0"/>
                <w:lang w:bidi="ar"/>
              </w:rPr>
              <w:t>2019~2030</w:t>
            </w:r>
            <w:r>
              <w:rPr>
                <w:rFonts w:hint="eastAsia" w:ascii="宋体" w:hAnsi="宋体" w:cs="宋体"/>
                <w:color w:val="000000"/>
                <w:kern w:val="0"/>
                <w:lang w:bidi="ar"/>
              </w:rPr>
              <w:t>）</w:t>
            </w:r>
            <w:r>
              <w:rPr>
                <w:rFonts w:hint="eastAsia" w:ascii="宋体" w:hAnsi="宋体" w:cs="宋体"/>
                <w:color w:val="000000"/>
                <w:kern w:val="0"/>
                <w:lang w:eastAsia="zh-CN" w:bidi="ar"/>
              </w:rPr>
              <w:t>》</w:t>
            </w:r>
            <w:r>
              <w:rPr>
                <w:rFonts w:hint="default" w:ascii="Times New Roman" w:hAnsi="Times New Roman" w:cs="Times New Roman"/>
                <w:color w:val="auto"/>
                <w:sz w:val="24"/>
                <w:szCs w:val="24"/>
                <w:highlight w:val="none"/>
                <w:lang w:val="en-US" w:eastAsia="zh-CN"/>
              </w:rPr>
              <w:t>。</w:t>
            </w:r>
          </w:p>
          <w:p w14:paraId="5F0F3346">
            <w:pPr>
              <w:pStyle w:val="51"/>
              <w:ind w:firstLine="482"/>
              <w:rPr>
                <w:rFonts w:hint="eastAsia" w:ascii="Times New Roman" w:hAnsi="Times New Roman" w:eastAsia="宋体" w:cs="Times New Roman"/>
                <w:b/>
                <w:bCs/>
              </w:rPr>
            </w:pPr>
            <w:r>
              <w:rPr>
                <w:rFonts w:hint="eastAsia" w:ascii="Times New Roman" w:hAnsi="Times New Roman" w:eastAsia="宋体" w:cs="Times New Roman"/>
                <w:b/>
                <w:bCs/>
                <w:lang w:val="en-US" w:eastAsia="zh-CN"/>
              </w:rPr>
              <w:t>2、</w:t>
            </w:r>
            <w:r>
              <w:rPr>
                <w:rFonts w:hint="default" w:ascii="Times New Roman" w:hAnsi="Times New Roman" w:eastAsia="宋体" w:cs="Times New Roman"/>
                <w:b/>
                <w:bCs/>
              </w:rPr>
              <w:t>规划</w:t>
            </w:r>
            <w:r>
              <w:rPr>
                <w:rFonts w:hint="default" w:ascii="Times New Roman" w:hAnsi="Times New Roman" w:eastAsia="宋体" w:cs="Times New Roman"/>
                <w:b/>
                <w:bCs/>
                <w:lang w:val="en-US" w:eastAsia="zh-CN"/>
              </w:rPr>
              <w:t>环评</w:t>
            </w:r>
            <w:r>
              <w:rPr>
                <w:rFonts w:hint="default" w:ascii="Times New Roman" w:hAnsi="Times New Roman" w:eastAsia="宋体" w:cs="Times New Roman"/>
                <w:b/>
                <w:bCs/>
              </w:rPr>
              <w:t>及审查意见</w:t>
            </w:r>
            <w:r>
              <w:rPr>
                <w:rFonts w:hint="default" w:ascii="Times New Roman" w:hAnsi="Times New Roman" w:eastAsia="宋体" w:cs="Times New Roman"/>
                <w:b/>
                <w:bCs/>
                <w:lang w:val="en-US" w:eastAsia="zh-CN"/>
              </w:rPr>
              <w:t>符</w:t>
            </w:r>
            <w:r>
              <w:rPr>
                <w:rFonts w:hint="eastAsia" w:ascii="Times New Roman" w:hAnsi="Times New Roman" w:eastAsia="宋体" w:cs="Times New Roman"/>
                <w:b/>
                <w:bCs/>
                <w:lang w:val="en-US" w:eastAsia="zh-CN"/>
              </w:rPr>
              <w:t>合</w:t>
            </w:r>
            <w:r>
              <w:rPr>
                <w:rFonts w:hint="default" w:ascii="Times New Roman" w:hAnsi="Times New Roman" w:eastAsia="宋体" w:cs="Times New Roman"/>
                <w:b/>
                <w:bCs/>
                <w:lang w:val="en-US" w:eastAsia="zh-CN"/>
              </w:rPr>
              <w:t>性分析</w:t>
            </w:r>
          </w:p>
          <w:p w14:paraId="50C35A23">
            <w:pPr>
              <w:pStyle w:val="51"/>
              <w:ind w:firstLine="480"/>
              <w:rPr>
                <w:rFonts w:hint="eastAsia" w:eastAsia="宋体"/>
                <w:lang w:eastAsia="zh-CN"/>
              </w:rPr>
            </w:pPr>
            <w:r>
              <w:rPr>
                <w:rFonts w:hint="eastAsia"/>
                <w:b/>
                <w:bCs/>
                <w:lang w:eastAsia="zh-CN"/>
              </w:rPr>
              <w:t>（</w:t>
            </w:r>
            <w:r>
              <w:rPr>
                <w:rFonts w:hint="eastAsia"/>
                <w:b/>
                <w:bCs/>
                <w:lang w:val="en-US" w:eastAsia="zh-CN"/>
              </w:rPr>
              <w:t>1</w:t>
            </w:r>
            <w:r>
              <w:rPr>
                <w:rFonts w:hint="eastAsia"/>
                <w:b/>
                <w:bCs/>
                <w:lang w:eastAsia="zh-CN"/>
              </w:rPr>
              <w:t>）与《安徽省江南产业集中区总体规划环境影响报告书》及其审查意见符合性分析</w:t>
            </w:r>
          </w:p>
          <w:p w14:paraId="69387C79">
            <w:pPr>
              <w:pStyle w:val="51"/>
              <w:ind w:firstLine="480"/>
              <w:rPr>
                <w:rFonts w:hint="eastAsia"/>
              </w:rPr>
            </w:pPr>
            <w:r>
              <w:rPr>
                <w:rFonts w:hint="eastAsia"/>
              </w:rPr>
              <w:t>2017年12月，集中区管委会委托编制完成《安徽省江南产业集中区总体规划环境影响报告书》；2018年3月27日，原安徽省环境保护厅以皖环函[2018]374号《安徽省环保厅关于安徽省江南产业集中区总体规划环境影响报告书审查意见的函》通过规划环评，同意原江南产业集中区的开发建设。本项目与《安徽省江南产业集中区总体规划环境影响报告书》及其审查意见符合性分析见下表。</w:t>
            </w:r>
          </w:p>
          <w:p w14:paraId="34502FC1">
            <w:pPr>
              <w:pStyle w:val="8"/>
              <w:ind w:left="0" w:leftChars="0" w:firstLine="0" w:firstLineChars="0"/>
              <w:jc w:val="center"/>
              <w:rPr>
                <w:color w:val="auto"/>
              </w:rPr>
            </w:pPr>
            <w:r>
              <w:rPr>
                <w:rFonts w:hint="eastAsia"/>
                <w:b/>
                <w:bCs/>
                <w:color w:val="auto"/>
              </w:rPr>
              <w:t>表1-1  本项目与《安徽省江南产业集中区总体规划环境影响报告书》及其审查意见符合性分析一览表</w:t>
            </w:r>
          </w:p>
          <w:tbl>
            <w:tblPr>
              <w:tblStyle w:val="2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3211"/>
              <w:gridCol w:w="3005"/>
              <w:gridCol w:w="804"/>
            </w:tblGrid>
            <w:tr w14:paraId="3456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500" w:type="pct"/>
                  <w:vAlign w:val="center"/>
                </w:tcPr>
                <w:p w14:paraId="0344E04D">
                  <w:pPr>
                    <w:jc w:val="center"/>
                    <w:rPr>
                      <w:rFonts w:hint="eastAsia" w:eastAsia="宋体"/>
                      <w:b/>
                      <w:bCs/>
                      <w:color w:val="auto"/>
                      <w:lang w:val="en-US" w:eastAsia="zh-CN"/>
                    </w:rPr>
                  </w:pPr>
                  <w:r>
                    <w:rPr>
                      <w:rFonts w:hint="eastAsia"/>
                      <w:b/>
                      <w:bCs/>
                      <w:color w:val="auto"/>
                      <w:lang w:val="en-US" w:eastAsia="zh-CN"/>
                    </w:rPr>
                    <w:t>序号</w:t>
                  </w:r>
                </w:p>
              </w:tc>
              <w:tc>
                <w:tcPr>
                  <w:tcW w:w="2058" w:type="pct"/>
                  <w:vAlign w:val="center"/>
                </w:tcPr>
                <w:p w14:paraId="14965EFD">
                  <w:pPr>
                    <w:jc w:val="center"/>
                    <w:rPr>
                      <w:rFonts w:hint="eastAsia"/>
                      <w:b/>
                      <w:bCs/>
                      <w:color w:val="auto"/>
                    </w:rPr>
                  </w:pPr>
                  <w:r>
                    <w:rPr>
                      <w:rFonts w:hint="eastAsia"/>
                      <w:b/>
                      <w:bCs/>
                      <w:color w:val="auto"/>
                    </w:rPr>
                    <w:t>规划环评及其审查意见相关要求</w:t>
                  </w:r>
                </w:p>
              </w:tc>
              <w:tc>
                <w:tcPr>
                  <w:tcW w:w="1926" w:type="pct"/>
                  <w:vAlign w:val="center"/>
                </w:tcPr>
                <w:p w14:paraId="045D8DA4">
                  <w:pPr>
                    <w:jc w:val="center"/>
                    <w:rPr>
                      <w:b/>
                      <w:bCs/>
                      <w:color w:val="auto"/>
                    </w:rPr>
                  </w:pPr>
                  <w:r>
                    <w:rPr>
                      <w:rFonts w:hint="eastAsia"/>
                      <w:b/>
                      <w:bCs/>
                      <w:color w:val="auto"/>
                    </w:rPr>
                    <w:t>本项目情况</w:t>
                  </w:r>
                </w:p>
              </w:tc>
              <w:tc>
                <w:tcPr>
                  <w:tcW w:w="515" w:type="pct"/>
                  <w:vAlign w:val="center"/>
                </w:tcPr>
                <w:p w14:paraId="140F91BE">
                  <w:pPr>
                    <w:jc w:val="center"/>
                    <w:rPr>
                      <w:b/>
                      <w:bCs/>
                      <w:color w:val="auto"/>
                    </w:rPr>
                  </w:pPr>
                  <w:r>
                    <w:rPr>
                      <w:rFonts w:hint="eastAsia"/>
                      <w:b/>
                      <w:bCs/>
                      <w:color w:val="auto"/>
                    </w:rPr>
                    <w:t>符合性</w:t>
                  </w:r>
                </w:p>
              </w:tc>
            </w:tr>
            <w:tr w14:paraId="69DD3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Align w:val="center"/>
                </w:tcPr>
                <w:p w14:paraId="04582864">
                  <w:pPr>
                    <w:wordWrap w:val="0"/>
                    <w:topLinePunct/>
                    <w:jc w:val="center"/>
                    <w:rPr>
                      <w:rFonts w:hint="eastAsia" w:eastAsia="宋体"/>
                      <w:color w:val="auto"/>
                      <w:lang w:val="en-US" w:eastAsia="zh-CN"/>
                    </w:rPr>
                  </w:pPr>
                  <w:r>
                    <w:rPr>
                      <w:rFonts w:hint="eastAsia"/>
                      <w:color w:val="auto"/>
                      <w:lang w:val="en-US" w:eastAsia="zh-CN"/>
                    </w:rPr>
                    <w:t>1</w:t>
                  </w:r>
                </w:p>
              </w:tc>
              <w:tc>
                <w:tcPr>
                  <w:tcW w:w="2058" w:type="pct"/>
                  <w:vAlign w:val="center"/>
                </w:tcPr>
                <w:p w14:paraId="646B78AB">
                  <w:pPr>
                    <w:wordWrap w:val="0"/>
                    <w:topLinePunct/>
                    <w:jc w:val="center"/>
                    <w:rPr>
                      <w:color w:val="auto"/>
                    </w:rPr>
                  </w:pPr>
                  <w:r>
                    <w:rPr>
                      <w:rFonts w:hint="eastAsia"/>
                      <w:color w:val="auto"/>
                      <w:lang w:eastAsia="zh-CN"/>
                    </w:rPr>
                    <w:t>（</w:t>
                  </w:r>
                  <w:r>
                    <w:rPr>
                      <w:rFonts w:hint="eastAsia"/>
                      <w:color w:val="auto"/>
                      <w:lang w:val="en-US" w:eastAsia="zh-CN"/>
                    </w:rPr>
                    <w:t>一</w:t>
                  </w:r>
                  <w:r>
                    <w:rPr>
                      <w:rFonts w:hint="eastAsia"/>
                      <w:color w:val="auto"/>
                      <w:lang w:eastAsia="zh-CN"/>
                    </w:rPr>
                    <w:t>）</w:t>
                  </w:r>
                  <w:r>
                    <w:rPr>
                      <w:rFonts w:hint="eastAsia"/>
                      <w:color w:val="auto"/>
                    </w:rPr>
                    <w:t>规划主导产业为机械电子、新型材料和大健康三大主导产业。其中新型材料产业片区位于皖江路以南、九华河以东、迎宾大道以北、黄山北路以西，该片区规划以铝基新材料为主，以绿色建材、新型包装材料、新能源材料和新型非金属功能材料为辅，持续性的开展精深加工和新型材料产业项目，延伸产业链，提高附加值，推动传统材料工业企业转型升级。鼓励建立以优势企业为龙头，联合产业链上下游核心企业的产业联盟。同时不断结合尖端科技，旨在打造先进型新型材料产业基地，成为园区发展的助推器。</w:t>
                  </w:r>
                </w:p>
              </w:tc>
              <w:tc>
                <w:tcPr>
                  <w:tcW w:w="1926" w:type="pct"/>
                  <w:vAlign w:val="center"/>
                </w:tcPr>
                <w:p w14:paraId="0A012D50">
                  <w:pPr>
                    <w:jc w:val="center"/>
                    <w:rPr>
                      <w:color w:val="auto"/>
                    </w:rPr>
                  </w:pPr>
                  <w:r>
                    <w:rPr>
                      <w:color w:val="auto"/>
                    </w:rPr>
                    <w:t>本项目</w:t>
                  </w:r>
                  <w:r>
                    <w:rPr>
                      <w:rFonts w:hint="eastAsia"/>
                      <w:color w:val="auto"/>
                      <w:lang w:val="en-US" w:eastAsia="zh-CN"/>
                    </w:rPr>
                    <w:t>属于</w:t>
                  </w:r>
                  <w:r>
                    <w:rPr>
                      <w:rFonts w:hint="eastAsia"/>
                      <w:color w:val="auto"/>
                    </w:rPr>
                    <w:t>显示器件制造</w:t>
                  </w:r>
                  <w:r>
                    <w:rPr>
                      <w:rFonts w:hint="eastAsia"/>
                      <w:color w:val="auto"/>
                      <w:lang w:val="en-US" w:eastAsia="zh-CN"/>
                    </w:rPr>
                    <w:t>和</w:t>
                  </w:r>
                  <w:r>
                    <w:rPr>
                      <w:rFonts w:hint="eastAsia"/>
                      <w:color w:val="auto"/>
                    </w:rPr>
                    <w:t>照明灯具制造</w:t>
                  </w:r>
                  <w:r>
                    <w:rPr>
                      <w:color w:val="auto"/>
                    </w:rPr>
                    <w:t>，属于主导产业中的</w:t>
                  </w:r>
                  <w:r>
                    <w:rPr>
                      <w:rFonts w:hint="eastAsia"/>
                      <w:color w:val="auto"/>
                      <w:lang w:val="en-US" w:eastAsia="zh-CN"/>
                    </w:rPr>
                    <w:t>机械电子</w:t>
                  </w:r>
                  <w:r>
                    <w:rPr>
                      <w:color w:val="auto"/>
                    </w:rPr>
                    <w:t>产业</w:t>
                  </w:r>
                  <w:r>
                    <w:rPr>
                      <w:rFonts w:hint="eastAsia"/>
                      <w:color w:val="auto"/>
                    </w:rPr>
                    <w:t>。</w:t>
                  </w:r>
                </w:p>
              </w:tc>
              <w:tc>
                <w:tcPr>
                  <w:tcW w:w="515" w:type="pct"/>
                  <w:vAlign w:val="center"/>
                </w:tcPr>
                <w:p w14:paraId="6A340CD5">
                  <w:pPr>
                    <w:jc w:val="center"/>
                    <w:rPr>
                      <w:color w:val="auto"/>
                    </w:rPr>
                  </w:pPr>
                  <w:r>
                    <w:rPr>
                      <w:rFonts w:hint="eastAsia"/>
                      <w:color w:val="auto"/>
                    </w:rPr>
                    <w:t>符合</w:t>
                  </w:r>
                </w:p>
              </w:tc>
            </w:tr>
            <w:tr w14:paraId="66EDF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Align w:val="center"/>
                </w:tcPr>
                <w:p w14:paraId="67CB1F6A">
                  <w:pPr>
                    <w:wordWrap w:val="0"/>
                    <w:topLinePunct/>
                    <w:jc w:val="center"/>
                    <w:rPr>
                      <w:rFonts w:hint="eastAsia" w:eastAsia="宋体"/>
                      <w:color w:val="auto"/>
                      <w:lang w:val="en-US" w:eastAsia="zh-CN"/>
                    </w:rPr>
                  </w:pPr>
                  <w:r>
                    <w:rPr>
                      <w:rFonts w:hint="eastAsia"/>
                      <w:color w:val="auto"/>
                      <w:lang w:val="en-US" w:eastAsia="zh-CN"/>
                    </w:rPr>
                    <w:t>2</w:t>
                  </w:r>
                </w:p>
              </w:tc>
              <w:tc>
                <w:tcPr>
                  <w:tcW w:w="2058" w:type="pct"/>
                  <w:vAlign w:val="center"/>
                </w:tcPr>
                <w:p w14:paraId="76810437">
                  <w:pPr>
                    <w:wordWrap w:val="0"/>
                    <w:topLinePunct/>
                    <w:jc w:val="center"/>
                    <w:rPr>
                      <w:color w:val="auto"/>
                    </w:rPr>
                  </w:pPr>
                  <w:r>
                    <w:rPr>
                      <w:rFonts w:hint="eastAsia"/>
                      <w:color w:val="auto"/>
                    </w:rPr>
                    <w:t>（二）进一步优化集中区的空间布局。根据集中区各产业特点，充分考虑自然保护区和居住区域生态环境要求，进一步优化调整空间布局，减轻和避免各功能区之间、项目之间在环境要求方面的相互影响。在与自然保护区和居住区相邻的工业区项目选择及布点时，充分考虑与自然保护区和居住区之间的关系和环境保护问题，确保自然保护区和居民生态环境质量不降低。</w:t>
                  </w:r>
                </w:p>
              </w:tc>
              <w:tc>
                <w:tcPr>
                  <w:tcW w:w="1926" w:type="pct"/>
                  <w:vMerge w:val="restart"/>
                  <w:vAlign w:val="center"/>
                </w:tcPr>
                <w:p w14:paraId="4E8BA299">
                  <w:pPr>
                    <w:jc w:val="center"/>
                    <w:rPr>
                      <w:color w:val="auto"/>
                    </w:rPr>
                  </w:pPr>
                  <w:r>
                    <w:rPr>
                      <w:rFonts w:hint="eastAsia"/>
                      <w:color w:val="auto"/>
                    </w:rPr>
                    <w:t>本项目位于集中区规划范围内，符合园区产业规划，且污染物均经过相应处理设施处理后可达标排放。</w:t>
                  </w:r>
                </w:p>
              </w:tc>
              <w:tc>
                <w:tcPr>
                  <w:tcW w:w="515" w:type="pct"/>
                  <w:vAlign w:val="center"/>
                </w:tcPr>
                <w:p w14:paraId="5DE9A1B8">
                  <w:pPr>
                    <w:jc w:val="center"/>
                    <w:rPr>
                      <w:color w:val="auto"/>
                    </w:rPr>
                  </w:pPr>
                  <w:r>
                    <w:rPr>
                      <w:rFonts w:hint="eastAsia"/>
                      <w:color w:val="auto"/>
                    </w:rPr>
                    <w:t>符合</w:t>
                  </w:r>
                </w:p>
              </w:tc>
            </w:tr>
            <w:tr w14:paraId="043A8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Align w:val="center"/>
                </w:tcPr>
                <w:p w14:paraId="531EAE3C">
                  <w:pPr>
                    <w:wordWrap w:val="0"/>
                    <w:topLinePunct/>
                    <w:jc w:val="center"/>
                    <w:rPr>
                      <w:color w:val="auto"/>
                    </w:rPr>
                  </w:pPr>
                  <w:r>
                    <w:rPr>
                      <w:rFonts w:hint="eastAsia"/>
                      <w:color w:val="auto"/>
                    </w:rPr>
                    <w:t>3</w:t>
                  </w:r>
                </w:p>
              </w:tc>
              <w:tc>
                <w:tcPr>
                  <w:tcW w:w="2058" w:type="pct"/>
                  <w:vAlign w:val="center"/>
                </w:tcPr>
                <w:p w14:paraId="5B0F0385">
                  <w:pPr>
                    <w:wordWrap w:val="0"/>
                    <w:topLinePunct/>
                    <w:jc w:val="center"/>
                    <w:rPr>
                      <w:color w:val="auto"/>
                    </w:rPr>
                  </w:pPr>
                  <w:r>
                    <w:rPr>
                      <w:rFonts w:hint="eastAsia"/>
                      <w:color w:val="auto"/>
                    </w:rPr>
                    <w:t>（三）要坚决落实关于“共抓大保护，不搞大开发”的要求，在规划确定的集中区产业定位总体框架下，充分考虑与区域产业布局的互补，进一步优化发展重点，最大限度控制集中区污染物排放量和排放强度。</w:t>
                  </w:r>
                </w:p>
              </w:tc>
              <w:tc>
                <w:tcPr>
                  <w:tcW w:w="1926" w:type="pct"/>
                  <w:vMerge w:val="continue"/>
                  <w:vAlign w:val="center"/>
                </w:tcPr>
                <w:p w14:paraId="6A06E958">
                  <w:pPr>
                    <w:jc w:val="center"/>
                    <w:rPr>
                      <w:color w:val="auto"/>
                    </w:rPr>
                  </w:pPr>
                </w:p>
              </w:tc>
              <w:tc>
                <w:tcPr>
                  <w:tcW w:w="515" w:type="pct"/>
                  <w:vAlign w:val="center"/>
                </w:tcPr>
                <w:p w14:paraId="2632C19E">
                  <w:pPr>
                    <w:jc w:val="center"/>
                    <w:rPr>
                      <w:color w:val="auto"/>
                    </w:rPr>
                  </w:pPr>
                  <w:r>
                    <w:rPr>
                      <w:rFonts w:hint="eastAsia"/>
                      <w:color w:val="auto"/>
                    </w:rPr>
                    <w:t>符合</w:t>
                  </w:r>
                </w:p>
              </w:tc>
            </w:tr>
            <w:tr w14:paraId="07B1B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Align w:val="center"/>
                </w:tcPr>
                <w:p w14:paraId="552972F5">
                  <w:pPr>
                    <w:wordWrap w:val="0"/>
                    <w:topLinePunct/>
                    <w:jc w:val="center"/>
                    <w:rPr>
                      <w:color w:val="auto"/>
                    </w:rPr>
                  </w:pPr>
                  <w:r>
                    <w:rPr>
                      <w:rFonts w:hint="eastAsia"/>
                      <w:color w:val="auto"/>
                    </w:rPr>
                    <w:t>4</w:t>
                  </w:r>
                </w:p>
              </w:tc>
              <w:tc>
                <w:tcPr>
                  <w:tcW w:w="2058" w:type="pct"/>
                  <w:vAlign w:val="center"/>
                </w:tcPr>
                <w:p w14:paraId="322C008A">
                  <w:pPr>
                    <w:wordWrap w:val="0"/>
                    <w:topLinePunct/>
                    <w:jc w:val="center"/>
                    <w:rPr>
                      <w:color w:val="auto"/>
                    </w:rPr>
                  </w:pPr>
                  <w:r>
                    <w:rPr>
                      <w:rFonts w:hint="eastAsia"/>
                      <w:color w:val="auto"/>
                    </w:rPr>
                    <w:t>（四）入园项目应严格执行水环境保护相关标准和要求，坚持环保优先原则，强化水资源管理，保留集中区内现有天然水体。提高水重复利用率，制定并实施集中区节水规划，积极推进水资源综合利用和企业用水量控制，切实提高水资源利用率。集中区开发应同步建设完善污水收水管网，确保集中区内污水全收集、全处理，充分考虑中水回用等节水措施，确保集中区建设不降低区域地表水环境质量和水体功能。</w:t>
                  </w:r>
                </w:p>
              </w:tc>
              <w:tc>
                <w:tcPr>
                  <w:tcW w:w="1926" w:type="pct"/>
                  <w:vAlign w:val="center"/>
                </w:tcPr>
                <w:p w14:paraId="5D1D784F">
                  <w:pPr>
                    <w:jc w:val="center"/>
                    <w:rPr>
                      <w:color w:val="auto"/>
                    </w:rPr>
                  </w:pPr>
                  <w:r>
                    <w:rPr>
                      <w:rFonts w:hint="eastAsia"/>
                      <w:color w:val="auto"/>
                    </w:rPr>
                    <w:t>项目实行清污分流、雨污分流原则。本项目无生产废水产生；厂区生活污水经化粪池预处理后由园区总排口汇入市政管网，经市政污水管网进入皖江江南新兴产业集中区第一污水处理厂处理，达到《城镇污水处理厂污染物排放标准》（GB189182002）一级A标准后排入九华河，符合园区排水工程规划。</w:t>
                  </w:r>
                </w:p>
              </w:tc>
              <w:tc>
                <w:tcPr>
                  <w:tcW w:w="515" w:type="pct"/>
                  <w:vAlign w:val="center"/>
                </w:tcPr>
                <w:p w14:paraId="4E9D6828">
                  <w:pPr>
                    <w:jc w:val="center"/>
                    <w:rPr>
                      <w:color w:val="auto"/>
                    </w:rPr>
                  </w:pPr>
                  <w:r>
                    <w:rPr>
                      <w:rFonts w:hint="eastAsia"/>
                      <w:color w:val="auto"/>
                    </w:rPr>
                    <w:t>符合</w:t>
                  </w:r>
                </w:p>
              </w:tc>
            </w:tr>
            <w:tr w14:paraId="3008D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Align w:val="center"/>
                </w:tcPr>
                <w:p w14:paraId="46E8F116">
                  <w:pPr>
                    <w:wordWrap w:val="0"/>
                    <w:topLinePunct/>
                    <w:jc w:val="center"/>
                    <w:rPr>
                      <w:color w:val="auto"/>
                    </w:rPr>
                  </w:pPr>
                  <w:r>
                    <w:rPr>
                      <w:rFonts w:hint="eastAsia"/>
                      <w:color w:val="auto"/>
                    </w:rPr>
                    <w:t>5</w:t>
                  </w:r>
                </w:p>
              </w:tc>
              <w:tc>
                <w:tcPr>
                  <w:tcW w:w="2058" w:type="pct"/>
                  <w:vAlign w:val="center"/>
                </w:tcPr>
                <w:p w14:paraId="7175ABDC">
                  <w:pPr>
                    <w:wordWrap w:val="0"/>
                    <w:topLinePunct/>
                    <w:jc w:val="center"/>
                    <w:rPr>
                      <w:color w:val="auto"/>
                    </w:rPr>
                  </w:pPr>
                  <w:r>
                    <w:rPr>
                      <w:rFonts w:hint="eastAsia"/>
                      <w:color w:val="auto"/>
                    </w:rPr>
                    <w:t>（五）加快集中区燃气、集中供气等清洁能源规划实施进度，全面落实《安徽省大气污染防治行动计划实施方案》各项要求。按规定落实各类固体废物的收集和处理处置，特别是危险废物的收集、暂存、转运、处置。</w:t>
                  </w:r>
                </w:p>
              </w:tc>
              <w:tc>
                <w:tcPr>
                  <w:tcW w:w="1926" w:type="pct"/>
                  <w:vAlign w:val="center"/>
                </w:tcPr>
                <w:p w14:paraId="4A4F1314">
                  <w:pPr>
                    <w:jc w:val="center"/>
                    <w:rPr>
                      <w:color w:val="auto"/>
                    </w:rPr>
                  </w:pPr>
                  <w:r>
                    <w:rPr>
                      <w:rFonts w:hint="eastAsia"/>
                      <w:color w:val="auto"/>
                    </w:rPr>
                    <w:t>本项目生产过程不使用燃气；项目产生的各类固体废物均能实现收集和处理，产生的危险废物委托有资质单位处理。</w:t>
                  </w:r>
                </w:p>
              </w:tc>
              <w:tc>
                <w:tcPr>
                  <w:tcW w:w="515" w:type="pct"/>
                  <w:vAlign w:val="center"/>
                </w:tcPr>
                <w:p w14:paraId="569BBF5B">
                  <w:pPr>
                    <w:jc w:val="center"/>
                    <w:rPr>
                      <w:color w:val="auto"/>
                    </w:rPr>
                  </w:pPr>
                  <w:r>
                    <w:rPr>
                      <w:rFonts w:hint="eastAsia"/>
                      <w:color w:val="auto"/>
                    </w:rPr>
                    <w:t>符合</w:t>
                  </w:r>
                </w:p>
              </w:tc>
            </w:tr>
            <w:tr w14:paraId="30563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Align w:val="center"/>
                </w:tcPr>
                <w:p w14:paraId="5F572E2A">
                  <w:pPr>
                    <w:wordWrap w:val="0"/>
                    <w:topLinePunct/>
                    <w:jc w:val="center"/>
                    <w:rPr>
                      <w:color w:val="auto"/>
                    </w:rPr>
                  </w:pPr>
                  <w:r>
                    <w:rPr>
                      <w:rFonts w:hint="eastAsia"/>
                      <w:color w:val="auto"/>
                    </w:rPr>
                    <w:t>6</w:t>
                  </w:r>
                </w:p>
              </w:tc>
              <w:tc>
                <w:tcPr>
                  <w:tcW w:w="2058" w:type="pct"/>
                  <w:vAlign w:val="center"/>
                </w:tcPr>
                <w:p w14:paraId="2E92F21A">
                  <w:pPr>
                    <w:wordWrap w:val="0"/>
                    <w:topLinePunct/>
                    <w:jc w:val="center"/>
                    <w:rPr>
                      <w:color w:val="auto"/>
                    </w:rPr>
                  </w:pPr>
                  <w:r>
                    <w:rPr>
                      <w:rFonts w:hint="eastAsia"/>
                      <w:color w:val="auto"/>
                    </w:rPr>
                    <w:t>（六）建立健全集中区环境监控体系，坚持预防为主、防控结合，制定并落实集中区综合环境风险防范、预警和应急体系，及时更新升级各类突发环境事件应急预案，做好应急软硬件建设和储备。</w:t>
                  </w:r>
                </w:p>
              </w:tc>
              <w:tc>
                <w:tcPr>
                  <w:tcW w:w="1926" w:type="pct"/>
                  <w:vAlign w:val="center"/>
                </w:tcPr>
                <w:p w14:paraId="565E980D">
                  <w:pPr>
                    <w:jc w:val="center"/>
                    <w:rPr>
                      <w:color w:val="auto"/>
                    </w:rPr>
                  </w:pPr>
                  <w:r>
                    <w:rPr>
                      <w:rFonts w:hint="eastAsia"/>
                      <w:color w:val="auto"/>
                    </w:rPr>
                    <w:t>本次评价要求本项目建成后立即制定环境风险应急预案，做到预防为主，防控结合。</w:t>
                  </w:r>
                </w:p>
              </w:tc>
              <w:tc>
                <w:tcPr>
                  <w:tcW w:w="515" w:type="pct"/>
                  <w:vAlign w:val="center"/>
                </w:tcPr>
                <w:p w14:paraId="05FC04F1">
                  <w:pPr>
                    <w:jc w:val="center"/>
                    <w:rPr>
                      <w:color w:val="auto"/>
                    </w:rPr>
                  </w:pPr>
                  <w:r>
                    <w:rPr>
                      <w:rFonts w:hint="eastAsia"/>
                      <w:color w:val="auto"/>
                    </w:rPr>
                    <w:t>符合</w:t>
                  </w:r>
                </w:p>
              </w:tc>
            </w:tr>
            <w:tr w14:paraId="79A58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 w:type="pct"/>
                  <w:vAlign w:val="center"/>
                </w:tcPr>
                <w:p w14:paraId="76E28363">
                  <w:pPr>
                    <w:wordWrap w:val="0"/>
                    <w:topLinePunct/>
                    <w:jc w:val="center"/>
                    <w:rPr>
                      <w:color w:val="auto"/>
                    </w:rPr>
                  </w:pPr>
                  <w:r>
                    <w:rPr>
                      <w:rFonts w:hint="eastAsia"/>
                      <w:color w:val="auto"/>
                    </w:rPr>
                    <w:t>7</w:t>
                  </w:r>
                </w:p>
              </w:tc>
              <w:tc>
                <w:tcPr>
                  <w:tcW w:w="2058" w:type="pct"/>
                  <w:vAlign w:val="center"/>
                </w:tcPr>
                <w:p w14:paraId="6AD7636D">
                  <w:pPr>
                    <w:wordWrap w:val="0"/>
                    <w:topLinePunct/>
                    <w:jc w:val="center"/>
                    <w:rPr>
                      <w:color w:val="auto"/>
                    </w:rPr>
                  </w:pPr>
                  <w:r>
                    <w:rPr>
                      <w:rFonts w:hint="eastAsia"/>
                      <w:color w:val="auto"/>
                    </w:rPr>
                    <w:t>（七）加强环境保护制度建设和管理。入区项目应严格执行环境影响评价制度和环保“三同时”制度；新增污染物排放总量，应严格按照污染物排放总量控制的要求执行。在规划实施过程中，每隔五年进行一次环境影响跟踪评价，规划修编应重新编制环境影响报告书。</w:t>
                  </w:r>
                </w:p>
              </w:tc>
              <w:tc>
                <w:tcPr>
                  <w:tcW w:w="1926" w:type="pct"/>
                  <w:vAlign w:val="center"/>
                </w:tcPr>
                <w:p w14:paraId="640E2D2E">
                  <w:pPr>
                    <w:jc w:val="center"/>
                    <w:rPr>
                      <w:color w:val="auto"/>
                    </w:rPr>
                  </w:pPr>
                  <w:r>
                    <w:rPr>
                      <w:rFonts w:hint="eastAsia"/>
                      <w:color w:val="auto"/>
                    </w:rPr>
                    <w:t>本次评价要求项目严格按照“三同时”制度，新增污染物排放总量严格按照污染物排放总量控制的要求执行。</w:t>
                  </w:r>
                </w:p>
              </w:tc>
              <w:tc>
                <w:tcPr>
                  <w:tcW w:w="515" w:type="pct"/>
                  <w:vAlign w:val="center"/>
                </w:tcPr>
                <w:p w14:paraId="0EE81CCC">
                  <w:pPr>
                    <w:jc w:val="center"/>
                    <w:rPr>
                      <w:color w:val="auto"/>
                    </w:rPr>
                  </w:pPr>
                  <w:r>
                    <w:rPr>
                      <w:rFonts w:hint="eastAsia"/>
                      <w:color w:val="auto"/>
                    </w:rPr>
                    <w:t>符合</w:t>
                  </w:r>
                </w:p>
              </w:tc>
            </w:tr>
          </w:tbl>
          <w:p w14:paraId="6C9A3E21">
            <w:pPr>
              <w:pStyle w:val="51"/>
              <w:ind w:firstLine="480"/>
              <w:rPr>
                <w:rFonts w:hint="eastAsia"/>
              </w:rPr>
            </w:pPr>
            <w:r>
              <w:rPr>
                <w:rFonts w:hint="eastAsia"/>
                <w:color w:val="auto"/>
              </w:rPr>
              <w:t>综上，本项目与《安徽省江南产业集中区总体规划环境影响报告书》及其审查意见相符。</w:t>
            </w:r>
          </w:p>
          <w:p w14:paraId="6DFFD65F">
            <w:pPr>
              <w:pStyle w:val="51"/>
              <w:ind w:firstLine="480"/>
              <w:rPr>
                <w:rFonts w:hint="eastAsia" w:eastAsia="宋体"/>
                <w:lang w:eastAsia="zh-CN"/>
              </w:rPr>
            </w:pPr>
            <w:r>
              <w:rPr>
                <w:rFonts w:hint="eastAsia"/>
                <w:b/>
                <w:bCs/>
                <w:lang w:eastAsia="zh-CN"/>
              </w:rPr>
              <w:t>（</w:t>
            </w:r>
            <w:r>
              <w:rPr>
                <w:rFonts w:hint="eastAsia"/>
                <w:b/>
                <w:bCs/>
                <w:lang w:val="en-US" w:eastAsia="zh-CN"/>
              </w:rPr>
              <w:t>2</w:t>
            </w:r>
            <w:r>
              <w:rPr>
                <w:rFonts w:hint="eastAsia"/>
                <w:b/>
                <w:bCs/>
                <w:lang w:eastAsia="zh-CN"/>
              </w:rPr>
              <w:t>）</w:t>
            </w:r>
            <w:r>
              <w:rPr>
                <w:rFonts w:hint="eastAsia"/>
                <w:b/>
                <w:bCs/>
                <w:color w:val="auto"/>
              </w:rPr>
              <w:t>与《安徽省江南产业集中区产业发展规划（2019-2030）环境影响报告书》及其审查意见符合性分析</w:t>
            </w:r>
          </w:p>
          <w:p w14:paraId="5CB017E8">
            <w:pPr>
              <w:pStyle w:val="51"/>
              <w:ind w:firstLine="480"/>
              <w:rPr>
                <w:rFonts w:hint="eastAsia"/>
              </w:rPr>
            </w:pPr>
            <w:r>
              <w:rPr>
                <w:rFonts w:hint="eastAsia"/>
                <w:color w:val="auto"/>
              </w:rPr>
              <w:t>2019年5月，集中区管委会委托编制完成《安徽省江南产业集中区产业发展规划（2019-2030）环境影响报告书》；2020年3月，安徽省生态环境厅以皖环函[2020]107号文出具了该规划环境影响评价报告书的审查意见。本项目与《安徽省江南产业集中区产业发展规划（2019-2030）环境影响报告书》及其审查意见符合性分析见下表。</w:t>
            </w:r>
          </w:p>
          <w:p w14:paraId="249803E2">
            <w:pPr>
              <w:pStyle w:val="8"/>
              <w:ind w:left="0" w:leftChars="0" w:firstLine="0" w:firstLineChars="0"/>
              <w:jc w:val="center"/>
              <w:rPr>
                <w:rFonts w:hint="eastAsia"/>
                <w:b/>
                <w:bCs/>
                <w:color w:val="auto"/>
              </w:rPr>
            </w:pPr>
            <w:r>
              <w:rPr>
                <w:rFonts w:hint="eastAsia"/>
                <w:b/>
                <w:bCs/>
                <w:color w:val="auto"/>
              </w:rPr>
              <w:t>表1-2  本项目与《安徽省江南产业集中区产业发展规划（2019-2030）环境影响报告书》及其审查意见一览表</w:t>
            </w:r>
          </w:p>
          <w:tbl>
            <w:tblPr>
              <w:tblStyle w:val="2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4"/>
              <w:gridCol w:w="4007"/>
              <w:gridCol w:w="2540"/>
              <w:gridCol w:w="759"/>
            </w:tblGrid>
            <w:tr w14:paraId="18A2A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317" w:type="pct"/>
                  <w:shd w:val="clear" w:color="auto" w:fill="auto"/>
                  <w:vAlign w:val="center"/>
                </w:tcPr>
                <w:p w14:paraId="76D9C01A">
                  <w:pPr>
                    <w:jc w:val="center"/>
                    <w:rPr>
                      <w:rFonts w:hint="eastAsia" w:ascii="Times New Roman" w:hAnsi="Times New Roman" w:eastAsia="宋体" w:cs="Times New Roman"/>
                      <w:b/>
                      <w:bCs/>
                      <w:color w:val="auto"/>
                      <w:kern w:val="2"/>
                      <w:sz w:val="21"/>
                      <w:szCs w:val="24"/>
                      <w:lang w:val="en-US" w:eastAsia="zh-CN" w:bidi="ar-SA"/>
                    </w:rPr>
                  </w:pPr>
                  <w:r>
                    <w:rPr>
                      <w:rFonts w:hint="eastAsia"/>
                      <w:b/>
                      <w:bCs/>
                      <w:color w:val="auto"/>
                      <w:lang w:val="en-US" w:eastAsia="zh-CN"/>
                    </w:rPr>
                    <w:t>序号</w:t>
                  </w:r>
                </w:p>
              </w:tc>
              <w:tc>
                <w:tcPr>
                  <w:tcW w:w="2567" w:type="pct"/>
                  <w:shd w:val="clear" w:color="auto" w:fill="auto"/>
                  <w:vAlign w:val="center"/>
                </w:tcPr>
                <w:p w14:paraId="1AAB9ED5">
                  <w:pPr>
                    <w:jc w:val="center"/>
                    <w:rPr>
                      <w:rFonts w:hint="eastAsia" w:ascii="Times New Roman" w:hAnsi="Times New Roman" w:eastAsia="宋体" w:cs="Times New Roman"/>
                      <w:b/>
                      <w:bCs/>
                      <w:color w:val="auto"/>
                      <w:kern w:val="2"/>
                      <w:sz w:val="21"/>
                      <w:szCs w:val="24"/>
                      <w:lang w:val="en-US" w:eastAsia="zh-CN" w:bidi="ar-SA"/>
                    </w:rPr>
                  </w:pPr>
                  <w:r>
                    <w:rPr>
                      <w:rFonts w:hint="eastAsia"/>
                      <w:b/>
                      <w:bCs/>
                      <w:color w:val="auto"/>
                    </w:rPr>
                    <w:t>规划环评及其审查意见相关要求</w:t>
                  </w:r>
                </w:p>
              </w:tc>
              <w:tc>
                <w:tcPr>
                  <w:tcW w:w="1627" w:type="pct"/>
                  <w:shd w:val="clear" w:color="auto" w:fill="auto"/>
                  <w:vAlign w:val="center"/>
                </w:tcPr>
                <w:p w14:paraId="44F90EBF">
                  <w:pPr>
                    <w:jc w:val="center"/>
                    <w:rPr>
                      <w:rFonts w:ascii="Times New Roman" w:hAnsi="Times New Roman" w:eastAsia="宋体" w:cs="Times New Roman"/>
                      <w:b/>
                      <w:bCs/>
                      <w:color w:val="auto"/>
                      <w:kern w:val="2"/>
                      <w:sz w:val="21"/>
                      <w:szCs w:val="24"/>
                      <w:lang w:val="en-US" w:eastAsia="zh-CN" w:bidi="ar-SA"/>
                    </w:rPr>
                  </w:pPr>
                  <w:r>
                    <w:rPr>
                      <w:rFonts w:hint="eastAsia"/>
                      <w:b/>
                      <w:bCs/>
                      <w:color w:val="auto"/>
                    </w:rPr>
                    <w:t>本项目情况</w:t>
                  </w:r>
                </w:p>
              </w:tc>
              <w:tc>
                <w:tcPr>
                  <w:tcW w:w="486" w:type="pct"/>
                  <w:shd w:val="clear" w:color="auto" w:fill="auto"/>
                  <w:vAlign w:val="center"/>
                </w:tcPr>
                <w:p w14:paraId="21B78629">
                  <w:pPr>
                    <w:jc w:val="center"/>
                    <w:rPr>
                      <w:rFonts w:ascii="Times New Roman" w:hAnsi="Times New Roman" w:eastAsia="宋体" w:cs="Times New Roman"/>
                      <w:b/>
                      <w:bCs/>
                      <w:color w:val="auto"/>
                      <w:kern w:val="2"/>
                      <w:sz w:val="21"/>
                      <w:szCs w:val="24"/>
                      <w:lang w:val="en-US" w:eastAsia="zh-CN" w:bidi="ar-SA"/>
                    </w:rPr>
                  </w:pPr>
                  <w:r>
                    <w:rPr>
                      <w:rFonts w:hint="eastAsia"/>
                      <w:b/>
                      <w:bCs/>
                      <w:color w:val="auto"/>
                    </w:rPr>
                    <w:t>符合性</w:t>
                  </w:r>
                </w:p>
              </w:tc>
            </w:tr>
            <w:tr w14:paraId="75471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317" w:type="pct"/>
                  <w:vAlign w:val="center"/>
                </w:tcPr>
                <w:p w14:paraId="4737BA3F">
                  <w:pPr>
                    <w:pStyle w:val="197"/>
                    <w:ind w:left="0" w:leftChars="0"/>
                    <w:rPr>
                      <w:rFonts w:hint="eastAsia" w:eastAsia="宋体"/>
                      <w:color w:val="auto"/>
                      <w:lang w:val="en-US" w:eastAsia="zh-CN"/>
                    </w:rPr>
                  </w:pPr>
                  <w:r>
                    <w:rPr>
                      <w:rFonts w:hint="eastAsia"/>
                      <w:color w:val="auto"/>
                      <w:lang w:val="en-US" w:eastAsia="zh-CN"/>
                    </w:rPr>
                    <w:t>1</w:t>
                  </w:r>
                </w:p>
              </w:tc>
              <w:tc>
                <w:tcPr>
                  <w:tcW w:w="2567" w:type="pct"/>
                  <w:vAlign w:val="center"/>
                </w:tcPr>
                <w:p w14:paraId="3FF0EE7C">
                  <w:pPr>
                    <w:pStyle w:val="197"/>
                    <w:ind w:left="0" w:leftChars="0"/>
                    <w:rPr>
                      <w:color w:val="auto"/>
                    </w:rPr>
                  </w:pPr>
                  <w:r>
                    <w:rPr>
                      <w:rFonts w:hint="eastAsia"/>
                      <w:color w:val="auto"/>
                    </w:rPr>
                    <w:t>(一)统筹考虑江南产业集中区发展的基础条件，进一步明晰产业发展方向。《规划》应与池州市城市总体规划、土地利用总体规划、皖江城市带承接产业转移示范区规划(修订)等相衔接，与关于全面打造水清岸绿产业优美丽长江(安徽)经济带的实施意见、安徽省污染防治攻坚战行动方案安徽省“三大一强”专项攻坚行动方案和“三线一单”等相符合。</w:t>
                  </w:r>
                </w:p>
              </w:tc>
              <w:tc>
                <w:tcPr>
                  <w:tcW w:w="1627" w:type="pct"/>
                  <w:vMerge w:val="restart"/>
                  <w:vAlign w:val="center"/>
                </w:tcPr>
                <w:p w14:paraId="18F9DE98">
                  <w:pPr>
                    <w:pStyle w:val="197"/>
                    <w:ind w:left="0" w:leftChars="0"/>
                    <w:rPr>
                      <w:color w:val="auto"/>
                    </w:rPr>
                  </w:pPr>
                  <w:r>
                    <w:rPr>
                      <w:rFonts w:hint="eastAsia"/>
                      <w:color w:val="auto"/>
                    </w:rPr>
                    <w:t>本项目</w:t>
                  </w:r>
                  <w:r>
                    <w:rPr>
                      <w:rFonts w:hint="eastAsia"/>
                      <w:color w:val="auto"/>
                      <w:lang w:val="en-US" w:eastAsia="zh-CN"/>
                    </w:rPr>
                    <w:t>为</w:t>
                  </w:r>
                  <w:r>
                    <w:rPr>
                      <w:rFonts w:hint="eastAsia"/>
                      <w:color w:val="auto"/>
                    </w:rPr>
                    <w:t>显示器件制造和照明灯具制造项目，符合集中区主导产业发展方向。本次评价将针对项目施工期和运行期产生的“三废”污染物提出相应的收集及处理措施，确保项目施工及运行期间满足区域环境准入要求。</w:t>
                  </w:r>
                </w:p>
              </w:tc>
              <w:tc>
                <w:tcPr>
                  <w:tcW w:w="486" w:type="pct"/>
                  <w:vAlign w:val="center"/>
                </w:tcPr>
                <w:p w14:paraId="44DD3500">
                  <w:pPr>
                    <w:pStyle w:val="197"/>
                    <w:ind w:left="0" w:leftChars="0"/>
                    <w:rPr>
                      <w:color w:val="auto"/>
                    </w:rPr>
                  </w:pPr>
                  <w:r>
                    <w:rPr>
                      <w:color w:val="auto"/>
                    </w:rPr>
                    <w:t>符合</w:t>
                  </w:r>
                </w:p>
              </w:tc>
            </w:tr>
            <w:tr w14:paraId="6D8EE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317" w:type="pct"/>
                  <w:vAlign w:val="center"/>
                </w:tcPr>
                <w:p w14:paraId="7B5202D5">
                  <w:pPr>
                    <w:pStyle w:val="197"/>
                    <w:ind w:left="0" w:leftChars="0"/>
                    <w:rPr>
                      <w:rFonts w:hint="eastAsia" w:eastAsia="宋体"/>
                      <w:color w:val="auto"/>
                      <w:lang w:val="en-US" w:eastAsia="zh-CN"/>
                    </w:rPr>
                  </w:pPr>
                  <w:r>
                    <w:rPr>
                      <w:rFonts w:hint="eastAsia"/>
                      <w:color w:val="auto"/>
                      <w:lang w:val="en-US" w:eastAsia="zh-CN"/>
                    </w:rPr>
                    <w:t>2</w:t>
                  </w:r>
                </w:p>
              </w:tc>
              <w:tc>
                <w:tcPr>
                  <w:tcW w:w="2567" w:type="pct"/>
                  <w:vAlign w:val="center"/>
                </w:tcPr>
                <w:p w14:paraId="3B18C672">
                  <w:pPr>
                    <w:pStyle w:val="197"/>
                    <w:ind w:left="0" w:leftChars="0"/>
                    <w:rPr>
                      <w:color w:val="auto"/>
                    </w:rPr>
                  </w:pPr>
                  <w:r>
                    <w:rPr>
                      <w:rFonts w:hint="eastAsia"/>
                      <w:color w:val="auto"/>
                    </w:rPr>
                    <w:t>（二）根据国家和区域发展战略，结合区域生态环境质量现状及规划目标，严格产业的环境准入要求，细化生态环境准入清单，对现有不符合环境准入清单的企业，提出相应的管控要求；合理规划不同产业片区的生态环境保护空间；对存在环境问题的现有企业制订整改方案、落实整改措施。</w:t>
                  </w:r>
                </w:p>
              </w:tc>
              <w:tc>
                <w:tcPr>
                  <w:tcW w:w="1627" w:type="pct"/>
                  <w:vMerge w:val="continue"/>
                  <w:vAlign w:val="center"/>
                </w:tcPr>
                <w:p w14:paraId="29D94455">
                  <w:pPr>
                    <w:pStyle w:val="197"/>
                    <w:ind w:left="0" w:leftChars="0"/>
                    <w:rPr>
                      <w:color w:val="auto"/>
                    </w:rPr>
                  </w:pPr>
                </w:p>
              </w:tc>
              <w:tc>
                <w:tcPr>
                  <w:tcW w:w="486" w:type="pct"/>
                  <w:vMerge w:val="restart"/>
                  <w:vAlign w:val="center"/>
                </w:tcPr>
                <w:p w14:paraId="70B8F4DF">
                  <w:pPr>
                    <w:pStyle w:val="197"/>
                    <w:ind w:left="0" w:leftChars="0"/>
                    <w:rPr>
                      <w:rFonts w:hint="default" w:eastAsia="宋体"/>
                      <w:color w:val="auto"/>
                      <w:lang w:val="en-US" w:eastAsia="zh-CN"/>
                    </w:rPr>
                  </w:pPr>
                  <w:r>
                    <w:rPr>
                      <w:rFonts w:hint="eastAsia"/>
                      <w:color w:val="auto"/>
                      <w:lang w:val="en-US" w:eastAsia="zh-CN"/>
                    </w:rPr>
                    <w:t>符合</w:t>
                  </w:r>
                </w:p>
              </w:tc>
            </w:tr>
            <w:tr w14:paraId="6A057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317" w:type="pct"/>
                  <w:vAlign w:val="center"/>
                </w:tcPr>
                <w:p w14:paraId="17758DBC">
                  <w:pPr>
                    <w:pStyle w:val="197"/>
                    <w:ind w:left="0" w:leftChars="0"/>
                    <w:rPr>
                      <w:rFonts w:hint="eastAsia" w:eastAsia="宋体"/>
                      <w:color w:val="auto"/>
                      <w:lang w:val="en-US" w:eastAsia="zh-CN"/>
                    </w:rPr>
                  </w:pPr>
                  <w:r>
                    <w:rPr>
                      <w:rFonts w:hint="eastAsia"/>
                      <w:color w:val="auto"/>
                      <w:lang w:val="en-US" w:eastAsia="zh-CN"/>
                    </w:rPr>
                    <w:t>3</w:t>
                  </w:r>
                </w:p>
              </w:tc>
              <w:tc>
                <w:tcPr>
                  <w:tcW w:w="2567" w:type="pct"/>
                  <w:vAlign w:val="center"/>
                </w:tcPr>
                <w:p w14:paraId="6B192782">
                  <w:pPr>
                    <w:pStyle w:val="197"/>
                    <w:ind w:left="0" w:leftChars="0"/>
                    <w:rPr>
                      <w:color w:val="auto"/>
                    </w:rPr>
                  </w:pPr>
                  <w:r>
                    <w:rPr>
                      <w:rFonts w:hint="eastAsia"/>
                      <w:color w:val="auto"/>
                    </w:rPr>
                    <w:t>（三）结合区域供水、排水和供气（供热）等规划，合理确定产业发展规模。严格监管江南产业集中区内各企业的废水排放，加强地表水环境保护，确保区域水环境的安全。</w:t>
                  </w:r>
                </w:p>
              </w:tc>
              <w:tc>
                <w:tcPr>
                  <w:tcW w:w="1627" w:type="pct"/>
                  <w:vAlign w:val="center"/>
                </w:tcPr>
                <w:p w14:paraId="5EAFC2EA">
                  <w:pPr>
                    <w:pStyle w:val="197"/>
                    <w:ind w:left="0" w:leftChars="0"/>
                    <w:rPr>
                      <w:color w:val="auto"/>
                    </w:rPr>
                  </w:pPr>
                  <w:r>
                    <w:rPr>
                      <w:rFonts w:hint="eastAsia"/>
                      <w:color w:val="auto"/>
                    </w:rPr>
                    <w:t>本项目用水由园区供水管网供给，生活污水经过化粪池预处理后排入皖江江南新兴产业集中区第一污水处理厂处理，处理达标后外排至九华河，符合集中区供水、排水资源配置要求。</w:t>
                  </w:r>
                </w:p>
              </w:tc>
              <w:tc>
                <w:tcPr>
                  <w:tcW w:w="486" w:type="pct"/>
                  <w:vMerge w:val="continue"/>
                  <w:vAlign w:val="center"/>
                </w:tcPr>
                <w:p w14:paraId="78B23856">
                  <w:pPr>
                    <w:pStyle w:val="197"/>
                    <w:ind w:left="0" w:leftChars="0"/>
                    <w:rPr>
                      <w:color w:val="auto"/>
                    </w:rPr>
                  </w:pPr>
                </w:p>
              </w:tc>
            </w:tr>
            <w:tr w14:paraId="56C7A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317" w:type="pct"/>
                  <w:vAlign w:val="center"/>
                </w:tcPr>
                <w:p w14:paraId="7DD3D17F">
                  <w:pPr>
                    <w:pStyle w:val="197"/>
                    <w:ind w:left="0" w:leftChars="0"/>
                    <w:rPr>
                      <w:rFonts w:hint="eastAsia" w:eastAsia="宋体"/>
                      <w:color w:val="auto"/>
                      <w:lang w:val="en-US" w:eastAsia="zh-CN"/>
                    </w:rPr>
                  </w:pPr>
                  <w:r>
                    <w:rPr>
                      <w:rFonts w:hint="eastAsia"/>
                      <w:color w:val="auto"/>
                      <w:lang w:val="en-US" w:eastAsia="zh-CN"/>
                    </w:rPr>
                    <w:t>4</w:t>
                  </w:r>
                </w:p>
              </w:tc>
              <w:tc>
                <w:tcPr>
                  <w:tcW w:w="2567" w:type="pct"/>
                  <w:vAlign w:val="center"/>
                </w:tcPr>
                <w:p w14:paraId="0ECEE113">
                  <w:pPr>
                    <w:pStyle w:val="197"/>
                    <w:ind w:left="0" w:leftChars="0"/>
                    <w:rPr>
                      <w:color w:val="auto"/>
                    </w:rPr>
                  </w:pPr>
                  <w:r>
                    <w:rPr>
                      <w:rFonts w:hint="eastAsia"/>
                      <w:color w:val="000000" w:themeColor="text1"/>
                      <w:lang w:val="en-US" w:eastAsia="zh-CN"/>
                      <w14:textFill>
                        <w14:solidFill>
                          <w14:schemeClr w14:val="tx1"/>
                        </w14:solidFill>
                      </w14:textFill>
                    </w:rPr>
                    <w:t>(四)根据规划产业布局及功能分区、重点企业分布特征污染物的排放种类和状况、重要生态环境敏感目标的分布等，建立健全水气土等各环境要素长期稳定的环境监控体系。适时开展总体规划的环境影响跟踪评价。</w:t>
                  </w:r>
                </w:p>
              </w:tc>
              <w:tc>
                <w:tcPr>
                  <w:tcW w:w="1627" w:type="pct"/>
                  <w:vAlign w:val="center"/>
                </w:tcPr>
                <w:p w14:paraId="14FB3B10">
                  <w:pPr>
                    <w:pStyle w:val="197"/>
                    <w:ind w:left="0" w:leftChars="0"/>
                    <w:rPr>
                      <w:color w:val="auto"/>
                    </w:rPr>
                  </w:pPr>
                  <w:r>
                    <w:rPr>
                      <w:rFonts w:hint="eastAsia"/>
                      <w:color w:val="000000" w:themeColor="text1"/>
                      <w:lang w:val="en-US" w:eastAsia="zh-CN"/>
                      <w14:textFill>
                        <w14:solidFill>
                          <w14:schemeClr w14:val="tx1"/>
                        </w14:solidFill>
                      </w14:textFill>
                    </w:rPr>
                    <w:t>本次评价已根据提出项目跟踪监测计划，建立健全水气土等各环境要素长期稳定的环境监控体系，防止环境污染事件的发生。</w:t>
                  </w:r>
                </w:p>
              </w:tc>
              <w:tc>
                <w:tcPr>
                  <w:tcW w:w="486" w:type="pct"/>
                  <w:vAlign w:val="center"/>
                </w:tcPr>
                <w:p w14:paraId="2B4B0147">
                  <w:pPr>
                    <w:pStyle w:val="197"/>
                    <w:ind w:left="0" w:leftChars="0"/>
                    <w:rPr>
                      <w:rFonts w:hint="eastAsia" w:eastAsia="宋体"/>
                      <w:color w:val="auto"/>
                      <w:lang w:val="en-US" w:eastAsia="zh-CN"/>
                    </w:rPr>
                  </w:pPr>
                  <w:r>
                    <w:rPr>
                      <w:rFonts w:hint="eastAsia"/>
                      <w:color w:val="auto"/>
                      <w:lang w:val="en-US" w:eastAsia="zh-CN"/>
                    </w:rPr>
                    <w:t>符合</w:t>
                  </w:r>
                </w:p>
              </w:tc>
            </w:tr>
            <w:tr w14:paraId="090E4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317" w:type="pct"/>
                  <w:vAlign w:val="center"/>
                </w:tcPr>
                <w:p w14:paraId="13403EFD">
                  <w:pPr>
                    <w:pStyle w:val="197"/>
                    <w:ind w:left="0" w:leftChars="0"/>
                    <w:rPr>
                      <w:rFonts w:hint="eastAsia" w:eastAsia="宋体"/>
                      <w:color w:val="auto"/>
                      <w:lang w:val="en-US" w:eastAsia="zh-CN"/>
                    </w:rPr>
                  </w:pPr>
                  <w:r>
                    <w:rPr>
                      <w:rFonts w:hint="eastAsia"/>
                      <w:color w:val="auto"/>
                      <w:lang w:val="en-US" w:eastAsia="zh-CN"/>
                    </w:rPr>
                    <w:t>5</w:t>
                  </w:r>
                </w:p>
              </w:tc>
              <w:tc>
                <w:tcPr>
                  <w:tcW w:w="2567" w:type="pct"/>
                  <w:shd w:val="clear" w:color="auto" w:fill="auto"/>
                  <w:vAlign w:val="center"/>
                </w:tcPr>
                <w:p w14:paraId="610BF206">
                  <w:pPr>
                    <w:pStyle w:val="197"/>
                    <w:bidi w:val="0"/>
                    <w:ind w:left="0" w:leftChars="0" w:firstLine="0" w:firstLineChars="0"/>
                    <w:jc w:val="center"/>
                    <w:rPr>
                      <w:rFonts w:hint="default" w:ascii="Times New Roman" w:hAnsi="Times New Roman" w:eastAsia="宋体" w:cs="Times New Roman"/>
                      <w:kern w:val="2"/>
                      <w:sz w:val="21"/>
                      <w:szCs w:val="24"/>
                      <w:lang w:val="en-US" w:eastAsia="zh-CN" w:bidi="ar-SA"/>
                    </w:rPr>
                  </w:pPr>
                  <w:r>
                    <w:rPr>
                      <w:rFonts w:hint="default" w:ascii="Times New Roman" w:hAnsi="Times New Roman" w:eastAsia="宋体" w:cs="Times New Roman"/>
                      <w:kern w:val="2"/>
                      <w:sz w:val="21"/>
                      <w:szCs w:val="24"/>
                      <w:lang w:val="en-US" w:eastAsia="zh-CN" w:bidi="ar-SA"/>
                    </w:rPr>
                    <w:t>（五）健全区域环境风险防范体系和生态安全保障体系，加强江南产业集中区内重要环境风险源的管控，完善环境风险防范应急措施。加强危险废物管理，完善危险废物贮存、处置规划。</w:t>
                  </w:r>
                </w:p>
              </w:tc>
              <w:tc>
                <w:tcPr>
                  <w:tcW w:w="1627" w:type="pct"/>
                  <w:vAlign w:val="center"/>
                </w:tcPr>
                <w:p w14:paraId="742988EB">
                  <w:pPr>
                    <w:pStyle w:val="197"/>
                    <w:ind w:left="0" w:leftChars="0"/>
                    <w:rPr>
                      <w:color w:val="auto"/>
                    </w:rPr>
                  </w:pPr>
                  <w:r>
                    <w:rPr>
                      <w:rFonts w:hint="eastAsia"/>
                      <w:color w:val="auto"/>
                    </w:rPr>
                    <w:t>本项目生产过程中涉及废活性炭等有毒有害物质，实行全过程监管；企业建设危废暂存</w:t>
                  </w:r>
                  <w:r>
                    <w:rPr>
                      <w:rFonts w:hint="eastAsia"/>
                      <w:color w:val="auto"/>
                      <w:lang w:val="en-US" w:eastAsia="zh-CN"/>
                    </w:rPr>
                    <w:t>间</w:t>
                  </w:r>
                  <w:r>
                    <w:rPr>
                      <w:rFonts w:hint="eastAsia"/>
                      <w:color w:val="auto"/>
                    </w:rPr>
                    <w:t>，危险废物妥善暂存于危废库内，且定期交由有资质单位处理。</w:t>
                  </w:r>
                </w:p>
              </w:tc>
              <w:tc>
                <w:tcPr>
                  <w:tcW w:w="486" w:type="pct"/>
                  <w:vAlign w:val="center"/>
                </w:tcPr>
                <w:p w14:paraId="5C5C0DCA">
                  <w:pPr>
                    <w:pStyle w:val="197"/>
                    <w:ind w:left="0" w:leftChars="0"/>
                    <w:rPr>
                      <w:rFonts w:hint="eastAsia" w:eastAsia="宋体"/>
                      <w:color w:val="auto"/>
                      <w:lang w:val="en-US" w:eastAsia="zh-CN"/>
                    </w:rPr>
                  </w:pPr>
                  <w:r>
                    <w:rPr>
                      <w:rFonts w:hint="eastAsia"/>
                      <w:color w:val="auto"/>
                      <w:lang w:val="en-US" w:eastAsia="zh-CN"/>
                    </w:rPr>
                    <w:t>符合</w:t>
                  </w:r>
                </w:p>
              </w:tc>
            </w:tr>
          </w:tbl>
          <w:p w14:paraId="3A25810C">
            <w:pPr>
              <w:pStyle w:val="51"/>
              <w:ind w:firstLine="480"/>
            </w:pPr>
            <w:r>
              <w:rPr>
                <w:rFonts w:hint="eastAsia"/>
                <w:color w:val="auto"/>
              </w:rPr>
              <w:t>综上，本项目与《安徽省江南产业集中区产业发展规划（2019-2030）环境影响报告书》及其审查意见相符。</w:t>
            </w:r>
          </w:p>
        </w:tc>
      </w:tr>
      <w:tr w14:paraId="0B9D5D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1024" w:type="dxa"/>
            <w:vAlign w:val="center"/>
          </w:tcPr>
          <w:p w14:paraId="342FBC63">
            <w:pPr>
              <w:autoSpaceDE w:val="0"/>
              <w:autoSpaceDN w:val="0"/>
              <w:adjustRightInd w:val="0"/>
              <w:snapToGrid w:val="0"/>
              <w:jc w:val="center"/>
              <w:rPr>
                <w:kern w:val="0"/>
                <w:sz w:val="24"/>
              </w:rPr>
            </w:pPr>
            <w:r>
              <w:rPr>
                <w:kern w:val="0"/>
                <w:sz w:val="24"/>
              </w:rPr>
              <w:t>其他符合性分析</w:t>
            </w:r>
          </w:p>
        </w:tc>
        <w:tc>
          <w:tcPr>
            <w:tcW w:w="8028" w:type="dxa"/>
            <w:gridSpan w:val="3"/>
            <w:vAlign w:val="center"/>
          </w:tcPr>
          <w:p w14:paraId="2428507D">
            <w:pPr>
              <w:pStyle w:val="51"/>
              <w:ind w:firstLine="482"/>
              <w:rPr>
                <w:b/>
                <w:bCs/>
              </w:rPr>
            </w:pPr>
            <w:r>
              <w:rPr>
                <w:rFonts w:hint="eastAsia"/>
                <w:b/>
                <w:bCs/>
              </w:rPr>
              <w:t>1、产业政策符合性分析</w:t>
            </w:r>
          </w:p>
          <w:p w14:paraId="3FB91412">
            <w:pPr>
              <w:pStyle w:val="51"/>
              <w:ind w:firstLine="480"/>
              <w:rPr>
                <w:rFonts w:hint="eastAsia"/>
              </w:rPr>
            </w:pPr>
            <w:r>
              <w:rPr>
                <w:rFonts w:hint="eastAsia"/>
              </w:rPr>
              <w:t>本项目产品为LED显示模组</w:t>
            </w:r>
            <w:r>
              <w:rPr>
                <w:rFonts w:hint="eastAsia"/>
                <w:lang w:val="en-US" w:eastAsia="zh-CN"/>
              </w:rPr>
              <w:t>和</w:t>
            </w:r>
            <w:r>
              <w:rPr>
                <w:rFonts w:hint="eastAsia"/>
              </w:rPr>
              <w:t>COB灯带，国民经济行业类别为“C3974显示器件制造</w:t>
            </w:r>
            <w:r>
              <w:rPr>
                <w:rFonts w:hint="eastAsia"/>
                <w:lang w:eastAsia="zh-CN"/>
              </w:rPr>
              <w:t>”</w:t>
            </w:r>
            <w:r>
              <w:rPr>
                <w:rFonts w:hint="eastAsia"/>
                <w:lang w:val="en-US" w:eastAsia="zh-CN"/>
              </w:rPr>
              <w:t>和“</w:t>
            </w:r>
            <w:r>
              <w:rPr>
                <w:rFonts w:hint="eastAsia"/>
              </w:rPr>
              <w:t>C3871电光源制造”。对照《产业结构调整指导目录（20</w:t>
            </w:r>
            <w:r>
              <w:t>24</w:t>
            </w:r>
            <w:r>
              <w:rPr>
                <w:rFonts w:hint="eastAsia"/>
              </w:rPr>
              <w:t>年本）》可知，本</w:t>
            </w:r>
            <w:r>
              <w:rPr>
                <w:rFonts w:hint="default"/>
              </w:rPr>
              <w:t>项目不属于现行国家产业政策中规定的鼓励类、限制类和淘汰类项目，可视为允许类，</w:t>
            </w:r>
            <w:r>
              <w:rPr>
                <w:rFonts w:hint="eastAsia"/>
              </w:rPr>
              <w:t>本项目已于2</w:t>
            </w:r>
            <w:r>
              <w:rPr>
                <w:rFonts w:hint="default"/>
              </w:rPr>
              <w:t>02</w:t>
            </w:r>
            <w:r>
              <w:rPr>
                <w:rFonts w:hint="eastAsia"/>
                <w:lang w:val="en-US" w:eastAsia="zh-CN"/>
              </w:rPr>
              <w:t>5</w:t>
            </w:r>
            <w:r>
              <w:rPr>
                <w:rFonts w:hint="eastAsia"/>
              </w:rPr>
              <w:t>年</w:t>
            </w:r>
            <w:r>
              <w:rPr>
                <w:rFonts w:hint="eastAsia"/>
                <w:lang w:val="en-US" w:eastAsia="zh-CN"/>
              </w:rPr>
              <w:t>11</w:t>
            </w:r>
            <w:r>
              <w:rPr>
                <w:rFonts w:hint="eastAsia"/>
              </w:rPr>
              <w:t>月</w:t>
            </w:r>
            <w:r>
              <w:rPr>
                <w:rFonts w:hint="eastAsia"/>
                <w:lang w:val="en-US" w:eastAsia="zh-CN"/>
              </w:rPr>
              <w:t>2</w:t>
            </w:r>
            <w:r>
              <w:rPr>
                <w:rFonts w:hint="eastAsia"/>
              </w:rPr>
              <w:t>1日取得皖江江南产业集中区管委会产业发展部关于本项目的备案（项目代码：2510-341763-04-01-777695）。</w:t>
            </w:r>
          </w:p>
          <w:p w14:paraId="7BE53098">
            <w:pPr>
              <w:pStyle w:val="51"/>
              <w:ind w:firstLine="480"/>
            </w:pPr>
            <w:r>
              <w:rPr>
                <w:rFonts w:hint="eastAsia"/>
              </w:rPr>
              <w:t>综上分析，本项目符合国家产业政策。</w:t>
            </w:r>
          </w:p>
          <w:p w14:paraId="5F8DE8AE">
            <w:pPr>
              <w:pStyle w:val="51"/>
              <w:keepNext w:val="0"/>
              <w:keepLines w:val="0"/>
              <w:suppressLineNumbers w:val="0"/>
              <w:spacing w:before="0" w:beforeAutospacing="0" w:after="0" w:afterAutospacing="0"/>
              <w:ind w:left="0" w:right="0" w:firstLine="482"/>
              <w:rPr>
                <w:rFonts w:hint="default"/>
                <w:b/>
                <w:bCs/>
                <w:color w:val="FF0000"/>
              </w:rPr>
            </w:pPr>
            <w:r>
              <w:rPr>
                <w:rFonts w:hint="eastAsia"/>
                <w:b/>
                <w:bCs/>
                <w:color w:val="FF0000"/>
              </w:rPr>
              <w:t>2、国土空间规划成果符合性分析</w:t>
            </w:r>
          </w:p>
          <w:p w14:paraId="0AABB444">
            <w:pPr>
              <w:pStyle w:val="51"/>
              <w:keepNext w:val="0"/>
              <w:keepLines w:val="0"/>
              <w:suppressLineNumbers w:val="0"/>
              <w:spacing w:before="0" w:beforeAutospacing="0" w:after="0" w:afterAutospacing="0"/>
              <w:ind w:left="0" w:right="0" w:firstLine="482"/>
              <w:rPr>
                <w:rFonts w:hint="eastAsia"/>
                <w:color w:val="FF0000"/>
              </w:rPr>
            </w:pPr>
            <w:r>
              <w:rPr>
                <w:rFonts w:hint="eastAsia"/>
                <w:color w:val="FF0000"/>
              </w:rPr>
              <w:t>国土空间规划是根据城镇空间、农业空间、生态空间三种类型的空间，分别对应划定的城镇开发边界、永久基本农田保护红线、生态保护红线三条控制线（“三区三线”），依据划定规则统筹划定耕地和永久基本农田、生态保护红线、城镇开发边界，确保落实耕地保护任务，稳定生态保护格局，合理确定城镇空间，同步建设国土空间规划“一张图”实施监督信息系统。</w:t>
            </w:r>
          </w:p>
          <w:p w14:paraId="46324ADB">
            <w:pPr>
              <w:pStyle w:val="51"/>
              <w:keepNext w:val="0"/>
              <w:keepLines w:val="0"/>
              <w:suppressLineNumbers w:val="0"/>
              <w:spacing w:before="0" w:beforeAutospacing="0" w:after="0" w:afterAutospacing="0"/>
              <w:ind w:left="0" w:right="0" w:firstLine="482"/>
              <w:rPr>
                <w:rFonts w:hint="eastAsia"/>
                <w:b/>
                <w:bCs/>
                <w:color w:val="FF0000"/>
              </w:rPr>
            </w:pPr>
            <w:r>
              <w:rPr>
                <w:rFonts w:hint="eastAsia"/>
                <w:color w:val="FF0000"/>
              </w:rPr>
              <w:t>根据前文分析，本项目选址于皖江江南新兴产业集中区众飞产业园，现状为工业用地。对照《</w:t>
            </w:r>
            <w:r>
              <w:rPr>
                <w:rFonts w:hint="eastAsia"/>
                <w:color w:val="FF0000"/>
                <w:lang w:val="en-US" w:eastAsia="zh-CN"/>
              </w:rPr>
              <w:t>池州</w:t>
            </w:r>
            <w:r>
              <w:rPr>
                <w:rFonts w:hint="eastAsia"/>
                <w:color w:val="FF0000"/>
              </w:rPr>
              <w:t>市国土空间总体规划（2021-2035年）》成果</w:t>
            </w:r>
            <w:r>
              <w:rPr>
                <w:rFonts w:hint="eastAsia"/>
                <w:color w:val="FF0000"/>
                <w:highlight w:val="none"/>
              </w:rPr>
              <w:t>（附图</w:t>
            </w:r>
            <w:r>
              <w:rPr>
                <w:rFonts w:hint="eastAsia"/>
                <w:color w:val="FF0000"/>
                <w:highlight w:val="none"/>
                <w:lang w:val="en-US" w:eastAsia="zh-CN"/>
              </w:rPr>
              <w:t>13</w:t>
            </w:r>
            <w:r>
              <w:rPr>
                <w:rFonts w:hint="eastAsia"/>
                <w:color w:val="FF0000"/>
                <w:highlight w:val="none"/>
              </w:rPr>
              <w:t>）</w:t>
            </w:r>
            <w:r>
              <w:rPr>
                <w:rFonts w:hint="eastAsia"/>
                <w:color w:val="FF0000"/>
              </w:rPr>
              <w:t>，本项目未占用生态红线、永久基本农田，在城镇开发边界内。</w:t>
            </w:r>
          </w:p>
          <w:p w14:paraId="7A59598D">
            <w:pPr>
              <w:pStyle w:val="51"/>
              <w:keepNext w:val="0"/>
              <w:keepLines w:val="0"/>
              <w:suppressLineNumbers w:val="0"/>
              <w:spacing w:before="0" w:beforeAutospacing="0" w:after="0" w:afterAutospacing="0"/>
              <w:ind w:left="0" w:right="0" w:firstLine="482"/>
              <w:rPr>
                <w:rFonts w:hint="default"/>
                <w:b/>
                <w:bCs/>
              </w:rPr>
            </w:pPr>
            <w:r>
              <w:rPr>
                <w:rFonts w:hint="eastAsia"/>
                <w:b/>
                <w:bCs/>
                <w:lang w:val="en-US" w:eastAsia="zh-CN"/>
              </w:rPr>
              <w:t>3</w:t>
            </w:r>
            <w:r>
              <w:rPr>
                <w:rFonts w:hint="eastAsia"/>
                <w:b/>
                <w:bCs/>
              </w:rPr>
              <w:t>、选址合理性分析</w:t>
            </w:r>
          </w:p>
          <w:p w14:paraId="4C9479D5">
            <w:pPr>
              <w:pStyle w:val="205"/>
              <w:ind w:firstLine="480"/>
              <w:rPr>
                <w:color w:val="auto"/>
              </w:rPr>
            </w:pPr>
            <w:r>
              <w:rPr>
                <w:rFonts w:hint="eastAsia"/>
                <w:color w:val="auto"/>
              </w:rPr>
              <w:t>本项目位于池州市皖江江南新兴产业集中区众飞产业园3号厂房一层，根据安徽省江南产业集中区总体规划图，本项目用地为工业用地。项目位于众飞产业园内</w:t>
            </w:r>
            <w:r>
              <w:rPr>
                <w:rFonts w:hint="eastAsia"/>
                <w:color w:val="auto"/>
                <w:lang w:eastAsia="zh-CN"/>
              </w:rPr>
              <w:t>。</w:t>
            </w:r>
            <w:r>
              <w:rPr>
                <w:rFonts w:hint="eastAsia"/>
                <w:color w:val="FF0000"/>
                <w:lang w:val="en-US" w:eastAsia="zh-CN"/>
              </w:rPr>
              <w:t>众飞科技园的主导产业为‌半导体产业‌，具体聚焦于‌LED半导体封装与照明芯片‌等细分领域，东侧为安徽万峰精工铝业科技有限公司</w:t>
            </w:r>
            <w:r>
              <w:rPr>
                <w:rFonts w:hint="eastAsia"/>
                <w:color w:val="FF0000"/>
              </w:rPr>
              <w:t>，</w:t>
            </w:r>
            <w:r>
              <w:rPr>
                <w:rFonts w:hint="eastAsia"/>
                <w:color w:val="FF0000"/>
                <w:lang w:val="en-US" w:eastAsia="zh-CN"/>
              </w:rPr>
              <w:t>南侧为池州通威饲料有限公司，西侧为兴锋产业园，北侧为安徽厂龙纺织科技有限公司，</w:t>
            </w:r>
            <w:r>
              <w:rPr>
                <w:color w:val="auto"/>
              </w:rPr>
              <w:t>目前</w:t>
            </w:r>
            <w:r>
              <w:rPr>
                <w:rFonts w:hint="eastAsia"/>
                <w:color w:val="auto"/>
              </w:rPr>
              <w:t>众飞产业园</w:t>
            </w:r>
            <w:r>
              <w:rPr>
                <w:color w:val="auto"/>
              </w:rPr>
              <w:t>道路、供水、供电等基础设施建设较完善，所选场址能够满足交通、水源、基础设施</w:t>
            </w:r>
            <w:r>
              <w:rPr>
                <w:rFonts w:hint="eastAsia"/>
                <w:color w:val="auto"/>
              </w:rPr>
              <w:t>要求</w:t>
            </w:r>
            <w:r>
              <w:rPr>
                <w:color w:val="auto"/>
              </w:rPr>
              <w:t>等。</w:t>
            </w:r>
          </w:p>
          <w:p w14:paraId="5B6EABDD">
            <w:pPr>
              <w:pStyle w:val="205"/>
              <w:keepNext w:val="0"/>
              <w:keepLines w:val="0"/>
              <w:suppressLineNumbers w:val="0"/>
              <w:spacing w:before="0" w:beforeAutospacing="0" w:after="0" w:afterAutospacing="0"/>
              <w:ind w:left="0" w:right="0" w:firstLine="480"/>
              <w:rPr>
                <w:rFonts w:hint="default"/>
              </w:rPr>
            </w:pPr>
            <w:r>
              <w:rPr>
                <w:rFonts w:hint="eastAsia"/>
                <w:color w:val="auto"/>
              </w:rPr>
              <w:t>本项目厂界外500m范围内</w:t>
            </w:r>
            <w:r>
              <w:rPr>
                <w:rFonts w:hint="eastAsia"/>
              </w:rPr>
              <w:t>无自然保护区、风景名胜区、文化区和农村地区中人群较集中的区域，</w:t>
            </w:r>
            <w:r>
              <w:rPr>
                <w:rFonts w:hint="eastAsia"/>
                <w:lang w:val="en-US" w:eastAsia="zh-CN"/>
              </w:rPr>
              <w:t>有居住区；</w:t>
            </w:r>
            <w:r>
              <w:rPr>
                <w:rFonts w:hint="eastAsia"/>
                <w:color w:val="auto"/>
              </w:rPr>
              <w:t>本项目生产</w:t>
            </w:r>
            <w:r>
              <w:rPr>
                <w:rFonts w:hint="eastAsia"/>
                <w:color w:val="auto"/>
                <w:lang w:val="en-US" w:eastAsia="zh-CN"/>
              </w:rPr>
              <w:t>过程</w:t>
            </w:r>
            <w:r>
              <w:rPr>
                <w:rFonts w:hint="eastAsia"/>
                <w:color w:val="auto"/>
              </w:rPr>
              <w:t>中排放的大气污染因子包括VOCs</w:t>
            </w:r>
            <w:r>
              <w:rPr>
                <w:rFonts w:hint="eastAsia"/>
                <w:color w:val="auto"/>
                <w:lang w:eastAsia="zh-CN"/>
              </w:rPr>
              <w:t>、</w:t>
            </w:r>
            <w:r>
              <w:rPr>
                <w:rFonts w:hint="eastAsia"/>
                <w:color w:val="auto"/>
                <w:lang w:val="en-US" w:eastAsia="zh-CN"/>
              </w:rPr>
              <w:t>颗粒物</w:t>
            </w:r>
            <w:r>
              <w:rPr>
                <w:rFonts w:hint="eastAsia"/>
                <w:color w:val="auto"/>
              </w:rPr>
              <w:t>和锡及其化合物，生产废气经</w:t>
            </w:r>
            <w:r>
              <w:rPr>
                <w:rFonts w:hint="eastAsia"/>
                <w:color w:val="auto"/>
                <w:lang w:val="en-US" w:eastAsia="zh-CN"/>
              </w:rPr>
              <w:t>集气罩和</w:t>
            </w:r>
            <w:r>
              <w:rPr>
                <w:rFonts w:hint="eastAsia"/>
                <w:color w:val="auto"/>
              </w:rPr>
              <w:t>集气管道收集后，通过“过滤棉+二级活性炭吸附装置”处理后由2</w:t>
            </w:r>
            <w:r>
              <w:rPr>
                <w:rFonts w:hint="eastAsia"/>
                <w:color w:val="auto"/>
                <w:lang w:val="en-US" w:eastAsia="zh-CN"/>
              </w:rPr>
              <w:t>5</w:t>
            </w:r>
            <w:r>
              <w:rPr>
                <w:rFonts w:hint="eastAsia"/>
                <w:color w:val="auto"/>
              </w:rPr>
              <w:t>m高排气筒DA001排放，污染物排放量较小，均能实现达标排放</w:t>
            </w:r>
            <w:r>
              <w:rPr>
                <w:rFonts w:hint="eastAsia"/>
                <w:color w:val="auto"/>
                <w:lang w:eastAsia="zh-CN"/>
              </w:rPr>
              <w:t>，</w:t>
            </w:r>
            <w:r>
              <w:rPr>
                <w:rFonts w:hint="default"/>
                <w:color w:val="000000" w:themeColor="text1"/>
                <w14:textFill>
                  <w14:solidFill>
                    <w14:schemeClr w14:val="tx1"/>
                  </w14:solidFill>
                </w14:textFill>
              </w:rPr>
              <w:t>不会改变区域大气环境功能；项目</w:t>
            </w:r>
            <w:r>
              <w:rPr>
                <w:rFonts w:hint="eastAsia"/>
                <w:color w:val="000000" w:themeColor="text1"/>
                <w14:textFill>
                  <w14:solidFill>
                    <w14:schemeClr w14:val="tx1"/>
                  </w14:solidFill>
                </w14:textFill>
              </w:rPr>
              <w:t>无生产废水，生活污水经化粪池预处理后接入市政管网排入</w:t>
            </w:r>
            <w:r>
              <w:rPr>
                <w:rFonts w:hint="eastAsia"/>
                <w:bCs/>
                <w:color w:val="000000" w:themeColor="text1"/>
                <w14:textFill>
                  <w14:solidFill>
                    <w14:schemeClr w14:val="tx1"/>
                  </w14:solidFill>
                </w14:textFill>
              </w:rPr>
              <w:t>皖江江南新兴产业集中区第一污水处理厂</w:t>
            </w:r>
            <w:r>
              <w:rPr>
                <w:rFonts w:hint="eastAsia"/>
                <w:color w:val="000000" w:themeColor="text1"/>
                <w14:textFill>
                  <w14:solidFill>
                    <w14:schemeClr w14:val="tx1"/>
                  </w14:solidFill>
                </w14:textFill>
              </w:rPr>
              <w:t>集中处理</w:t>
            </w:r>
            <w:r>
              <w:rPr>
                <w:rFonts w:hint="default"/>
                <w:color w:val="000000" w:themeColor="text1"/>
                <w14:textFill>
                  <w14:solidFill>
                    <w14:schemeClr w14:val="tx1"/>
                  </w14:solidFill>
                </w14:textFill>
              </w:rPr>
              <w:t>，对周边地表水水质不产生影响；项目产生的工业固废能妥善处置，不会产生二次污染</w:t>
            </w:r>
            <w:r>
              <w:rPr>
                <w:rFonts w:hint="eastAsia"/>
                <w:color w:val="000000" w:themeColor="text1"/>
                <w14:textFill>
                  <w14:solidFill>
                    <w14:schemeClr w14:val="tx1"/>
                  </w14:solidFill>
                </w14:textFill>
              </w:rPr>
              <w:t>。因此</w:t>
            </w:r>
            <w:r>
              <w:rPr>
                <w:rFonts w:hint="eastAsia"/>
              </w:rPr>
              <w:t>本项目实施后不会降低区域环境质量现有的功能要求</w:t>
            </w:r>
            <w:r>
              <w:rPr>
                <w:rFonts w:hint="default"/>
                <w:color w:val="000000" w:themeColor="text1"/>
                <w14:textFill>
                  <w14:solidFill>
                    <w14:schemeClr w14:val="tx1"/>
                  </w14:solidFill>
                </w14:textFill>
              </w:rPr>
              <w:t>。</w:t>
            </w:r>
          </w:p>
          <w:p w14:paraId="26A8A3E2">
            <w:pPr>
              <w:pStyle w:val="205"/>
              <w:ind w:firstLine="480"/>
              <w:rPr>
                <w:rFonts w:hint="eastAsia"/>
              </w:rPr>
            </w:pPr>
            <w:r>
              <w:rPr>
                <w:rFonts w:hint="eastAsia"/>
              </w:rPr>
              <w:t>综上所述，项目选址合理可行。</w:t>
            </w:r>
          </w:p>
          <w:p w14:paraId="6A29FDDD">
            <w:pPr>
              <w:pStyle w:val="51"/>
              <w:ind w:firstLine="482"/>
              <w:rPr>
                <w:b/>
                <w:bCs/>
                <w:color w:val="auto"/>
              </w:rPr>
            </w:pPr>
            <w:r>
              <w:rPr>
                <w:rFonts w:hint="eastAsia"/>
                <w:b/>
                <w:bCs/>
                <w:color w:val="auto"/>
                <w:lang w:val="en-US" w:eastAsia="zh-CN"/>
              </w:rPr>
              <w:t>4</w:t>
            </w:r>
            <w:r>
              <w:rPr>
                <w:rFonts w:hint="eastAsia"/>
                <w:b/>
                <w:bCs/>
                <w:color w:val="auto"/>
              </w:rPr>
              <w:t>、与</w:t>
            </w:r>
            <w:r>
              <w:rPr>
                <w:rFonts w:hint="eastAsia"/>
                <w:b/>
                <w:bCs/>
                <w:color w:val="auto"/>
                <w:lang w:val="en-US" w:eastAsia="zh-CN"/>
              </w:rPr>
              <w:t>池州市生态环境分区管控</w:t>
            </w:r>
            <w:r>
              <w:rPr>
                <w:rFonts w:hint="eastAsia"/>
                <w:b/>
                <w:bCs/>
                <w:color w:val="auto"/>
              </w:rPr>
              <w:t>的符合性分析</w:t>
            </w:r>
          </w:p>
          <w:p w14:paraId="67FCEF22">
            <w:pPr>
              <w:pStyle w:val="51"/>
              <w:rPr>
                <w:color w:val="auto"/>
              </w:rPr>
            </w:pPr>
            <w:r>
              <w:rPr>
                <w:rFonts w:hint="eastAsia"/>
                <w:color w:val="auto"/>
              </w:rPr>
              <w:t>2020年6月29日，安徽省人民政府发布了《关于加快实施“三线一单”生态环境分区管控的通知》（皖政秘[2020]124号）；2022年1月10日，安徽省生态环境厅以皖环发[2022]5号文印发《安徽省“三线一单”生态环境分区管控管理办法（暂行）》（以下简称《办法》）。《办法》要求：“在建设项目环评中，做好与“三线一单”生态环境分区管控相符性分析，充分论证是否符合生态环境准入清单要求，对不符合的依法不予审批”。</w:t>
            </w:r>
          </w:p>
          <w:p w14:paraId="6D6EE21C">
            <w:pPr>
              <w:pStyle w:val="51"/>
              <w:rPr>
                <w:color w:val="auto"/>
              </w:rPr>
            </w:pPr>
            <w:r>
              <w:rPr>
                <w:rFonts w:hint="eastAsia"/>
                <w:color w:val="auto"/>
              </w:rPr>
              <w:t>2</w:t>
            </w:r>
            <w:r>
              <w:rPr>
                <w:color w:val="auto"/>
              </w:rPr>
              <w:t>020</w:t>
            </w:r>
            <w:r>
              <w:rPr>
                <w:rFonts w:hint="eastAsia"/>
                <w:color w:val="auto"/>
              </w:rPr>
              <w:t>年1</w:t>
            </w:r>
            <w:r>
              <w:rPr>
                <w:color w:val="auto"/>
              </w:rPr>
              <w:t>2</w:t>
            </w:r>
            <w:r>
              <w:rPr>
                <w:rFonts w:hint="eastAsia"/>
                <w:color w:val="auto"/>
              </w:rPr>
              <w:t>月，编制完成《长江经济带战略环境评价池州市“三线一单”编制文本》。</w:t>
            </w:r>
            <w:r>
              <w:rPr>
                <w:rStyle w:val="25"/>
                <w:color w:val="auto"/>
                <w:szCs w:val="20"/>
              </w:rPr>
              <w:t>2023</w:t>
            </w:r>
            <w:r>
              <w:rPr>
                <w:rStyle w:val="25"/>
                <w:rFonts w:hint="eastAsia"/>
                <w:color w:val="auto"/>
                <w:szCs w:val="20"/>
              </w:rPr>
              <w:t>年</w:t>
            </w:r>
            <w:r>
              <w:rPr>
                <w:rStyle w:val="25"/>
                <w:rFonts w:hint="eastAsia"/>
                <w:color w:val="auto"/>
                <w:szCs w:val="20"/>
                <w:lang w:val="en-US" w:eastAsia="zh-CN"/>
              </w:rPr>
              <w:t>8</w:t>
            </w:r>
            <w:r>
              <w:rPr>
                <w:rStyle w:val="25"/>
                <w:rFonts w:hint="eastAsia"/>
                <w:color w:val="auto"/>
                <w:szCs w:val="20"/>
              </w:rPr>
              <w:t>月，</w:t>
            </w:r>
            <w:r>
              <w:rPr>
                <w:rFonts w:hint="eastAsia"/>
                <w:color w:val="auto"/>
              </w:rPr>
              <w:t>编制完成《</w:t>
            </w:r>
            <w:r>
              <w:rPr>
                <w:rFonts w:hint="eastAsia"/>
                <w:color w:val="auto"/>
                <w:lang w:val="en-US" w:eastAsia="zh-CN"/>
              </w:rPr>
              <w:t>池州</w:t>
            </w:r>
            <w:r>
              <w:rPr>
                <w:rFonts w:hint="eastAsia"/>
                <w:color w:val="auto"/>
              </w:rPr>
              <w:t>市生态环境分区管控成果动态更新情况说明》及生态环境分区管控成果图集。</w:t>
            </w:r>
          </w:p>
          <w:p w14:paraId="51E5488D">
            <w:pPr>
              <w:pStyle w:val="51"/>
              <w:rPr>
                <w:color w:val="auto"/>
              </w:rPr>
            </w:pPr>
            <w:r>
              <w:rPr>
                <w:rFonts w:hint="eastAsia"/>
                <w:color w:val="auto"/>
              </w:rPr>
              <w:t>（1）生态保护红线及生态分区管控</w:t>
            </w:r>
          </w:p>
          <w:p w14:paraId="641D3724">
            <w:pPr>
              <w:pStyle w:val="51"/>
              <w:rPr>
                <w:color w:val="auto"/>
              </w:rPr>
            </w:pPr>
            <w:r>
              <w:rPr>
                <w:rFonts w:hint="eastAsia"/>
                <w:color w:val="auto"/>
              </w:rPr>
              <w:t>根据池州市生态环境分区管控成果，本项目选址位于皖江江南新兴产业集中区，用地不占用生态保护红线</w:t>
            </w:r>
            <w:r>
              <w:rPr>
                <w:rFonts w:hint="eastAsia"/>
                <w:color w:val="auto"/>
                <w:highlight w:val="none"/>
              </w:rPr>
              <w:t>（附图</w:t>
            </w:r>
            <w:r>
              <w:rPr>
                <w:rFonts w:hint="eastAsia"/>
                <w:color w:val="auto"/>
                <w:highlight w:val="none"/>
                <w:lang w:val="en-US" w:eastAsia="zh-CN"/>
              </w:rPr>
              <w:t>8</w:t>
            </w:r>
            <w:r>
              <w:rPr>
                <w:rFonts w:hint="eastAsia"/>
                <w:color w:val="auto"/>
                <w:highlight w:val="none"/>
              </w:rPr>
              <w:t>）</w:t>
            </w:r>
            <w:r>
              <w:rPr>
                <w:rFonts w:hint="eastAsia"/>
                <w:color w:val="auto"/>
              </w:rPr>
              <w:t>，也不在当地饮用水源、风景区、自然保护区等生态保护区内，符合生态保护红线要求。</w:t>
            </w:r>
          </w:p>
          <w:p w14:paraId="4FD94BD3">
            <w:pPr>
              <w:pStyle w:val="51"/>
              <w:rPr>
                <w:color w:val="auto"/>
              </w:rPr>
            </w:pPr>
            <w:r>
              <w:rPr>
                <w:rFonts w:hint="eastAsia"/>
                <w:color w:val="auto"/>
              </w:rPr>
              <w:t>（2）环境质量底线及分区管控</w:t>
            </w:r>
          </w:p>
          <w:p w14:paraId="5E3EBF22">
            <w:pPr>
              <w:pStyle w:val="51"/>
              <w:rPr>
                <w:color w:val="auto"/>
              </w:rPr>
            </w:pPr>
            <w:r>
              <w:rPr>
                <w:rFonts w:hint="eastAsia"/>
                <w:color w:val="auto"/>
              </w:rPr>
              <w:t>1）水环境分区管控要求</w:t>
            </w:r>
          </w:p>
          <w:p w14:paraId="28376141">
            <w:pPr>
              <w:pStyle w:val="51"/>
              <w:rPr>
                <w:color w:val="auto"/>
              </w:rPr>
            </w:pPr>
            <w:r>
              <w:rPr>
                <w:rFonts w:hint="eastAsia"/>
                <w:color w:val="auto"/>
              </w:rPr>
              <w:t>根据池州市生态环境分区管控成果，水环境管控分区包括优先保护区、重点管控区和一般管控区。对照池州市水环境分区管控图</w:t>
            </w:r>
            <w:r>
              <w:rPr>
                <w:rFonts w:hint="eastAsia"/>
                <w:color w:val="auto"/>
                <w:highlight w:val="none"/>
              </w:rPr>
              <w:t>（附图</w:t>
            </w:r>
            <w:r>
              <w:rPr>
                <w:rFonts w:hint="eastAsia"/>
                <w:color w:val="auto"/>
                <w:highlight w:val="none"/>
                <w:lang w:val="en-US" w:eastAsia="zh-CN"/>
              </w:rPr>
              <w:t>10</w:t>
            </w:r>
            <w:r>
              <w:rPr>
                <w:rFonts w:hint="eastAsia"/>
                <w:color w:val="auto"/>
                <w:highlight w:val="none"/>
              </w:rPr>
              <w:t>）</w:t>
            </w:r>
            <w:r>
              <w:rPr>
                <w:rFonts w:hint="eastAsia"/>
                <w:color w:val="auto"/>
              </w:rPr>
              <w:t>，拟建项目位于水环境工业污染重点管控区。拟建项目无生产废水产生，生活污水依托园区化粪池预处理后由污水总排口接管市政污水管网进入皖江江南新兴产业集中区第一污水处理厂，经污水处理厂处理达到《城镇污水处理厂污染物排放标准》（GB18918-2002）一级A标准后排至九华河</w:t>
            </w:r>
            <w:r>
              <w:rPr>
                <w:rFonts w:hint="eastAsia"/>
                <w:color w:val="auto"/>
                <w:lang w:eastAsia="zh-CN"/>
              </w:rPr>
              <w:t>。</w:t>
            </w:r>
            <w:r>
              <w:rPr>
                <w:rFonts w:hint="eastAsia"/>
                <w:color w:val="auto"/>
                <w:lang w:val="en-US" w:eastAsia="zh-CN"/>
              </w:rPr>
              <w:t>综上，本项目建设</w:t>
            </w:r>
            <w:r>
              <w:rPr>
                <w:rFonts w:hint="eastAsia"/>
                <w:color w:val="auto"/>
              </w:rPr>
              <w:t>不会突破区域水环境质量底线。</w:t>
            </w:r>
          </w:p>
          <w:p w14:paraId="6F9AD5A6">
            <w:pPr>
              <w:pStyle w:val="51"/>
              <w:rPr>
                <w:color w:val="auto"/>
              </w:rPr>
            </w:pPr>
            <w:r>
              <w:rPr>
                <w:rFonts w:hint="eastAsia"/>
                <w:color w:val="auto"/>
              </w:rPr>
              <w:t>2）大气环境质量底线及分区管控</w:t>
            </w:r>
          </w:p>
          <w:p w14:paraId="220335BF">
            <w:pPr>
              <w:pStyle w:val="51"/>
              <w:rPr>
                <w:color w:val="auto"/>
              </w:rPr>
            </w:pPr>
            <w:r>
              <w:rPr>
                <w:rFonts w:hint="eastAsia"/>
                <w:color w:val="auto"/>
              </w:rPr>
              <w:t>根据池州市生态环境分区管控成果，大气环境管控分区包括优先保护区、重点管控区和一般管控区。对照池州市大气环境分区管控图</w:t>
            </w:r>
            <w:r>
              <w:rPr>
                <w:rFonts w:hint="eastAsia"/>
                <w:color w:val="auto"/>
                <w:highlight w:val="none"/>
              </w:rPr>
              <w:t>（附图</w:t>
            </w:r>
            <w:r>
              <w:rPr>
                <w:rFonts w:hint="eastAsia"/>
                <w:color w:val="auto"/>
                <w:highlight w:val="none"/>
                <w:lang w:val="en-US" w:eastAsia="zh-CN"/>
              </w:rPr>
              <w:t>9</w:t>
            </w:r>
            <w:r>
              <w:rPr>
                <w:rFonts w:hint="eastAsia"/>
                <w:color w:val="auto"/>
                <w:highlight w:val="none"/>
              </w:rPr>
              <w:t>）</w:t>
            </w:r>
            <w:r>
              <w:rPr>
                <w:rFonts w:hint="eastAsia"/>
                <w:color w:val="auto"/>
              </w:rPr>
              <w:t>，拟建项目位于</w:t>
            </w:r>
            <w:r>
              <w:rPr>
                <w:rFonts w:hint="eastAsia"/>
                <w:color w:val="auto"/>
                <w:lang w:val="en-US" w:eastAsia="zh-CN"/>
              </w:rPr>
              <w:t>受体敏感</w:t>
            </w:r>
            <w:r>
              <w:rPr>
                <w:rFonts w:hint="eastAsia"/>
                <w:color w:val="auto"/>
              </w:rPr>
              <w:t>重点管控区。</w:t>
            </w:r>
            <w:r>
              <w:rPr>
                <w:rFonts w:hint="eastAsia"/>
                <w:color w:val="FF0000"/>
              </w:rPr>
              <w:t>本项目生产废气经集气管道和集气罩收集后，通过“过滤棉+二级活性炭吸附装置”处理后由25m高排气筒DA001排放，污染物排放量较小，均能实现达标排放</w:t>
            </w:r>
            <w:r>
              <w:rPr>
                <w:rFonts w:hint="eastAsia"/>
                <w:color w:val="FF0000"/>
                <w:lang w:eastAsia="zh-CN"/>
              </w:rPr>
              <w:t>，</w:t>
            </w:r>
            <w:r>
              <w:rPr>
                <w:rFonts w:hint="eastAsia"/>
                <w:color w:val="auto"/>
              </w:rPr>
              <w:t>废气排放对周边环境影响较小。因此，项目建设满足大气环境质量底线及分区管控要求。</w:t>
            </w:r>
          </w:p>
          <w:p w14:paraId="70319E5A">
            <w:pPr>
              <w:pStyle w:val="51"/>
              <w:rPr>
                <w:color w:val="auto"/>
              </w:rPr>
            </w:pPr>
            <w:r>
              <w:rPr>
                <w:rFonts w:hint="eastAsia"/>
                <w:color w:val="auto"/>
              </w:rPr>
              <w:t>3）土壤环境风险防控底线及分区管控</w:t>
            </w:r>
          </w:p>
          <w:p w14:paraId="3A94C4DA">
            <w:pPr>
              <w:pStyle w:val="51"/>
              <w:rPr>
                <w:color w:val="auto"/>
              </w:rPr>
            </w:pPr>
            <w:r>
              <w:rPr>
                <w:rFonts w:hint="eastAsia"/>
                <w:color w:val="auto"/>
              </w:rPr>
              <w:t>土壤环境风险防控分区包括优先保护区、重点管控区和一般管控区。</w:t>
            </w:r>
          </w:p>
          <w:p w14:paraId="7850B73C">
            <w:pPr>
              <w:pStyle w:val="51"/>
              <w:rPr>
                <w:color w:val="auto"/>
              </w:rPr>
            </w:pPr>
            <w:r>
              <w:rPr>
                <w:rFonts w:hint="eastAsia"/>
                <w:color w:val="auto"/>
              </w:rPr>
              <w:t>对照池州市土壤污染风险分区管控图</w:t>
            </w:r>
            <w:r>
              <w:rPr>
                <w:rFonts w:hint="eastAsia"/>
                <w:color w:val="auto"/>
                <w:highlight w:val="none"/>
              </w:rPr>
              <w:t>（附图1</w:t>
            </w:r>
            <w:r>
              <w:rPr>
                <w:rFonts w:hint="eastAsia"/>
                <w:color w:val="auto"/>
                <w:highlight w:val="none"/>
                <w:lang w:val="en-US" w:eastAsia="zh-CN"/>
              </w:rPr>
              <w:t>1</w:t>
            </w:r>
            <w:r>
              <w:rPr>
                <w:rFonts w:hint="eastAsia"/>
                <w:color w:val="auto"/>
                <w:highlight w:val="none"/>
              </w:rPr>
              <w:t>）</w:t>
            </w:r>
            <w:r>
              <w:rPr>
                <w:rFonts w:hint="eastAsia"/>
                <w:color w:val="auto"/>
              </w:rPr>
              <w:t>，拟建项目选址属于一般防控区。本项目在采取本次环评提出的分区防渗、源头防控等土壤风险防范措施后，对土壤污染风险较小。</w:t>
            </w:r>
          </w:p>
          <w:p w14:paraId="4B92630B">
            <w:pPr>
              <w:pStyle w:val="51"/>
              <w:rPr>
                <w:color w:val="auto"/>
              </w:rPr>
            </w:pPr>
            <w:r>
              <w:rPr>
                <w:rFonts w:hint="eastAsia"/>
                <w:color w:val="auto"/>
              </w:rPr>
              <w:t>（3）资源利用上线及分区管控</w:t>
            </w:r>
          </w:p>
          <w:p w14:paraId="49EE8CB7">
            <w:pPr>
              <w:pStyle w:val="51"/>
              <w:rPr>
                <w:color w:val="auto"/>
              </w:rPr>
            </w:pPr>
            <w:r>
              <w:rPr>
                <w:rFonts w:hint="eastAsia"/>
                <w:color w:val="auto"/>
              </w:rPr>
              <w:t>《文本》中，主要对煤炭、水资源、土地资源提出了利用上限和分区管控要求。</w:t>
            </w:r>
          </w:p>
          <w:p w14:paraId="5F991BA6">
            <w:pPr>
              <w:pStyle w:val="51"/>
              <w:rPr>
                <w:color w:val="auto"/>
              </w:rPr>
            </w:pPr>
            <w:r>
              <w:rPr>
                <w:rFonts w:hint="eastAsia"/>
                <w:color w:val="auto"/>
              </w:rPr>
              <w:t>1）煤炭资源</w:t>
            </w:r>
          </w:p>
          <w:p w14:paraId="0FC6A0F9">
            <w:pPr>
              <w:pStyle w:val="51"/>
              <w:rPr>
                <w:color w:val="auto"/>
              </w:rPr>
            </w:pPr>
            <w:r>
              <w:rPr>
                <w:rFonts w:hint="eastAsia"/>
                <w:color w:val="auto"/>
              </w:rPr>
              <w:t>本项目不使用煤炭。</w:t>
            </w:r>
          </w:p>
          <w:p w14:paraId="521A38FD">
            <w:pPr>
              <w:pStyle w:val="51"/>
              <w:rPr>
                <w:color w:val="auto"/>
              </w:rPr>
            </w:pPr>
            <w:r>
              <w:rPr>
                <w:rFonts w:hint="eastAsia"/>
                <w:color w:val="auto"/>
              </w:rPr>
              <w:t>2）水资源</w:t>
            </w:r>
          </w:p>
          <w:p w14:paraId="53091528">
            <w:pPr>
              <w:pStyle w:val="51"/>
              <w:rPr>
                <w:color w:val="auto"/>
              </w:rPr>
            </w:pPr>
            <w:r>
              <w:rPr>
                <w:rFonts w:hint="eastAsia"/>
                <w:color w:val="auto"/>
              </w:rPr>
              <w:t>拟建项目主要用水为员工生活用水，项目供水依托园区市政给水管网，不会突破水资源利用上线。</w:t>
            </w:r>
          </w:p>
          <w:p w14:paraId="1E7D71CE">
            <w:pPr>
              <w:pStyle w:val="51"/>
              <w:rPr>
                <w:color w:val="auto"/>
              </w:rPr>
            </w:pPr>
            <w:r>
              <w:rPr>
                <w:color w:val="auto"/>
              </w:rPr>
              <w:t>3</w:t>
            </w:r>
            <w:r>
              <w:rPr>
                <w:rFonts w:hint="eastAsia"/>
                <w:color w:val="auto"/>
              </w:rPr>
              <w:t>）土地资源</w:t>
            </w:r>
          </w:p>
          <w:p w14:paraId="4D83B03F">
            <w:pPr>
              <w:pStyle w:val="51"/>
              <w:rPr>
                <w:color w:val="auto"/>
              </w:rPr>
            </w:pPr>
            <w:r>
              <w:rPr>
                <w:rFonts w:hint="eastAsia"/>
                <w:color w:val="auto"/>
              </w:rPr>
              <w:t>拟建项目位于皖江江南产业集中区，</w:t>
            </w:r>
            <w:r>
              <w:rPr>
                <w:rFonts w:hint="eastAsia"/>
                <w:color w:val="auto"/>
                <w:lang w:val="en-US" w:eastAsia="zh-CN"/>
              </w:rPr>
              <w:t>租赁众飞</w:t>
            </w:r>
            <w:r>
              <w:rPr>
                <w:rFonts w:hint="eastAsia"/>
                <w:color w:val="auto"/>
              </w:rPr>
              <w:t>产业园现有厂房，不新增用地。</w:t>
            </w:r>
          </w:p>
          <w:p w14:paraId="500D3482">
            <w:pPr>
              <w:pStyle w:val="51"/>
              <w:rPr>
                <w:color w:val="auto"/>
              </w:rPr>
            </w:pPr>
            <w:r>
              <w:rPr>
                <w:rFonts w:hint="eastAsia"/>
                <w:color w:val="auto"/>
              </w:rPr>
              <w:t>综上，拟建项目不会突破煤炭、水资源、土地利用上限。</w:t>
            </w:r>
          </w:p>
          <w:p w14:paraId="25A42DFA">
            <w:pPr>
              <w:pStyle w:val="51"/>
              <w:rPr>
                <w:rFonts w:hint="default" w:eastAsia="宋体"/>
                <w:color w:val="auto"/>
                <w:lang w:val="en-US" w:eastAsia="zh-CN"/>
              </w:rPr>
            </w:pPr>
            <w:r>
              <w:rPr>
                <w:rFonts w:hint="eastAsia"/>
                <w:color w:val="auto"/>
              </w:rPr>
              <w:t>（4）</w:t>
            </w:r>
            <w:r>
              <w:rPr>
                <w:rFonts w:hint="eastAsia"/>
                <w:color w:val="auto"/>
                <w:lang w:val="en-US" w:eastAsia="zh-CN"/>
              </w:rPr>
              <w:t>分区管控符合性分析</w:t>
            </w:r>
          </w:p>
          <w:p w14:paraId="1AB20B8E">
            <w:pPr>
              <w:pStyle w:val="51"/>
              <w:ind w:firstLine="480"/>
              <w:rPr>
                <w:rFonts w:hint="eastAsia"/>
              </w:rPr>
            </w:pPr>
            <w:r>
              <w:rPr>
                <w:rFonts w:hint="eastAsia"/>
                <w:color w:val="auto"/>
              </w:rPr>
              <w:t>通过查询安徽省“三线一单”公众服务平台，本项目位于重点管控单元（编码：ZH34170220006）。</w:t>
            </w:r>
            <w:r>
              <w:rPr>
                <w:color w:val="auto"/>
              </w:rPr>
              <w:t>项目与</w:t>
            </w:r>
            <w:r>
              <w:rPr>
                <w:rFonts w:hint="eastAsia"/>
                <w:color w:val="auto"/>
              </w:rPr>
              <w:t>“</w:t>
            </w:r>
            <w:r>
              <w:rPr>
                <w:color w:val="auto"/>
              </w:rPr>
              <w:t>三线一单生态环境准入清单</w:t>
            </w:r>
            <w:r>
              <w:rPr>
                <w:rFonts w:hint="eastAsia"/>
                <w:color w:val="auto"/>
              </w:rPr>
              <w:t>”</w:t>
            </w:r>
            <w:r>
              <w:rPr>
                <w:color w:val="auto"/>
              </w:rPr>
              <w:t>符合性分析</w:t>
            </w:r>
            <w:r>
              <w:rPr>
                <w:rFonts w:hint="eastAsia"/>
                <w:color w:val="auto"/>
              </w:rPr>
              <w:t>见下表</w:t>
            </w:r>
            <w:r>
              <w:rPr>
                <w:color w:val="auto"/>
              </w:rPr>
              <w:t>。</w:t>
            </w:r>
          </w:p>
          <w:p w14:paraId="32B2981E">
            <w:pPr>
              <w:pStyle w:val="51"/>
              <w:ind w:left="0" w:leftChars="0" w:firstLine="0" w:firstLineChars="0"/>
              <w:jc w:val="center"/>
              <w:rPr>
                <w:rFonts w:hint="eastAsia"/>
              </w:rPr>
            </w:pPr>
            <w:r>
              <w:drawing>
                <wp:inline distT="0" distB="0" distL="114300" distR="114300">
                  <wp:extent cx="4858385" cy="3272155"/>
                  <wp:effectExtent l="0" t="0" r="5715" b="4445"/>
                  <wp:docPr id="1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9"/>
                          <pic:cNvPicPr>
                            <a:picLocks noChangeAspect="1"/>
                          </pic:cNvPicPr>
                        </pic:nvPicPr>
                        <pic:blipFill>
                          <a:blip r:embed="rId10"/>
                          <a:stretch>
                            <a:fillRect/>
                          </a:stretch>
                        </pic:blipFill>
                        <pic:spPr>
                          <a:xfrm>
                            <a:off x="0" y="0"/>
                            <a:ext cx="4858385" cy="3272155"/>
                          </a:xfrm>
                          <a:prstGeom prst="rect">
                            <a:avLst/>
                          </a:prstGeom>
                          <a:noFill/>
                          <a:ln>
                            <a:noFill/>
                          </a:ln>
                        </pic:spPr>
                      </pic:pic>
                    </a:graphicData>
                  </a:graphic>
                </wp:inline>
              </w:drawing>
            </w:r>
          </w:p>
          <w:p w14:paraId="108F9708">
            <w:pPr>
              <w:pStyle w:val="51"/>
              <w:ind w:left="0" w:leftChars="0" w:firstLine="0" w:firstLineChars="0"/>
              <w:jc w:val="center"/>
              <w:rPr>
                <w:rFonts w:hint="default" w:eastAsia="宋体"/>
                <w:b/>
                <w:bCs/>
                <w:sz w:val="21"/>
                <w:szCs w:val="21"/>
                <w:lang w:val="en-US" w:eastAsia="zh-CN"/>
              </w:rPr>
            </w:pPr>
            <w:r>
              <w:rPr>
                <w:rFonts w:hint="eastAsia"/>
                <w:b/>
                <w:bCs/>
                <w:sz w:val="21"/>
                <w:szCs w:val="21"/>
                <w:lang w:val="en-US" w:eastAsia="zh-CN"/>
              </w:rPr>
              <w:t>图1-1 本项目与安徽省“三线一单”位置关系图</w:t>
            </w:r>
          </w:p>
          <w:p w14:paraId="650B62E0">
            <w:pPr>
              <w:pStyle w:val="51"/>
              <w:rPr>
                <w:rFonts w:hint="eastAsia" w:eastAsia="宋体"/>
                <w:color w:val="auto"/>
                <w:lang w:eastAsia="zh-CN"/>
              </w:rPr>
            </w:pPr>
            <w:r>
              <w:rPr>
                <w:rFonts w:hint="eastAsia"/>
                <w:color w:val="auto"/>
              </w:rPr>
              <w:t>经对照，项目与安徽省“三线一单”管控要求相符性如下</w:t>
            </w:r>
            <w:r>
              <w:rPr>
                <w:rFonts w:hint="eastAsia"/>
                <w:color w:val="auto"/>
                <w:lang w:eastAsia="zh-CN"/>
              </w:rPr>
              <w:t>：</w:t>
            </w:r>
          </w:p>
          <w:p w14:paraId="7EECB270">
            <w:pPr>
              <w:jc w:val="center"/>
              <w:rPr>
                <w:rFonts w:hint="eastAsia"/>
                <w:color w:val="000000"/>
              </w:rPr>
            </w:pPr>
            <w:r>
              <w:rPr>
                <w:b/>
                <w:bCs/>
                <w:color w:val="000000"/>
              </w:rPr>
              <w:t>表1</w:t>
            </w:r>
            <w:r>
              <w:rPr>
                <w:rFonts w:hint="eastAsia"/>
                <w:b/>
                <w:bCs/>
                <w:color w:val="000000"/>
              </w:rPr>
              <w:t>-3</w:t>
            </w:r>
            <w:r>
              <w:rPr>
                <w:rFonts w:hint="eastAsia"/>
                <w:b/>
                <w:bCs/>
                <w:color w:val="000000"/>
                <w:kern w:val="0"/>
              </w:rPr>
              <w:t xml:space="preserve">  </w:t>
            </w:r>
            <w:r>
              <w:rPr>
                <w:b/>
                <w:bCs/>
                <w:color w:val="000000"/>
              </w:rPr>
              <w:t>本项目区块与</w:t>
            </w:r>
            <w:r>
              <w:rPr>
                <w:rFonts w:hint="eastAsia"/>
                <w:b/>
                <w:bCs/>
                <w:color w:val="000000"/>
              </w:rPr>
              <w:t>安徽省“三线一单”管控要求相符性分析</w:t>
            </w:r>
          </w:p>
          <w:tbl>
            <w:tblPr>
              <w:tblStyle w:val="2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5"/>
              <w:gridCol w:w="563"/>
              <w:gridCol w:w="522"/>
              <w:gridCol w:w="485"/>
              <w:gridCol w:w="473"/>
              <w:gridCol w:w="3330"/>
              <w:gridCol w:w="1469"/>
              <w:gridCol w:w="401"/>
            </w:tblGrid>
            <w:tr w14:paraId="635C4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tblHeader/>
              </w:trPr>
              <w:tc>
                <w:tcPr>
                  <w:tcW w:w="355" w:type="pct"/>
                  <w:noWrap w:val="0"/>
                  <w:vAlign w:val="center"/>
                </w:tcPr>
                <w:p w14:paraId="4D516C5B">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b/>
                      <w:bCs/>
                      <w:color w:val="000000"/>
                      <w:sz w:val="18"/>
                      <w:szCs w:val="18"/>
                    </w:rPr>
                  </w:pPr>
                  <w:r>
                    <w:rPr>
                      <w:rFonts w:hint="eastAsia"/>
                      <w:b/>
                      <w:bCs/>
                      <w:color w:val="000000"/>
                      <w:sz w:val="18"/>
                      <w:szCs w:val="18"/>
                    </w:rPr>
                    <w:t>环境管控单元</w:t>
                  </w:r>
                </w:p>
                <w:p w14:paraId="0C872C0E">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b/>
                      <w:bCs/>
                      <w:color w:val="000000"/>
                      <w:sz w:val="18"/>
                      <w:szCs w:val="18"/>
                    </w:rPr>
                  </w:pPr>
                  <w:r>
                    <w:rPr>
                      <w:rFonts w:hint="eastAsia"/>
                      <w:b/>
                      <w:bCs/>
                      <w:color w:val="000000"/>
                      <w:sz w:val="18"/>
                      <w:szCs w:val="18"/>
                    </w:rPr>
                    <w:t>编码</w:t>
                  </w:r>
                </w:p>
              </w:tc>
              <w:tc>
                <w:tcPr>
                  <w:tcW w:w="361" w:type="pct"/>
                  <w:noWrap w:val="0"/>
                  <w:vAlign w:val="center"/>
                </w:tcPr>
                <w:p w14:paraId="56F0BCEC">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b/>
                      <w:bCs/>
                      <w:color w:val="000000"/>
                      <w:sz w:val="18"/>
                      <w:szCs w:val="18"/>
                    </w:rPr>
                  </w:pPr>
                  <w:r>
                    <w:rPr>
                      <w:rFonts w:hint="eastAsia"/>
                      <w:b/>
                      <w:bCs/>
                      <w:color w:val="000000"/>
                      <w:sz w:val="18"/>
                      <w:szCs w:val="18"/>
                    </w:rPr>
                    <w:t>环境管控单元名称</w:t>
                  </w:r>
                </w:p>
              </w:tc>
              <w:tc>
                <w:tcPr>
                  <w:tcW w:w="334" w:type="pct"/>
                  <w:noWrap w:val="0"/>
                  <w:vAlign w:val="center"/>
                </w:tcPr>
                <w:p w14:paraId="6B25BFD7">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b/>
                      <w:bCs/>
                      <w:color w:val="000000"/>
                      <w:sz w:val="18"/>
                      <w:szCs w:val="18"/>
                    </w:rPr>
                  </w:pPr>
                  <w:r>
                    <w:rPr>
                      <w:rFonts w:hint="eastAsia"/>
                      <w:b/>
                      <w:bCs/>
                      <w:color w:val="000000"/>
                      <w:sz w:val="18"/>
                      <w:szCs w:val="18"/>
                    </w:rPr>
                    <w:t>环境管控单元分类</w:t>
                  </w:r>
                </w:p>
              </w:tc>
              <w:tc>
                <w:tcPr>
                  <w:tcW w:w="311" w:type="pct"/>
                  <w:noWrap w:val="0"/>
                  <w:vAlign w:val="center"/>
                </w:tcPr>
                <w:p w14:paraId="19B70EE2">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b/>
                      <w:bCs/>
                      <w:color w:val="000000"/>
                      <w:sz w:val="18"/>
                      <w:szCs w:val="18"/>
                    </w:rPr>
                  </w:pPr>
                  <w:r>
                    <w:rPr>
                      <w:rFonts w:hint="eastAsia"/>
                      <w:b/>
                      <w:bCs/>
                      <w:color w:val="000000"/>
                      <w:sz w:val="18"/>
                      <w:szCs w:val="18"/>
                    </w:rPr>
                    <w:t>区域管控要求</w:t>
                  </w:r>
                </w:p>
              </w:tc>
              <w:tc>
                <w:tcPr>
                  <w:tcW w:w="303" w:type="pct"/>
                  <w:noWrap w:val="0"/>
                  <w:vAlign w:val="center"/>
                </w:tcPr>
                <w:p w14:paraId="7F962955">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b/>
                      <w:bCs/>
                      <w:color w:val="000000"/>
                      <w:sz w:val="18"/>
                      <w:szCs w:val="18"/>
                    </w:rPr>
                  </w:pPr>
                  <w:r>
                    <w:rPr>
                      <w:rFonts w:hint="eastAsia"/>
                      <w:b/>
                      <w:bCs/>
                      <w:color w:val="000000"/>
                      <w:sz w:val="18"/>
                      <w:szCs w:val="18"/>
                    </w:rPr>
                    <w:t>管控类别</w:t>
                  </w:r>
                </w:p>
              </w:tc>
              <w:tc>
                <w:tcPr>
                  <w:tcW w:w="2133" w:type="pct"/>
                  <w:noWrap w:val="0"/>
                  <w:vAlign w:val="center"/>
                </w:tcPr>
                <w:p w14:paraId="6CC36548">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b/>
                      <w:bCs/>
                      <w:color w:val="000000"/>
                      <w:sz w:val="18"/>
                      <w:szCs w:val="18"/>
                    </w:rPr>
                  </w:pPr>
                  <w:r>
                    <w:rPr>
                      <w:rFonts w:hint="eastAsia"/>
                      <w:b/>
                      <w:bCs/>
                      <w:color w:val="000000"/>
                      <w:sz w:val="18"/>
                      <w:szCs w:val="18"/>
                    </w:rPr>
                    <w:t>管控要求</w:t>
                  </w:r>
                </w:p>
              </w:tc>
              <w:tc>
                <w:tcPr>
                  <w:tcW w:w="941" w:type="pct"/>
                  <w:noWrap w:val="0"/>
                  <w:vAlign w:val="center"/>
                </w:tcPr>
                <w:p w14:paraId="35401AA0">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b/>
                      <w:bCs/>
                      <w:color w:val="000000"/>
                      <w:sz w:val="18"/>
                      <w:szCs w:val="18"/>
                    </w:rPr>
                  </w:pPr>
                  <w:r>
                    <w:rPr>
                      <w:rFonts w:hint="eastAsia"/>
                      <w:b/>
                      <w:bCs/>
                      <w:color w:val="000000"/>
                      <w:sz w:val="18"/>
                      <w:szCs w:val="18"/>
                    </w:rPr>
                    <w:t>本项目内容</w:t>
                  </w:r>
                </w:p>
              </w:tc>
              <w:tc>
                <w:tcPr>
                  <w:tcW w:w="257" w:type="pct"/>
                  <w:noWrap w:val="0"/>
                  <w:vAlign w:val="center"/>
                </w:tcPr>
                <w:p w14:paraId="63E95D84">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b/>
                      <w:bCs/>
                      <w:color w:val="000000"/>
                      <w:sz w:val="18"/>
                      <w:szCs w:val="18"/>
                    </w:rPr>
                  </w:pPr>
                  <w:r>
                    <w:rPr>
                      <w:rFonts w:hint="eastAsia"/>
                      <w:b/>
                      <w:bCs/>
                      <w:color w:val="000000"/>
                      <w:sz w:val="18"/>
                      <w:szCs w:val="18"/>
                    </w:rPr>
                    <w:t>相符性</w:t>
                  </w:r>
                </w:p>
              </w:tc>
            </w:tr>
            <w:tr w14:paraId="245DE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55" w:type="pct"/>
                  <w:vMerge w:val="restart"/>
                  <w:noWrap w:val="0"/>
                  <w:vAlign w:val="center"/>
                </w:tcPr>
                <w:p w14:paraId="7CA56DE7">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ZH3417022000</w:t>
                  </w:r>
                </w:p>
                <w:p w14:paraId="524C1AB3">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6</w:t>
                  </w:r>
                </w:p>
              </w:tc>
              <w:tc>
                <w:tcPr>
                  <w:tcW w:w="361" w:type="pct"/>
                  <w:vMerge w:val="restart"/>
                  <w:noWrap w:val="0"/>
                  <w:vAlign w:val="center"/>
                </w:tcPr>
                <w:p w14:paraId="13A6204E">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重点管控单元6</w:t>
                  </w:r>
                </w:p>
              </w:tc>
              <w:tc>
                <w:tcPr>
                  <w:tcW w:w="334" w:type="pct"/>
                  <w:vMerge w:val="restart"/>
                  <w:noWrap w:val="0"/>
                  <w:vAlign w:val="center"/>
                </w:tcPr>
                <w:p w14:paraId="0D587311">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重点管控单元</w:t>
                  </w:r>
                </w:p>
              </w:tc>
              <w:tc>
                <w:tcPr>
                  <w:tcW w:w="311" w:type="pct"/>
                  <w:vMerge w:val="restart"/>
                  <w:noWrap w:val="0"/>
                  <w:vAlign w:val="center"/>
                </w:tcPr>
                <w:p w14:paraId="020025EF">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无</w:t>
                  </w:r>
                </w:p>
              </w:tc>
              <w:tc>
                <w:tcPr>
                  <w:tcW w:w="303" w:type="pct"/>
                  <w:vMerge w:val="restart"/>
                  <w:noWrap w:val="0"/>
                  <w:vAlign w:val="center"/>
                </w:tcPr>
                <w:p w14:paraId="1A196512">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空间布局约束</w:t>
                  </w:r>
                </w:p>
              </w:tc>
              <w:tc>
                <w:tcPr>
                  <w:tcW w:w="2133" w:type="pct"/>
                  <w:noWrap w:val="0"/>
                  <w:vAlign w:val="center"/>
                </w:tcPr>
                <w:p w14:paraId="12C5EF48">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color w:val="000000"/>
                      <w:sz w:val="18"/>
                      <w:szCs w:val="18"/>
                    </w:rPr>
                  </w:pPr>
                  <w:r>
                    <w:rPr>
                      <w:rFonts w:hint="eastAsia"/>
                      <w:color w:val="000000"/>
                      <w:sz w:val="18"/>
                      <w:szCs w:val="18"/>
                    </w:rPr>
                    <w:t>禁止开发建设活动的要求：</w:t>
                  </w:r>
                </w:p>
                <w:p w14:paraId="01971D9C">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color w:val="000000"/>
                      <w:sz w:val="18"/>
                      <w:szCs w:val="18"/>
                    </w:rPr>
                  </w:pPr>
                  <w:r>
                    <w:rPr>
                      <w:rFonts w:hint="eastAsia"/>
                      <w:color w:val="000000"/>
                      <w:sz w:val="18"/>
                      <w:szCs w:val="18"/>
                    </w:rPr>
                    <w:t>1禁止在长江（安徽段）干支流一公里范围内新建、扩建化工园区和化工项目。已批未开工的项目，依法停止建设，支持重新选址。已经开工建设的项目，严格进行检查评估，不符合岸线规划和环保、安全要求的，全部</w:t>
                  </w:r>
                </w:p>
                <w:p w14:paraId="29A53004">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color w:val="000000"/>
                      <w:sz w:val="18"/>
                      <w:szCs w:val="18"/>
                    </w:rPr>
                  </w:pPr>
                  <w:r>
                    <w:rPr>
                      <w:rFonts w:hint="eastAsia"/>
                      <w:color w:val="000000"/>
                      <w:sz w:val="18"/>
                      <w:szCs w:val="18"/>
                    </w:rPr>
                    <w:t>依法依规停建搬迁。</w:t>
                  </w:r>
                </w:p>
                <w:p w14:paraId="5DE21763">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color w:val="000000"/>
                      <w:sz w:val="18"/>
                      <w:szCs w:val="18"/>
                    </w:rPr>
                  </w:pPr>
                  <w:r>
                    <w:rPr>
                      <w:rFonts w:hint="eastAsia"/>
                      <w:color w:val="000000"/>
                      <w:sz w:val="18"/>
                      <w:szCs w:val="18"/>
                    </w:rPr>
                    <w:t>2禁止在长江干流岸线三公里范围内和主要支流岸线一公里范围内新建、</w:t>
                  </w:r>
                </w:p>
                <w:p w14:paraId="4A7E36B5">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color w:val="000000"/>
                      <w:sz w:val="18"/>
                      <w:szCs w:val="18"/>
                    </w:rPr>
                  </w:pPr>
                  <w:r>
                    <w:rPr>
                      <w:rFonts w:hint="eastAsia"/>
                      <w:color w:val="000000"/>
                      <w:sz w:val="18"/>
                      <w:szCs w:val="18"/>
                    </w:rPr>
                    <w:t>改建、扩建尾矿库、冶炼渣库和磷石膏库，以提升安全、生态环境保护水平为目的的改建除外。</w:t>
                  </w:r>
                </w:p>
                <w:p w14:paraId="2468BAB6">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color w:val="000000"/>
                      <w:sz w:val="18"/>
                      <w:szCs w:val="18"/>
                    </w:rPr>
                  </w:pPr>
                  <w:r>
                    <w:rPr>
                      <w:rFonts w:hint="eastAsia"/>
                      <w:color w:val="000000"/>
                      <w:sz w:val="18"/>
                      <w:szCs w:val="18"/>
                    </w:rPr>
                    <w:t>3长江干流岸线5公里范围内严禁新建布局重化工园区。合规化工园区内，严禁新批环境基础设施不完善或长期不能稳定运行的企业新建和扩建化工项目。</w:t>
                  </w:r>
                </w:p>
                <w:p w14:paraId="762F07C8">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color w:val="000000"/>
                      <w:sz w:val="18"/>
                      <w:szCs w:val="18"/>
                    </w:rPr>
                  </w:pPr>
                  <w:r>
                    <w:rPr>
                      <w:rFonts w:hint="eastAsia"/>
                      <w:color w:val="000000"/>
                      <w:sz w:val="18"/>
                      <w:szCs w:val="18"/>
                    </w:rPr>
                    <w:t>4长江干流岸线15公里范围内，严把各类项目准入门槛，严格执行环境保护标准，把主要污染物和重点重金属排放总量控制目标作为新（改、扩）建项目环评审批的前置条件，禁止建设没有环境容量和减排总量项目。</w:t>
                  </w:r>
                </w:p>
                <w:p w14:paraId="096EF4E1">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color w:val="000000"/>
                      <w:sz w:val="18"/>
                      <w:szCs w:val="18"/>
                    </w:rPr>
                  </w:pPr>
                  <w:r>
                    <w:rPr>
                      <w:rFonts w:hint="eastAsia"/>
                      <w:color w:val="000000"/>
                      <w:sz w:val="18"/>
                      <w:szCs w:val="18"/>
                    </w:rPr>
                    <w:t>5（1）禁止建设不符合全国和省级港口布局规划以及港口总体规划的码头项目，禁止建设不符合《长江干线过江通道布局规划》的过长江通道项目。（2）禁止在自然保护区核心区、缓冲区的岸线和河段范围内投资建设旅游和生产经营项目。禁止在风景名胜区核心景区的岸线和河段范围内投资建设与风景名胜资源保护无关的项目。（3）禁止在饮用水水源一级保护区的岸线和河段范围内新建、改建、扩建与供水设施和保护水源无关的项目，以及网箱养殖、畜禽养殖、旅游等可能污染饮用水水体的投资建设项目。禁止在饮用水水源二级保护区的岸线和河段范围内新建、改建、扩建排放污染物的投资建设项目。且禁止或者限制使用含磷洗涤剂、化肥、农药以及限制种植养殖等措施。（4）禁止在水产种质资源保护区的岸线和河段范围内新建围湖造田、围海造地或围填海等投资建设项目。禁止在国家湿地公园的岸线和河段范围内挖沙、采矿，以及任何不符合主体功能定位的投资建设项目。（5）禁止违法利用、占用长江流域河湖岸线。禁止在《长江岸线保护和开发利用总体规划》划定的岸线保护区和保留区内投资建设除事关公共安全及公众利益的防洪护岸、河道治理、供水、生态环境保护、航道整治、国家重要基础设施以外的项目。禁止在《全国重要江河湖泊水功能区划》划定的河段及湖泊保护区、保留区内投资建设不利于水资源及自然生态保护的项目。（6）禁止在长江干支流、重要湖泊岸线一公里范围内新建、扩建化工园区和化工项目。禁止在长江干流岸线三公里范围内和重要支流岸线一公里范围内新建、改建、扩建尾矿库、冶炼渣库和磷石膏库，以提升安全、生态环境保护水平为目的的改建除外。</w:t>
                  </w:r>
                </w:p>
                <w:p w14:paraId="57C64E27">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color w:val="000000"/>
                      <w:sz w:val="18"/>
                      <w:szCs w:val="18"/>
                    </w:rPr>
                  </w:pPr>
                  <w:r>
                    <w:rPr>
                      <w:rFonts w:hint="eastAsia"/>
                      <w:color w:val="000000"/>
                      <w:sz w:val="18"/>
                      <w:szCs w:val="18"/>
                    </w:rPr>
                    <w:t>（7）禁止在合规园区外新建、扩建钢铁、石化、化工、焦化、建材、有色、制浆造纸等高污染项目。（8）禁止新建、扩建不符合国家石化、现代煤化工等产业布局规划的项目。（9）禁止新建、扩建法律法规和相关政策明令禁止的落后产能项目。禁止新建、扩建不符合国家产能置换要求的严重过剩产能行业的项目。禁止新建、扩建不符合要求的高耗能高排放项目。（10）法律法规及相关政策文件有更加严格规定的从其规定。</w:t>
                  </w:r>
                </w:p>
              </w:tc>
              <w:tc>
                <w:tcPr>
                  <w:tcW w:w="941" w:type="pct"/>
                  <w:noWrap w:val="0"/>
                  <w:vAlign w:val="center"/>
                </w:tcPr>
                <w:p w14:paraId="1A5B98DB">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color w:val="000000"/>
                      <w:sz w:val="18"/>
                      <w:szCs w:val="18"/>
                    </w:rPr>
                  </w:pPr>
                  <w:r>
                    <w:rPr>
                      <w:color w:val="000000"/>
                      <w:kern w:val="0"/>
                      <w:sz w:val="18"/>
                      <w:szCs w:val="18"/>
                    </w:rPr>
                    <w:t>本项目距离长江干线直线距离约</w:t>
                  </w:r>
                  <w:r>
                    <w:rPr>
                      <w:rFonts w:hint="eastAsia"/>
                      <w:color w:val="000000"/>
                      <w:kern w:val="0"/>
                      <w:sz w:val="18"/>
                      <w:szCs w:val="18"/>
                      <w:lang w:val="en-US" w:eastAsia="zh-CN"/>
                    </w:rPr>
                    <w:t>2.6</w:t>
                  </w:r>
                  <w:r>
                    <w:rPr>
                      <w:rFonts w:hint="eastAsia"/>
                      <w:color w:val="000000"/>
                      <w:kern w:val="0"/>
                      <w:sz w:val="18"/>
                      <w:szCs w:val="18"/>
                    </w:rPr>
                    <w:t>km</w:t>
                  </w:r>
                  <w:r>
                    <w:rPr>
                      <w:color w:val="000000"/>
                      <w:kern w:val="0"/>
                      <w:sz w:val="18"/>
                      <w:szCs w:val="18"/>
                    </w:rPr>
                    <w:t>，距离长江支流九华河</w:t>
                  </w:r>
                  <w:r>
                    <w:rPr>
                      <w:rFonts w:hint="eastAsia"/>
                      <w:color w:val="000000"/>
                      <w:kern w:val="0"/>
                      <w:sz w:val="18"/>
                      <w:szCs w:val="18"/>
                      <w:lang w:val="en-US" w:eastAsia="zh-CN"/>
                    </w:rPr>
                    <w:t>1.1</w:t>
                  </w:r>
                  <w:r>
                    <w:rPr>
                      <w:rFonts w:hint="eastAsia"/>
                      <w:color w:val="000000"/>
                      <w:kern w:val="0"/>
                      <w:sz w:val="18"/>
                      <w:szCs w:val="18"/>
                    </w:rPr>
                    <w:t>km，</w:t>
                  </w:r>
                  <w:r>
                    <w:rPr>
                      <w:rFonts w:hint="eastAsia"/>
                      <w:color w:val="000000"/>
                      <w:sz w:val="18"/>
                      <w:szCs w:val="18"/>
                    </w:rPr>
                    <w:t>为新建的</w:t>
                  </w:r>
                  <w:r>
                    <w:rPr>
                      <w:rFonts w:hint="eastAsia"/>
                      <w:color w:val="000000"/>
                      <w:sz w:val="18"/>
                      <w:szCs w:val="18"/>
                      <w:lang w:val="en-US" w:eastAsia="zh-CN"/>
                    </w:rPr>
                    <w:t>显示器件制造和电光源制造</w:t>
                  </w:r>
                  <w:r>
                    <w:rPr>
                      <w:rFonts w:hint="eastAsia"/>
                      <w:color w:val="000000"/>
                      <w:sz w:val="18"/>
                      <w:szCs w:val="18"/>
                    </w:rPr>
                    <w:t>项目，且位于合规园区内，不涉及饮用水水源保护区。</w:t>
                  </w:r>
                </w:p>
              </w:tc>
              <w:tc>
                <w:tcPr>
                  <w:tcW w:w="257" w:type="pct"/>
                  <w:noWrap w:val="0"/>
                  <w:vAlign w:val="center"/>
                </w:tcPr>
                <w:p w14:paraId="5A7FF42F">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符合</w:t>
                  </w:r>
                </w:p>
              </w:tc>
            </w:tr>
            <w:tr w14:paraId="71C72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9" w:hRule="atLeast"/>
              </w:trPr>
              <w:tc>
                <w:tcPr>
                  <w:tcW w:w="355" w:type="pct"/>
                  <w:vMerge w:val="continue"/>
                  <w:noWrap w:val="0"/>
                  <w:vAlign w:val="center"/>
                </w:tcPr>
                <w:p w14:paraId="6E1EEFEA">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61" w:type="pct"/>
                  <w:vMerge w:val="continue"/>
                  <w:noWrap w:val="0"/>
                  <w:vAlign w:val="center"/>
                </w:tcPr>
                <w:p w14:paraId="0B781D98">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34" w:type="pct"/>
                  <w:vMerge w:val="continue"/>
                  <w:noWrap w:val="0"/>
                  <w:vAlign w:val="center"/>
                </w:tcPr>
                <w:p w14:paraId="21886017">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11" w:type="pct"/>
                  <w:vMerge w:val="continue"/>
                  <w:noWrap w:val="0"/>
                  <w:vAlign w:val="center"/>
                </w:tcPr>
                <w:p w14:paraId="037E9F45">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03" w:type="pct"/>
                  <w:vMerge w:val="continue"/>
                  <w:noWrap w:val="0"/>
                  <w:vAlign w:val="center"/>
                </w:tcPr>
                <w:p w14:paraId="6CD74291">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2133" w:type="pct"/>
                  <w:noWrap w:val="0"/>
                  <w:vAlign w:val="center"/>
                </w:tcPr>
                <w:p w14:paraId="4D466B74">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color w:val="000000"/>
                      <w:sz w:val="18"/>
                      <w:szCs w:val="18"/>
                    </w:rPr>
                  </w:pPr>
                  <w:r>
                    <w:rPr>
                      <w:rFonts w:hint="eastAsia"/>
                      <w:color w:val="000000"/>
                      <w:sz w:val="18"/>
                      <w:szCs w:val="18"/>
                    </w:rPr>
                    <w:t>严格执行国家关于“两高”产业准入目录和产能总量控制政策措施。严禁新增钢铁、焦化、电解铝、铸造、水泥和平板玻璃等产能；新、改、扩建涉及大宗物料运输的建设项目，原则上不得采用公路运输。</w:t>
                  </w:r>
                </w:p>
              </w:tc>
              <w:tc>
                <w:tcPr>
                  <w:tcW w:w="941" w:type="pct"/>
                  <w:noWrap w:val="0"/>
                  <w:vAlign w:val="center"/>
                </w:tcPr>
                <w:p w14:paraId="019CB080">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本项目为</w:t>
                  </w:r>
                  <w:r>
                    <w:rPr>
                      <w:rFonts w:hint="eastAsia"/>
                      <w:color w:val="000000"/>
                      <w:sz w:val="18"/>
                      <w:szCs w:val="18"/>
                      <w:lang w:val="en-US" w:eastAsia="zh-CN"/>
                    </w:rPr>
                    <w:t>显示器件制造和电光源制造</w:t>
                  </w:r>
                  <w:r>
                    <w:rPr>
                      <w:rFonts w:hint="eastAsia"/>
                      <w:color w:val="000000"/>
                      <w:sz w:val="18"/>
                      <w:szCs w:val="18"/>
                    </w:rPr>
                    <w:t>，不属于两高项目，且不涉及大宗物料的运输。</w:t>
                  </w:r>
                </w:p>
              </w:tc>
              <w:tc>
                <w:tcPr>
                  <w:tcW w:w="257" w:type="pct"/>
                  <w:noWrap w:val="0"/>
                  <w:vAlign w:val="center"/>
                </w:tcPr>
                <w:p w14:paraId="5E159D7E">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符合</w:t>
                  </w:r>
                </w:p>
              </w:tc>
            </w:tr>
            <w:tr w14:paraId="67702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55" w:type="pct"/>
                  <w:vMerge w:val="continue"/>
                  <w:noWrap w:val="0"/>
                  <w:vAlign w:val="center"/>
                </w:tcPr>
                <w:p w14:paraId="66758F13">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61" w:type="pct"/>
                  <w:vMerge w:val="continue"/>
                  <w:noWrap w:val="0"/>
                  <w:vAlign w:val="center"/>
                </w:tcPr>
                <w:p w14:paraId="0CB9A45C">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34" w:type="pct"/>
                  <w:vMerge w:val="continue"/>
                  <w:noWrap w:val="0"/>
                  <w:vAlign w:val="center"/>
                </w:tcPr>
                <w:p w14:paraId="189A1B6C">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11" w:type="pct"/>
                  <w:vMerge w:val="continue"/>
                  <w:noWrap w:val="0"/>
                  <w:vAlign w:val="center"/>
                </w:tcPr>
                <w:p w14:paraId="414D3704">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03" w:type="pct"/>
                  <w:vMerge w:val="continue"/>
                  <w:noWrap w:val="0"/>
                  <w:vAlign w:val="center"/>
                </w:tcPr>
                <w:p w14:paraId="4663BEA8">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2133" w:type="pct"/>
                  <w:noWrap w:val="0"/>
                  <w:vAlign w:val="center"/>
                </w:tcPr>
                <w:p w14:paraId="4D608619">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color w:val="000000"/>
                      <w:sz w:val="18"/>
                      <w:szCs w:val="18"/>
                    </w:rPr>
                  </w:pPr>
                  <w:r>
                    <w:rPr>
                      <w:color w:val="000000"/>
                      <w:sz w:val="18"/>
                      <w:szCs w:val="18"/>
                    </w:rPr>
                    <w:t>禁止新建、扩建分散燃煤供热锅炉</w:t>
                  </w:r>
                  <w:r>
                    <w:rPr>
                      <w:rFonts w:hint="eastAsia"/>
                      <w:color w:val="000000"/>
                      <w:sz w:val="18"/>
                      <w:szCs w:val="18"/>
                    </w:rPr>
                    <w:t>。</w:t>
                  </w:r>
                </w:p>
              </w:tc>
              <w:tc>
                <w:tcPr>
                  <w:tcW w:w="941" w:type="pct"/>
                  <w:noWrap w:val="0"/>
                  <w:vAlign w:val="center"/>
                </w:tcPr>
                <w:p w14:paraId="24C3C749">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本项目无新建锅炉。</w:t>
                  </w:r>
                </w:p>
              </w:tc>
              <w:tc>
                <w:tcPr>
                  <w:tcW w:w="257" w:type="pct"/>
                  <w:noWrap w:val="0"/>
                  <w:vAlign w:val="center"/>
                </w:tcPr>
                <w:p w14:paraId="0B031FB6">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r>
            <w:tr w14:paraId="56955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5" w:type="pct"/>
                  <w:vMerge w:val="continue"/>
                  <w:noWrap w:val="0"/>
                  <w:vAlign w:val="center"/>
                </w:tcPr>
                <w:p w14:paraId="2CED8714">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61" w:type="pct"/>
                  <w:vMerge w:val="continue"/>
                  <w:noWrap w:val="0"/>
                  <w:vAlign w:val="center"/>
                </w:tcPr>
                <w:p w14:paraId="46F28905">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34" w:type="pct"/>
                  <w:vMerge w:val="continue"/>
                  <w:noWrap w:val="0"/>
                  <w:vAlign w:val="center"/>
                </w:tcPr>
                <w:p w14:paraId="425C67DA">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11" w:type="pct"/>
                  <w:vMerge w:val="continue"/>
                  <w:noWrap w:val="0"/>
                  <w:vAlign w:val="center"/>
                </w:tcPr>
                <w:p w14:paraId="3AD63319">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03" w:type="pct"/>
                  <w:vMerge w:val="restart"/>
                  <w:noWrap w:val="0"/>
                  <w:vAlign w:val="center"/>
                </w:tcPr>
                <w:p w14:paraId="787E9D3D">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污染物排放管</w:t>
                  </w:r>
                </w:p>
                <w:p w14:paraId="3771C9F5">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控</w:t>
                  </w:r>
                </w:p>
              </w:tc>
              <w:tc>
                <w:tcPr>
                  <w:tcW w:w="2133" w:type="pct"/>
                  <w:noWrap w:val="0"/>
                  <w:vAlign w:val="center"/>
                </w:tcPr>
                <w:p w14:paraId="13AEF1AF">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color w:val="000000"/>
                      <w:sz w:val="18"/>
                      <w:szCs w:val="18"/>
                    </w:rPr>
                  </w:pPr>
                  <w:r>
                    <w:rPr>
                      <w:rFonts w:hint="eastAsia"/>
                      <w:color w:val="000000"/>
                      <w:sz w:val="18"/>
                      <w:szCs w:val="18"/>
                    </w:rPr>
                    <w:t>全面推动挥发性有机物纳入排污许可管理。禁止建设生产和使用高挥发性有机物含量涂料、油墨、胶粘剂、清洗剂等项目。</w:t>
                  </w:r>
                </w:p>
              </w:tc>
              <w:tc>
                <w:tcPr>
                  <w:tcW w:w="941" w:type="pct"/>
                  <w:noWrap w:val="0"/>
                  <w:vAlign w:val="center"/>
                </w:tcPr>
                <w:p w14:paraId="0864CFFC">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ascii="Times New Roman" w:hAnsi="Times New Roman" w:eastAsia="宋体" w:cs="Times New Roman"/>
                      <w:color w:val="000000"/>
                      <w:sz w:val="18"/>
                      <w:szCs w:val="18"/>
                      <w:lang w:val="en-US" w:eastAsia="zh-CN"/>
                    </w:rPr>
                  </w:pPr>
                  <w:r>
                    <w:rPr>
                      <w:rFonts w:hint="eastAsia" w:ascii="Times New Roman" w:hAnsi="Times New Roman" w:eastAsia="宋体" w:cs="Times New Roman"/>
                      <w:color w:val="000000"/>
                      <w:sz w:val="18"/>
                      <w:szCs w:val="18"/>
                    </w:rPr>
                    <w:t>本项目使用的</w:t>
                  </w:r>
                  <w:r>
                    <w:rPr>
                      <w:rFonts w:hint="eastAsia" w:ascii="Times New Roman" w:hAnsi="Times New Roman" w:eastAsia="宋体" w:cs="Times New Roman"/>
                      <w:color w:val="000000"/>
                      <w:sz w:val="18"/>
                      <w:szCs w:val="18"/>
                      <w:lang w:val="en-US" w:eastAsia="zh-CN"/>
                    </w:rPr>
                    <w:t>硅胶</w:t>
                  </w:r>
                  <w:r>
                    <w:rPr>
                      <w:rFonts w:hint="eastAsia" w:ascii="Times New Roman" w:hAnsi="Times New Roman" w:eastAsia="宋体" w:cs="Times New Roman"/>
                      <w:color w:val="000000"/>
                      <w:sz w:val="18"/>
                      <w:szCs w:val="18"/>
                    </w:rPr>
                    <w:t>符合《胶粘剂挥发性有机化合物限量》(GB 33372-2020)中</w:t>
                  </w:r>
                  <w:r>
                    <w:rPr>
                      <w:rFonts w:hint="eastAsia" w:ascii="Times New Roman" w:hAnsi="Times New Roman" w:eastAsia="宋体" w:cs="Times New Roman"/>
                      <w:color w:val="000000"/>
                      <w:sz w:val="18"/>
                      <w:szCs w:val="18"/>
                      <w:lang w:val="en-US" w:eastAsia="zh-CN"/>
                    </w:rPr>
                    <w:t>本体类胶粘剂</w:t>
                  </w:r>
                  <w:r>
                    <w:rPr>
                      <w:rFonts w:hint="eastAsia" w:ascii="Times New Roman" w:hAnsi="Times New Roman" w:eastAsia="宋体" w:cs="Times New Roman"/>
                      <w:color w:val="000000"/>
                      <w:sz w:val="18"/>
                      <w:szCs w:val="18"/>
                    </w:rPr>
                    <w:t>规定</w:t>
                  </w:r>
                  <w:r>
                    <w:rPr>
                      <w:rFonts w:hint="eastAsia" w:ascii="Times New Roman" w:hAnsi="Times New Roman" w:eastAsia="宋体" w:cs="Times New Roman"/>
                      <w:color w:val="000000"/>
                      <w:sz w:val="18"/>
                      <w:szCs w:val="18"/>
                      <w:lang w:val="en-US" w:eastAsia="zh-CN"/>
                    </w:rPr>
                    <w:t>要求。</w:t>
                  </w:r>
                </w:p>
              </w:tc>
              <w:tc>
                <w:tcPr>
                  <w:tcW w:w="257" w:type="pct"/>
                  <w:noWrap w:val="0"/>
                  <w:vAlign w:val="center"/>
                </w:tcPr>
                <w:p w14:paraId="0287C6BB">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符合</w:t>
                  </w:r>
                </w:p>
              </w:tc>
            </w:tr>
            <w:tr w14:paraId="56CFE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9" w:hRule="atLeast"/>
              </w:trPr>
              <w:tc>
                <w:tcPr>
                  <w:tcW w:w="355" w:type="pct"/>
                  <w:vMerge w:val="continue"/>
                  <w:noWrap w:val="0"/>
                  <w:vAlign w:val="center"/>
                </w:tcPr>
                <w:p w14:paraId="4FCE7ECA">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61" w:type="pct"/>
                  <w:vMerge w:val="continue"/>
                  <w:noWrap w:val="0"/>
                  <w:vAlign w:val="center"/>
                </w:tcPr>
                <w:p w14:paraId="2E9F6513">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34" w:type="pct"/>
                  <w:vMerge w:val="continue"/>
                  <w:noWrap w:val="0"/>
                  <w:vAlign w:val="center"/>
                </w:tcPr>
                <w:p w14:paraId="139D56BF">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11" w:type="pct"/>
                  <w:vMerge w:val="continue"/>
                  <w:noWrap w:val="0"/>
                  <w:vAlign w:val="center"/>
                </w:tcPr>
                <w:p w14:paraId="57945C5B">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03" w:type="pct"/>
                  <w:vMerge w:val="continue"/>
                  <w:noWrap w:val="0"/>
                  <w:vAlign w:val="center"/>
                </w:tcPr>
                <w:p w14:paraId="6457837F">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2133" w:type="pct"/>
                  <w:noWrap w:val="0"/>
                  <w:vAlign w:val="center"/>
                </w:tcPr>
                <w:p w14:paraId="49154C75">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color w:val="000000"/>
                      <w:sz w:val="18"/>
                      <w:szCs w:val="18"/>
                    </w:rPr>
                  </w:pPr>
                  <w:r>
                    <w:rPr>
                      <w:rFonts w:hint="eastAsia"/>
                      <w:color w:val="000000"/>
                      <w:sz w:val="18"/>
                      <w:szCs w:val="18"/>
                    </w:rPr>
                    <w:t>实行重点排放源排放浓度与去除效率双重控制。车间或生产设施收集排放的废气，VOCs初始排放速率大于等于2千克/小时的，应加大控制力度，除确保排放浓度稳定达标外，还应实行去除效率控制，去除效率不低于80%；采用的原辅材料符合国家有关低VOCs含量产品规定的除外，有行业排放标准的按其相关规定执行。</w:t>
                  </w:r>
                </w:p>
              </w:tc>
              <w:tc>
                <w:tcPr>
                  <w:tcW w:w="941" w:type="pct"/>
                  <w:noWrap w:val="0"/>
                  <w:vAlign w:val="center"/>
                </w:tcPr>
                <w:p w14:paraId="6DBD50AA">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本次新建项目，</w:t>
                  </w:r>
                  <w:r>
                    <w:rPr>
                      <w:rFonts w:hint="eastAsia"/>
                      <w:color w:val="000000"/>
                      <w:sz w:val="18"/>
                      <w:szCs w:val="18"/>
                      <w:lang w:val="en-US" w:eastAsia="zh-CN"/>
                    </w:rPr>
                    <w:t>二级活性炭吸附装置有机废气去除效率约90%</w:t>
                  </w:r>
                  <w:r>
                    <w:rPr>
                      <w:rFonts w:hint="eastAsia"/>
                      <w:color w:val="000000"/>
                      <w:sz w:val="18"/>
                      <w:szCs w:val="18"/>
                    </w:rPr>
                    <w:t>。</w:t>
                  </w:r>
                </w:p>
              </w:tc>
              <w:tc>
                <w:tcPr>
                  <w:tcW w:w="257" w:type="pct"/>
                  <w:noWrap w:val="0"/>
                  <w:vAlign w:val="center"/>
                </w:tcPr>
                <w:p w14:paraId="7BDE03CE">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符合</w:t>
                  </w:r>
                </w:p>
              </w:tc>
            </w:tr>
            <w:tr w14:paraId="672E4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3" w:hRule="atLeast"/>
              </w:trPr>
              <w:tc>
                <w:tcPr>
                  <w:tcW w:w="355" w:type="pct"/>
                  <w:vMerge w:val="continue"/>
                  <w:noWrap w:val="0"/>
                  <w:vAlign w:val="center"/>
                </w:tcPr>
                <w:p w14:paraId="64C0DC9E">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61" w:type="pct"/>
                  <w:vMerge w:val="continue"/>
                  <w:noWrap w:val="0"/>
                  <w:vAlign w:val="center"/>
                </w:tcPr>
                <w:p w14:paraId="313FA13E">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34" w:type="pct"/>
                  <w:vMerge w:val="continue"/>
                  <w:noWrap w:val="0"/>
                  <w:vAlign w:val="center"/>
                </w:tcPr>
                <w:p w14:paraId="773C7BEF">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11" w:type="pct"/>
                  <w:vMerge w:val="continue"/>
                  <w:noWrap w:val="0"/>
                  <w:vAlign w:val="center"/>
                </w:tcPr>
                <w:p w14:paraId="65403DC0">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03" w:type="pct"/>
                  <w:vMerge w:val="continue"/>
                  <w:noWrap w:val="0"/>
                  <w:vAlign w:val="center"/>
                </w:tcPr>
                <w:p w14:paraId="3ADFF8C6">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2133" w:type="pct"/>
                  <w:noWrap w:val="0"/>
                  <w:vAlign w:val="center"/>
                </w:tcPr>
                <w:p w14:paraId="41FB2E98">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color w:val="000000"/>
                      <w:sz w:val="18"/>
                      <w:szCs w:val="18"/>
                    </w:rPr>
                  </w:pPr>
                  <w:r>
                    <w:rPr>
                      <w:rFonts w:hint="eastAsia"/>
                      <w:color w:val="000000"/>
                      <w:sz w:val="18"/>
                      <w:szCs w:val="18"/>
                    </w:rPr>
                    <w:t>涂布、包装印刷行业VOCs综合治理：印刷、覆膜、复合、上光、清洗等含VOCs物料使用过程应采用密闭设备或在密闭空间内操作；无法密闭的，应采取局部气体收集措施，废气排至VOCs废气收集系统。</w:t>
                  </w:r>
                </w:p>
              </w:tc>
              <w:tc>
                <w:tcPr>
                  <w:tcW w:w="941" w:type="pct"/>
                  <w:noWrap w:val="0"/>
                  <w:vAlign w:val="center"/>
                </w:tcPr>
                <w:p w14:paraId="4407BC49">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项目不涉及</w:t>
                  </w:r>
                  <w:r>
                    <w:rPr>
                      <w:rFonts w:hint="eastAsia"/>
                      <w:color w:val="000000"/>
                      <w:sz w:val="18"/>
                      <w:szCs w:val="18"/>
                      <w:lang w:val="zh-CN"/>
                    </w:rPr>
                    <w:t>。</w:t>
                  </w:r>
                </w:p>
              </w:tc>
              <w:tc>
                <w:tcPr>
                  <w:tcW w:w="257" w:type="pct"/>
                  <w:noWrap w:val="0"/>
                  <w:vAlign w:val="center"/>
                </w:tcPr>
                <w:p w14:paraId="4EE3536A">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符合</w:t>
                  </w:r>
                </w:p>
              </w:tc>
            </w:tr>
            <w:tr w14:paraId="5EC7B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5" w:hRule="atLeast"/>
              </w:trPr>
              <w:tc>
                <w:tcPr>
                  <w:tcW w:w="355" w:type="pct"/>
                  <w:vMerge w:val="continue"/>
                  <w:noWrap w:val="0"/>
                  <w:vAlign w:val="center"/>
                </w:tcPr>
                <w:p w14:paraId="64E75503">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61" w:type="pct"/>
                  <w:vMerge w:val="continue"/>
                  <w:noWrap w:val="0"/>
                  <w:vAlign w:val="center"/>
                </w:tcPr>
                <w:p w14:paraId="5B3126A3">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34" w:type="pct"/>
                  <w:vMerge w:val="continue"/>
                  <w:noWrap w:val="0"/>
                  <w:vAlign w:val="center"/>
                </w:tcPr>
                <w:p w14:paraId="31EEDFB0">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11" w:type="pct"/>
                  <w:vMerge w:val="continue"/>
                  <w:noWrap w:val="0"/>
                  <w:vAlign w:val="center"/>
                </w:tcPr>
                <w:p w14:paraId="235E84BB">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03" w:type="pct"/>
                  <w:vMerge w:val="continue"/>
                  <w:noWrap w:val="0"/>
                  <w:vAlign w:val="center"/>
                </w:tcPr>
                <w:p w14:paraId="7D7CB8D8">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2133" w:type="pct"/>
                  <w:noWrap w:val="0"/>
                  <w:vAlign w:val="center"/>
                </w:tcPr>
                <w:p w14:paraId="07688F68">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color w:val="000000"/>
                      <w:sz w:val="18"/>
                      <w:szCs w:val="18"/>
                    </w:rPr>
                  </w:pPr>
                  <w:r>
                    <w:rPr>
                      <w:rFonts w:hint="eastAsia"/>
                      <w:color w:val="000000"/>
                      <w:sz w:val="18"/>
                      <w:szCs w:val="18"/>
                    </w:rPr>
                    <w:t>强化废水处理系统等逸散废气收集治理，废水集输、储存、处理处置过程中的集水井（池）、调节池、隔油池、曝气池、气浮池、浓缩池等高浓度VOCs逸散环节应采用密闭收集措施，并回收利用，难以利用的应安装高效治理设施。</w:t>
                  </w:r>
                </w:p>
              </w:tc>
              <w:tc>
                <w:tcPr>
                  <w:tcW w:w="941" w:type="pct"/>
                  <w:noWrap w:val="0"/>
                  <w:vAlign w:val="center"/>
                </w:tcPr>
                <w:p w14:paraId="0F3CE458">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color w:val="000000"/>
                      <w:sz w:val="18"/>
                      <w:szCs w:val="18"/>
                    </w:rPr>
                  </w:pPr>
                  <w:r>
                    <w:rPr>
                      <w:rFonts w:hint="eastAsia"/>
                      <w:color w:val="000000"/>
                      <w:sz w:val="18"/>
                      <w:szCs w:val="18"/>
                    </w:rPr>
                    <w:t>本项目</w:t>
                  </w:r>
                  <w:r>
                    <w:rPr>
                      <w:rFonts w:hint="eastAsia"/>
                      <w:color w:val="000000"/>
                      <w:sz w:val="18"/>
                      <w:szCs w:val="18"/>
                      <w:lang w:val="en-US" w:eastAsia="zh-CN"/>
                    </w:rPr>
                    <w:t>无生产废水，生活污水经化粪池预处理后经市政管网排入江南产业集中区第一污水处理厂处理</w:t>
                  </w:r>
                  <w:r>
                    <w:rPr>
                      <w:rFonts w:hint="eastAsia"/>
                      <w:color w:val="000000"/>
                      <w:sz w:val="18"/>
                      <w:szCs w:val="18"/>
                    </w:rPr>
                    <w:t>。</w:t>
                  </w:r>
                </w:p>
              </w:tc>
              <w:tc>
                <w:tcPr>
                  <w:tcW w:w="257" w:type="pct"/>
                  <w:noWrap w:val="0"/>
                  <w:vAlign w:val="center"/>
                </w:tcPr>
                <w:p w14:paraId="28750D4C">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符合</w:t>
                  </w:r>
                </w:p>
              </w:tc>
            </w:tr>
            <w:tr w14:paraId="0B18A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5" w:hRule="atLeast"/>
              </w:trPr>
              <w:tc>
                <w:tcPr>
                  <w:tcW w:w="355" w:type="pct"/>
                  <w:vMerge w:val="continue"/>
                  <w:noWrap w:val="0"/>
                  <w:vAlign w:val="center"/>
                </w:tcPr>
                <w:p w14:paraId="4104C4C7">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61" w:type="pct"/>
                  <w:vMerge w:val="continue"/>
                  <w:noWrap w:val="0"/>
                  <w:vAlign w:val="center"/>
                </w:tcPr>
                <w:p w14:paraId="381D70F2">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34" w:type="pct"/>
                  <w:vMerge w:val="continue"/>
                  <w:noWrap w:val="0"/>
                  <w:vAlign w:val="center"/>
                </w:tcPr>
                <w:p w14:paraId="5892B3F7">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11" w:type="pct"/>
                  <w:vMerge w:val="continue"/>
                  <w:noWrap w:val="0"/>
                  <w:vAlign w:val="center"/>
                </w:tcPr>
                <w:p w14:paraId="0548D9C6">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p>
              </w:tc>
              <w:tc>
                <w:tcPr>
                  <w:tcW w:w="303" w:type="pct"/>
                  <w:noWrap w:val="0"/>
                  <w:vAlign w:val="center"/>
                </w:tcPr>
                <w:p w14:paraId="03C6EA26">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资源开发效率</w:t>
                  </w:r>
                </w:p>
                <w:p w14:paraId="66F1DE49">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要求</w:t>
                  </w:r>
                </w:p>
              </w:tc>
              <w:tc>
                <w:tcPr>
                  <w:tcW w:w="2133" w:type="pct"/>
                  <w:noWrap w:val="0"/>
                  <w:vAlign w:val="center"/>
                </w:tcPr>
                <w:p w14:paraId="35D0E060">
                  <w:pPr>
                    <w:keepNext w:val="0"/>
                    <w:keepLines w:val="0"/>
                    <w:pageBreakBefore w:val="0"/>
                    <w:widowControl w:val="0"/>
                    <w:kinsoku/>
                    <w:wordWrap w:val="0"/>
                    <w:overflowPunct/>
                    <w:topLinePunct w:val="0"/>
                    <w:autoSpaceDE/>
                    <w:autoSpaceDN/>
                    <w:bidi w:val="0"/>
                    <w:adjustRightInd/>
                    <w:snapToGrid/>
                    <w:spacing w:line="240" w:lineRule="auto"/>
                    <w:textAlignment w:val="auto"/>
                    <w:rPr>
                      <w:rFonts w:hint="eastAsia"/>
                      <w:color w:val="000000"/>
                      <w:sz w:val="18"/>
                      <w:szCs w:val="18"/>
                    </w:rPr>
                  </w:pPr>
                  <w:r>
                    <w:rPr>
                      <w:rFonts w:hint="eastAsia"/>
                      <w:color w:val="000000"/>
                      <w:sz w:val="18"/>
                      <w:szCs w:val="18"/>
                    </w:rPr>
                    <w:t>在禁燃区内的企业事业单位和其他生产经营者，应当在规定的期限内停止使用高污染燃料，改用天然气、液化石油气、电能或者其他清洁能源。</w:t>
                  </w:r>
                </w:p>
              </w:tc>
              <w:tc>
                <w:tcPr>
                  <w:tcW w:w="941" w:type="pct"/>
                  <w:noWrap w:val="0"/>
                  <w:vAlign w:val="center"/>
                </w:tcPr>
                <w:p w14:paraId="35D7EFB8">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本项目</w:t>
                  </w:r>
                  <w:r>
                    <w:rPr>
                      <w:rFonts w:hint="eastAsia"/>
                      <w:color w:val="000000"/>
                      <w:sz w:val="18"/>
                      <w:szCs w:val="18"/>
                      <w:lang w:val="en-US" w:eastAsia="zh-CN"/>
                    </w:rPr>
                    <w:t>生产过程中使用电能</w:t>
                  </w:r>
                  <w:r>
                    <w:rPr>
                      <w:rFonts w:hint="eastAsia"/>
                      <w:color w:val="000000"/>
                      <w:sz w:val="18"/>
                      <w:szCs w:val="18"/>
                    </w:rPr>
                    <w:t>。</w:t>
                  </w:r>
                </w:p>
              </w:tc>
              <w:tc>
                <w:tcPr>
                  <w:tcW w:w="257" w:type="pct"/>
                  <w:noWrap w:val="0"/>
                  <w:vAlign w:val="center"/>
                </w:tcPr>
                <w:p w14:paraId="38C28AAD">
                  <w:pPr>
                    <w:keepNext w:val="0"/>
                    <w:keepLines w:val="0"/>
                    <w:pageBreakBefore w:val="0"/>
                    <w:widowControl w:val="0"/>
                    <w:kinsoku/>
                    <w:wordWrap w:val="0"/>
                    <w:overflowPunct/>
                    <w:topLinePunct w:val="0"/>
                    <w:autoSpaceDE/>
                    <w:autoSpaceDN/>
                    <w:bidi w:val="0"/>
                    <w:adjustRightInd/>
                    <w:snapToGrid/>
                    <w:spacing w:line="240" w:lineRule="auto"/>
                    <w:jc w:val="center"/>
                    <w:textAlignment w:val="auto"/>
                    <w:rPr>
                      <w:rFonts w:hint="eastAsia"/>
                      <w:color w:val="000000"/>
                      <w:sz w:val="18"/>
                      <w:szCs w:val="18"/>
                    </w:rPr>
                  </w:pPr>
                  <w:r>
                    <w:rPr>
                      <w:rFonts w:hint="eastAsia"/>
                      <w:color w:val="000000"/>
                      <w:sz w:val="18"/>
                      <w:szCs w:val="18"/>
                    </w:rPr>
                    <w:t>符合</w:t>
                  </w:r>
                </w:p>
              </w:tc>
            </w:tr>
          </w:tbl>
          <w:p w14:paraId="268F62B4">
            <w:pPr>
              <w:pStyle w:val="51"/>
              <w:keepNext w:val="0"/>
              <w:keepLines w:val="0"/>
              <w:pageBreakBefore w:val="0"/>
              <w:widowControl w:val="0"/>
              <w:kinsoku/>
              <w:wordWrap/>
              <w:overflowPunct/>
              <w:topLinePunct w:val="0"/>
              <w:autoSpaceDE/>
              <w:autoSpaceDN/>
              <w:bidi w:val="0"/>
              <w:adjustRightInd w:val="0"/>
              <w:snapToGrid w:val="0"/>
              <w:spacing w:before="157" w:beforeLines="50"/>
              <w:textAlignment w:val="auto"/>
              <w:rPr>
                <w:color w:val="auto"/>
              </w:rPr>
            </w:pPr>
            <w:r>
              <w:rPr>
                <w:rFonts w:hint="eastAsia"/>
                <w:color w:val="auto"/>
              </w:rPr>
              <w:t>（4）生态环境准入清单</w:t>
            </w:r>
          </w:p>
          <w:p w14:paraId="5AC648A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项目与“三线一单生态环境准入清单”符合性分析见下表。</w:t>
            </w:r>
          </w:p>
          <w:p w14:paraId="0FBC9798">
            <w:pPr>
              <w:jc w:val="center"/>
              <w:rPr>
                <w:rFonts w:hint="eastAsia" w:ascii="宋体" w:hAnsi="宋体" w:cs="宋体"/>
                <w:b/>
                <w:bCs/>
                <w:color w:val="auto"/>
              </w:rPr>
            </w:pPr>
            <w:r>
              <w:rPr>
                <w:rFonts w:hint="eastAsia" w:cs="宋体"/>
                <w:b/>
                <w:bCs/>
                <w:color w:val="auto"/>
              </w:rPr>
              <w:t>表1-</w:t>
            </w:r>
            <w:r>
              <w:rPr>
                <w:rFonts w:hint="eastAsia" w:cs="宋体"/>
                <w:b/>
                <w:bCs/>
                <w:color w:val="auto"/>
                <w:lang w:val="en-US" w:eastAsia="zh-CN"/>
              </w:rPr>
              <w:t>4</w:t>
            </w:r>
            <w:r>
              <w:rPr>
                <w:rFonts w:hint="eastAsia" w:cs="宋体"/>
                <w:b/>
                <w:bCs/>
                <w:color w:val="auto"/>
              </w:rPr>
              <w:t xml:space="preserve">  项目与“三线一单生态环境准入清单”符合性分析</w:t>
            </w:r>
          </w:p>
          <w:tbl>
            <w:tblPr>
              <w:tblStyle w:val="2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7"/>
              <w:gridCol w:w="661"/>
              <w:gridCol w:w="4382"/>
              <w:gridCol w:w="1815"/>
              <w:gridCol w:w="495"/>
            </w:tblGrid>
            <w:tr w14:paraId="0E954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87" w:type="pct"/>
                  <w:vAlign w:val="center"/>
                </w:tcPr>
                <w:p w14:paraId="5110540C">
                  <w:pPr>
                    <w:widowControl/>
                    <w:jc w:val="center"/>
                    <w:rPr>
                      <w:b/>
                      <w:bCs/>
                      <w:color w:val="auto"/>
                      <w:szCs w:val="21"/>
                    </w:rPr>
                  </w:pPr>
                  <w:r>
                    <w:rPr>
                      <w:b/>
                      <w:bCs/>
                      <w:color w:val="auto"/>
                      <w:szCs w:val="21"/>
                    </w:rPr>
                    <w:t>序号</w:t>
                  </w:r>
                </w:p>
              </w:tc>
              <w:tc>
                <w:tcPr>
                  <w:tcW w:w="3232" w:type="pct"/>
                  <w:gridSpan w:val="2"/>
                  <w:vAlign w:val="center"/>
                </w:tcPr>
                <w:p w14:paraId="7A75222E">
                  <w:pPr>
                    <w:jc w:val="center"/>
                    <w:rPr>
                      <w:b/>
                      <w:bCs/>
                      <w:color w:val="auto"/>
                      <w:szCs w:val="21"/>
                    </w:rPr>
                  </w:pPr>
                  <w:r>
                    <w:rPr>
                      <w:b/>
                      <w:bCs/>
                      <w:color w:val="auto"/>
                      <w:kern w:val="0"/>
                      <w:szCs w:val="21"/>
                      <w:lang w:bidi="ar"/>
                    </w:rPr>
                    <w:t>政策文件要求</w:t>
                  </w:r>
                </w:p>
              </w:tc>
              <w:tc>
                <w:tcPr>
                  <w:tcW w:w="1163" w:type="pct"/>
                  <w:vAlign w:val="center"/>
                </w:tcPr>
                <w:p w14:paraId="7AAD2609">
                  <w:pPr>
                    <w:jc w:val="center"/>
                    <w:rPr>
                      <w:b/>
                      <w:bCs/>
                      <w:color w:val="auto"/>
                      <w:szCs w:val="21"/>
                    </w:rPr>
                  </w:pPr>
                  <w:r>
                    <w:rPr>
                      <w:b/>
                      <w:bCs/>
                      <w:color w:val="auto"/>
                      <w:szCs w:val="21"/>
                    </w:rPr>
                    <w:t>本项目情况</w:t>
                  </w:r>
                </w:p>
              </w:tc>
              <w:tc>
                <w:tcPr>
                  <w:tcW w:w="317" w:type="pct"/>
                  <w:vAlign w:val="center"/>
                </w:tcPr>
                <w:p w14:paraId="5F9913B0">
                  <w:pPr>
                    <w:jc w:val="center"/>
                    <w:rPr>
                      <w:b/>
                      <w:bCs/>
                      <w:color w:val="auto"/>
                      <w:szCs w:val="21"/>
                    </w:rPr>
                  </w:pPr>
                  <w:r>
                    <w:rPr>
                      <w:b/>
                      <w:bCs/>
                      <w:color w:val="auto"/>
                      <w:szCs w:val="21"/>
                    </w:rPr>
                    <w:t>符合性</w:t>
                  </w:r>
                </w:p>
              </w:tc>
            </w:tr>
            <w:tr w14:paraId="268C9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287" w:type="pct"/>
                  <w:vAlign w:val="center"/>
                </w:tcPr>
                <w:p w14:paraId="0EE58C9E">
                  <w:pPr>
                    <w:widowControl/>
                    <w:jc w:val="center"/>
                    <w:rPr>
                      <w:color w:val="auto"/>
                      <w:szCs w:val="21"/>
                    </w:rPr>
                  </w:pPr>
                  <w:r>
                    <w:rPr>
                      <w:color w:val="auto"/>
                      <w:szCs w:val="21"/>
                    </w:rPr>
                    <w:t>1</w:t>
                  </w:r>
                </w:p>
              </w:tc>
              <w:tc>
                <w:tcPr>
                  <w:tcW w:w="424" w:type="pct"/>
                  <w:vAlign w:val="center"/>
                </w:tcPr>
                <w:p w14:paraId="17503D54">
                  <w:pPr>
                    <w:widowControl/>
                    <w:jc w:val="center"/>
                    <w:rPr>
                      <w:color w:val="auto"/>
                      <w:szCs w:val="21"/>
                    </w:rPr>
                  </w:pPr>
                  <w:r>
                    <w:rPr>
                      <w:color w:val="auto"/>
                      <w:spacing w:val="1"/>
                      <w:szCs w:val="21"/>
                    </w:rPr>
                    <w:t>集中区产业准入负面清单</w:t>
                  </w:r>
                </w:p>
              </w:tc>
              <w:tc>
                <w:tcPr>
                  <w:tcW w:w="2807" w:type="pct"/>
                  <w:vAlign w:val="center"/>
                </w:tcPr>
                <w:p w14:paraId="7C4D6E44">
                  <w:pPr>
                    <w:ind w:firstLine="424" w:firstLineChars="200"/>
                    <w:rPr>
                      <w:color w:val="auto"/>
                      <w:spacing w:val="1"/>
                      <w:szCs w:val="21"/>
                    </w:rPr>
                  </w:pPr>
                  <w:r>
                    <w:rPr>
                      <w:color w:val="auto"/>
                      <w:spacing w:val="1"/>
                      <w:szCs w:val="21"/>
                    </w:rPr>
                    <w:t>（1）机械电子产业：</w:t>
                  </w:r>
                </w:p>
                <w:p w14:paraId="418C3418">
                  <w:pPr>
                    <w:ind w:firstLine="424" w:firstLineChars="200"/>
                    <w:rPr>
                      <w:color w:val="auto"/>
                      <w:spacing w:val="1"/>
                      <w:szCs w:val="21"/>
                    </w:rPr>
                  </w:pPr>
                  <w:r>
                    <w:rPr>
                      <w:color w:val="auto"/>
                      <w:spacing w:val="1"/>
                      <w:szCs w:val="21"/>
                    </w:rPr>
                    <w:t>①禁止引入表面处理中心以外的电镀生产工艺（其他必须配套电镀工序的企业，应严格控制其镀种和在电镀中心以外布局，其选址需经过充分环境影响论证）；</w:t>
                  </w:r>
                </w:p>
                <w:p w14:paraId="3AB74D44">
                  <w:pPr>
                    <w:ind w:firstLine="424" w:firstLineChars="200"/>
                    <w:rPr>
                      <w:color w:val="auto"/>
                      <w:spacing w:val="1"/>
                      <w:szCs w:val="21"/>
                    </w:rPr>
                  </w:pPr>
                  <w:r>
                    <w:rPr>
                      <w:color w:val="auto"/>
                      <w:spacing w:val="1"/>
                      <w:szCs w:val="21"/>
                    </w:rPr>
                    <w:t>②禁止引入国家产业指导目录中非鼓励类铅酸电池项目。</w:t>
                  </w:r>
                </w:p>
                <w:p w14:paraId="251C0DA9">
                  <w:pPr>
                    <w:ind w:firstLine="424" w:firstLineChars="200"/>
                    <w:rPr>
                      <w:color w:val="auto"/>
                      <w:spacing w:val="1"/>
                      <w:szCs w:val="21"/>
                    </w:rPr>
                  </w:pPr>
                  <w:r>
                    <w:rPr>
                      <w:color w:val="auto"/>
                      <w:spacing w:val="1"/>
                      <w:szCs w:val="21"/>
                    </w:rPr>
                    <w:t>（3）新型材料产业：</w:t>
                  </w:r>
                </w:p>
                <w:p w14:paraId="4044CBB6">
                  <w:pPr>
                    <w:ind w:firstLine="424" w:firstLineChars="200"/>
                    <w:rPr>
                      <w:color w:val="auto"/>
                      <w:spacing w:val="1"/>
                      <w:szCs w:val="21"/>
                    </w:rPr>
                  </w:pPr>
                  <w:r>
                    <w:rPr>
                      <w:color w:val="auto"/>
                      <w:spacing w:val="1"/>
                      <w:szCs w:val="21"/>
                    </w:rPr>
                    <w:t>①禁止引入能耗物耗高、环境污染大、产出效益低的国家或省规定禁止的其他落后工艺；</w:t>
                  </w:r>
                </w:p>
                <w:p w14:paraId="2A47CB40">
                  <w:pPr>
                    <w:ind w:firstLine="424" w:firstLineChars="200"/>
                    <w:rPr>
                      <w:color w:val="auto"/>
                      <w:spacing w:val="1"/>
                      <w:szCs w:val="21"/>
                    </w:rPr>
                  </w:pPr>
                  <w:r>
                    <w:rPr>
                      <w:color w:val="auto"/>
                      <w:spacing w:val="1"/>
                      <w:szCs w:val="21"/>
                    </w:rPr>
                    <w:t>②禁止引入表面处理中心以外的电镀生产工艺（其他必须配套电镀工序的企业，应严格控制其镀种和在电镀中心以外布局，其选址需经过充分环境影响论证）；</w:t>
                  </w:r>
                </w:p>
                <w:p w14:paraId="1F4D30B1">
                  <w:pPr>
                    <w:ind w:firstLine="424" w:firstLineChars="200"/>
                    <w:rPr>
                      <w:color w:val="auto"/>
                      <w:spacing w:val="1"/>
                      <w:szCs w:val="21"/>
                    </w:rPr>
                  </w:pPr>
                  <w:r>
                    <w:rPr>
                      <w:color w:val="auto"/>
                      <w:spacing w:val="1"/>
                      <w:szCs w:val="21"/>
                    </w:rPr>
                    <w:t>③禁止引入多晶硅、单晶硅制造等前道生产工序；</w:t>
                  </w:r>
                </w:p>
                <w:p w14:paraId="6F51B2FD">
                  <w:pPr>
                    <w:ind w:firstLine="424" w:firstLineChars="200"/>
                    <w:rPr>
                      <w:color w:val="auto"/>
                      <w:spacing w:val="1"/>
                      <w:szCs w:val="21"/>
                    </w:rPr>
                  </w:pPr>
                  <w:r>
                    <w:rPr>
                      <w:color w:val="auto"/>
                      <w:spacing w:val="1"/>
                      <w:szCs w:val="21"/>
                    </w:rPr>
                    <w:t>④禁止引入酸、碱、肥料、农药以及化学合成制药等污染严重的化工项目，为集中区内项目上下游配套、污染较轻的，以及单纯混合和分装的复配项目需经项目环评阶段充分论证后方可准入；</w:t>
                  </w:r>
                </w:p>
                <w:p w14:paraId="2C4C990F">
                  <w:pPr>
                    <w:ind w:firstLine="424" w:firstLineChars="200"/>
                    <w:rPr>
                      <w:color w:val="auto"/>
                      <w:spacing w:val="1"/>
                      <w:szCs w:val="21"/>
                    </w:rPr>
                  </w:pPr>
                  <w:r>
                    <w:rPr>
                      <w:color w:val="auto"/>
                      <w:spacing w:val="1"/>
                      <w:szCs w:val="21"/>
                    </w:rPr>
                    <w:t>⑤从严控制规模效益差、能源资源消耗大、环境影响严重的项目进入，包括钢铁、有色金属原矿冶炼、石化、焦化、水泥、原浆造纸、制革、平板玻璃和非金属矿原矿加工等项目。</w:t>
                  </w:r>
                </w:p>
                <w:p w14:paraId="1198A5C0">
                  <w:pPr>
                    <w:ind w:firstLine="424" w:firstLineChars="200"/>
                    <w:rPr>
                      <w:color w:val="auto"/>
                      <w:spacing w:val="1"/>
                      <w:szCs w:val="21"/>
                    </w:rPr>
                  </w:pPr>
                  <w:r>
                    <w:rPr>
                      <w:color w:val="auto"/>
                      <w:spacing w:val="1"/>
                      <w:szCs w:val="21"/>
                    </w:rPr>
                    <w:t>（2）大健康产业</w:t>
                  </w:r>
                </w:p>
                <w:p w14:paraId="281B6D4D">
                  <w:pPr>
                    <w:ind w:firstLine="424" w:firstLineChars="200"/>
                    <w:rPr>
                      <w:color w:val="auto"/>
                      <w:spacing w:val="1"/>
                      <w:szCs w:val="21"/>
                    </w:rPr>
                  </w:pPr>
                  <w:r>
                    <w:rPr>
                      <w:color w:val="auto"/>
                      <w:spacing w:val="1"/>
                      <w:szCs w:val="21"/>
                    </w:rPr>
                    <w:t>①禁止引入《产业结构调整指导目录（2019年本）》等产业政策中限制类和淘汰类设备和工艺；</w:t>
                  </w:r>
                </w:p>
                <w:p w14:paraId="3F3CDF71">
                  <w:pPr>
                    <w:ind w:firstLine="424" w:firstLineChars="200"/>
                    <w:rPr>
                      <w:color w:val="auto"/>
                      <w:szCs w:val="21"/>
                    </w:rPr>
                  </w:pPr>
                  <w:r>
                    <w:rPr>
                      <w:color w:val="auto"/>
                      <w:spacing w:val="1"/>
                      <w:szCs w:val="21"/>
                    </w:rPr>
                    <w:t>②禁止引入涉及化学合成工序的制药类项目。</w:t>
                  </w:r>
                </w:p>
              </w:tc>
              <w:tc>
                <w:tcPr>
                  <w:tcW w:w="1163" w:type="pct"/>
                  <w:vAlign w:val="center"/>
                </w:tcPr>
                <w:p w14:paraId="1D54BBEF">
                  <w:pPr>
                    <w:numPr>
                      <w:ilvl w:val="0"/>
                      <w:numId w:val="2"/>
                    </w:numPr>
                    <w:jc w:val="left"/>
                    <w:rPr>
                      <w:color w:val="auto"/>
                      <w:szCs w:val="21"/>
                    </w:rPr>
                  </w:pPr>
                  <w:r>
                    <w:rPr>
                      <w:rFonts w:hint="eastAsia"/>
                      <w:color w:val="auto"/>
                      <w:szCs w:val="21"/>
                    </w:rPr>
                    <w:t>本项目位于皖江江南新兴产业集中区内，属于规划主导产业中的机械电子产业</w:t>
                  </w:r>
                  <w:r>
                    <w:rPr>
                      <w:rFonts w:hint="eastAsia"/>
                      <w:color w:val="auto"/>
                      <w:szCs w:val="21"/>
                      <w:lang w:eastAsia="zh-CN"/>
                    </w:rPr>
                    <w:t>；</w:t>
                  </w:r>
                </w:p>
                <w:p w14:paraId="56BA770C">
                  <w:pPr>
                    <w:jc w:val="left"/>
                    <w:rPr>
                      <w:color w:val="auto"/>
                      <w:szCs w:val="21"/>
                    </w:rPr>
                  </w:pPr>
                  <w:r>
                    <w:rPr>
                      <w:rFonts w:hint="eastAsia"/>
                      <w:color w:val="auto"/>
                      <w:szCs w:val="21"/>
                    </w:rPr>
                    <w:t>（2）</w:t>
                  </w:r>
                  <w:r>
                    <w:rPr>
                      <w:color w:val="auto"/>
                      <w:szCs w:val="21"/>
                    </w:rPr>
                    <w:t>本项目</w:t>
                  </w:r>
                  <w:r>
                    <w:rPr>
                      <w:rFonts w:hint="eastAsia"/>
                      <w:color w:val="auto"/>
                      <w:szCs w:val="21"/>
                      <w:lang w:val="en-US" w:eastAsia="zh-CN"/>
                    </w:rPr>
                    <w:t>无电镀工艺，不属于</w:t>
                  </w:r>
                  <w:r>
                    <w:rPr>
                      <w:rFonts w:hint="eastAsia"/>
                      <w:color w:val="auto"/>
                      <w:szCs w:val="21"/>
                    </w:rPr>
                    <w:t>铅酸电池项目</w:t>
                  </w:r>
                  <w:r>
                    <w:rPr>
                      <w:color w:val="auto"/>
                      <w:szCs w:val="21"/>
                    </w:rPr>
                    <w:t>。</w:t>
                  </w:r>
                </w:p>
              </w:tc>
              <w:tc>
                <w:tcPr>
                  <w:tcW w:w="317" w:type="pct"/>
                  <w:vAlign w:val="center"/>
                </w:tcPr>
                <w:p w14:paraId="4A75DC2E">
                  <w:pPr>
                    <w:jc w:val="center"/>
                    <w:rPr>
                      <w:b w:val="0"/>
                      <w:bCs w:val="0"/>
                      <w:color w:val="auto"/>
                      <w:szCs w:val="21"/>
                    </w:rPr>
                  </w:pPr>
                  <w:r>
                    <w:rPr>
                      <w:rFonts w:hint="eastAsia"/>
                      <w:b w:val="0"/>
                      <w:bCs w:val="0"/>
                      <w:color w:val="auto"/>
                      <w:szCs w:val="21"/>
                    </w:rPr>
                    <w:t>符合</w:t>
                  </w:r>
                </w:p>
              </w:tc>
            </w:tr>
            <w:tr w14:paraId="60365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9" w:hRule="atLeast"/>
                <w:jc w:val="center"/>
              </w:trPr>
              <w:tc>
                <w:tcPr>
                  <w:tcW w:w="287" w:type="pct"/>
                  <w:vAlign w:val="center"/>
                </w:tcPr>
                <w:p w14:paraId="7B444E3D">
                  <w:pPr>
                    <w:widowControl/>
                    <w:jc w:val="center"/>
                    <w:rPr>
                      <w:color w:val="auto"/>
                      <w:szCs w:val="21"/>
                    </w:rPr>
                  </w:pPr>
                  <w:r>
                    <w:rPr>
                      <w:color w:val="auto"/>
                      <w:szCs w:val="21"/>
                    </w:rPr>
                    <w:t>2</w:t>
                  </w:r>
                </w:p>
              </w:tc>
              <w:tc>
                <w:tcPr>
                  <w:tcW w:w="424" w:type="pct"/>
                  <w:vAlign w:val="center"/>
                </w:tcPr>
                <w:p w14:paraId="067A7C04">
                  <w:pPr>
                    <w:widowControl/>
                    <w:jc w:val="center"/>
                    <w:rPr>
                      <w:color w:val="auto"/>
                      <w:szCs w:val="21"/>
                    </w:rPr>
                  </w:pPr>
                  <w:r>
                    <w:rPr>
                      <w:rFonts w:hint="eastAsia"/>
                      <w:color w:val="auto"/>
                      <w:szCs w:val="21"/>
                    </w:rPr>
                    <w:t>重点</w:t>
                  </w:r>
                  <w:r>
                    <w:rPr>
                      <w:color w:val="auto"/>
                      <w:szCs w:val="21"/>
                    </w:rPr>
                    <w:t>管控单元管控要求</w:t>
                  </w:r>
                </w:p>
              </w:tc>
              <w:tc>
                <w:tcPr>
                  <w:tcW w:w="2807" w:type="pct"/>
                  <w:vAlign w:val="center"/>
                </w:tcPr>
                <w:p w14:paraId="23F450B0">
                  <w:pPr>
                    <w:ind w:firstLine="422" w:firstLineChars="200"/>
                    <w:rPr>
                      <w:color w:val="auto"/>
                      <w:szCs w:val="21"/>
                    </w:rPr>
                  </w:pPr>
                  <w:r>
                    <w:rPr>
                      <w:b/>
                      <w:bCs/>
                      <w:color w:val="auto"/>
                      <w:szCs w:val="21"/>
                    </w:rPr>
                    <w:t>禁止类项目、工艺、产品：</w:t>
                  </w:r>
                </w:p>
                <w:p w14:paraId="6EC8425B">
                  <w:pPr>
                    <w:ind w:firstLine="420" w:firstLineChars="200"/>
                    <w:rPr>
                      <w:color w:val="auto"/>
                      <w:szCs w:val="21"/>
                    </w:rPr>
                  </w:pPr>
                  <w:r>
                    <w:rPr>
                      <w:color w:val="auto"/>
                      <w:szCs w:val="21"/>
                    </w:rPr>
                    <w:t>1.除必须实施的防洪护岸、河道治理、供水、航道整治、港口码头及集疏运通道、道路及跨江桥隧、公共管理、生态环境治理、国家重要基础设施等事关公共安全和公众利益建设项目，以及长江岸线规划确定的城市建设区内非工业项目外，严禁长江干流岸线一公里范围内新建工业项目。</w:t>
                  </w:r>
                </w:p>
                <w:p w14:paraId="13A695C5">
                  <w:pPr>
                    <w:ind w:firstLine="420" w:firstLineChars="200"/>
                    <w:rPr>
                      <w:color w:val="auto"/>
                      <w:szCs w:val="21"/>
                    </w:rPr>
                  </w:pPr>
                  <w:r>
                    <w:rPr>
                      <w:color w:val="auto"/>
                      <w:szCs w:val="21"/>
                    </w:rPr>
                    <w:t>2.禁止引入酸、碱、肥料、农药以及化学合成制药等污染严重的化工项目，为集中区内项目上下游配套、污染较轻的，以及单纯混合和分装的复配项目需经项目环评阶段充分论证后方可准入。</w:t>
                  </w:r>
                </w:p>
                <w:p w14:paraId="78CC7204">
                  <w:pPr>
                    <w:ind w:firstLine="420" w:firstLineChars="200"/>
                    <w:rPr>
                      <w:color w:val="auto"/>
                      <w:szCs w:val="21"/>
                    </w:rPr>
                  </w:pPr>
                  <w:r>
                    <w:rPr>
                      <w:color w:val="auto"/>
                      <w:szCs w:val="21"/>
                    </w:rPr>
                    <w:t>3.禁止引入多晶硅、单晶硅制造等前道生产工序。</w:t>
                  </w:r>
                </w:p>
                <w:p w14:paraId="563F0048">
                  <w:pPr>
                    <w:ind w:firstLine="420" w:firstLineChars="200"/>
                    <w:rPr>
                      <w:color w:val="auto"/>
                      <w:szCs w:val="21"/>
                    </w:rPr>
                  </w:pPr>
                  <w:r>
                    <w:rPr>
                      <w:color w:val="auto"/>
                      <w:szCs w:val="21"/>
                    </w:rPr>
                    <w:t>4.为主导产业及配套的上下游及延伸产业链项目的生产工艺、设备、污染治理技术等不符合环保相关要求的项目，禁止引入。</w:t>
                  </w:r>
                </w:p>
                <w:p w14:paraId="49FABBAC">
                  <w:pPr>
                    <w:ind w:firstLine="420" w:firstLineChars="200"/>
                    <w:rPr>
                      <w:color w:val="auto"/>
                      <w:szCs w:val="21"/>
                    </w:rPr>
                  </w:pPr>
                  <w:r>
                    <w:rPr>
                      <w:color w:val="auto"/>
                      <w:szCs w:val="21"/>
                    </w:rPr>
                    <w:t>5.机械电子禁止引入的项目：①禁止引入表面处理中心以外的电镀生产工艺（其他必须配套电镀工序的企业，应严格控制其镀种和在电镀中心以外布局，其选址需经过充分环境影响论证）；②禁止引入国家产业指导目录中非鼓励类铅酸电池项目。</w:t>
                  </w:r>
                </w:p>
                <w:p w14:paraId="32FE9671">
                  <w:pPr>
                    <w:ind w:firstLine="420" w:firstLineChars="200"/>
                    <w:rPr>
                      <w:color w:val="auto"/>
                      <w:szCs w:val="21"/>
                    </w:rPr>
                  </w:pPr>
                  <w:r>
                    <w:rPr>
                      <w:color w:val="auto"/>
                      <w:szCs w:val="21"/>
                    </w:rPr>
                    <w:t>6.新型材料禁止引入的项目：①禁止引入能耗物耗高、环境污染大、产出效益低的国家或省规定禁止的其他落后工艺；②禁止引入表面处理中心以外的电镀生产工艺（其他必须配套电镀工序的企业，应严格控制其镀种和在电镀中心以外布局，其选址需经过充分环境影响论证）；③禁止引入多晶硅、单晶硅制造等前道生产工序；④禁止引入酸、碱、肥料、农药以及化学合成制药等污染严重的化工项目，为集中区内项目上下游配套、污染较轻的，以及单纯混合和分装的复配项目需经项目环评阶段充分论证后方可准入；⑤从严控制规模效益差、能源资源消耗大、环境影响严重的项目进入，包括钢铁、有色金属原矿冶炼、石化、焦化、水泥、原浆造纸、制革、平板玻璃和非金属矿原矿加工等项目。</w:t>
                  </w:r>
                </w:p>
                <w:p w14:paraId="6BDE4889">
                  <w:pPr>
                    <w:ind w:firstLine="420" w:firstLineChars="200"/>
                    <w:rPr>
                      <w:color w:val="auto"/>
                      <w:szCs w:val="21"/>
                    </w:rPr>
                  </w:pPr>
                  <w:r>
                    <w:rPr>
                      <w:color w:val="auto"/>
                      <w:szCs w:val="21"/>
                    </w:rPr>
                    <w:t>7.大健康禁止引入的项目：①禁止引入《产业结构调整指导目录（2019年本）》等产业政策中限制类和淘汰类设备和工艺；②禁止引入涉及化学合成工序的制药类项目。</w:t>
                  </w:r>
                </w:p>
                <w:p w14:paraId="4991A7A8">
                  <w:pPr>
                    <w:ind w:firstLine="422" w:firstLineChars="200"/>
                    <w:rPr>
                      <w:b/>
                      <w:bCs/>
                      <w:color w:val="auto"/>
                      <w:szCs w:val="21"/>
                    </w:rPr>
                  </w:pPr>
                  <w:r>
                    <w:rPr>
                      <w:b/>
                      <w:bCs/>
                      <w:color w:val="auto"/>
                      <w:szCs w:val="21"/>
                    </w:rPr>
                    <w:t>限</w:t>
                  </w:r>
                  <w:r>
                    <w:rPr>
                      <w:rFonts w:hint="eastAsia"/>
                      <w:b/>
                      <w:bCs/>
                      <w:color w:val="auto"/>
                      <w:szCs w:val="21"/>
                    </w:rPr>
                    <w:t>制</w:t>
                  </w:r>
                  <w:r>
                    <w:rPr>
                      <w:b/>
                      <w:bCs/>
                      <w:color w:val="auto"/>
                      <w:szCs w:val="21"/>
                    </w:rPr>
                    <w:t>类项目、工艺、产品：</w:t>
                  </w:r>
                </w:p>
                <w:p w14:paraId="73D9A37B">
                  <w:pPr>
                    <w:ind w:firstLine="420" w:firstLineChars="200"/>
                    <w:rPr>
                      <w:color w:val="auto"/>
                      <w:szCs w:val="21"/>
                    </w:rPr>
                  </w:pPr>
                  <w:r>
                    <w:rPr>
                      <w:color w:val="auto"/>
                      <w:szCs w:val="21"/>
                    </w:rPr>
                    <w:t>1.严格控制非主导产业类项目入区。</w:t>
                  </w:r>
                </w:p>
                <w:p w14:paraId="7F61A283">
                  <w:pPr>
                    <w:ind w:firstLine="420" w:firstLineChars="200"/>
                    <w:rPr>
                      <w:color w:val="auto"/>
                      <w:szCs w:val="21"/>
                    </w:rPr>
                  </w:pPr>
                  <w:r>
                    <w:rPr>
                      <w:color w:val="auto"/>
                      <w:szCs w:val="21"/>
                    </w:rPr>
                    <w:t>2.从严控制规模效益差、能源资源消耗大、环境影响严重的项目进入，包括钢铁、有色金属原矿冶炼、石化、焦化、水泥、原浆造纸、制革、平板玻璃和非金属矿原矿加工等项目。</w:t>
                  </w:r>
                </w:p>
                <w:p w14:paraId="5FA46D1B">
                  <w:pPr>
                    <w:ind w:firstLine="420" w:firstLineChars="200"/>
                    <w:rPr>
                      <w:color w:val="auto"/>
                      <w:szCs w:val="21"/>
                    </w:rPr>
                  </w:pPr>
                  <w:r>
                    <w:rPr>
                      <w:color w:val="auto"/>
                      <w:szCs w:val="21"/>
                    </w:rPr>
                    <w:t>3.严格控制引入表面处理中心以外涉及电镀生产工艺的项目（其他必须配套电镀工序的企业，应严格控制其镀种和在电镀中心以外布局，其选址需经过充分环境影响论证）。</w:t>
                  </w:r>
                </w:p>
                <w:p w14:paraId="41FA85D7">
                  <w:pPr>
                    <w:ind w:firstLine="420" w:firstLineChars="200"/>
                    <w:rPr>
                      <w:color w:val="auto"/>
                      <w:szCs w:val="21"/>
                    </w:rPr>
                  </w:pPr>
                  <w:r>
                    <w:rPr>
                      <w:color w:val="auto"/>
                      <w:szCs w:val="21"/>
                    </w:rPr>
                    <w:t>4.严格控制高污染高能耗、工艺技术门槛低、产品附加值低的项目引入。</w:t>
                  </w:r>
                </w:p>
                <w:p w14:paraId="42ED6B90">
                  <w:pPr>
                    <w:ind w:firstLine="422" w:firstLineChars="200"/>
                    <w:rPr>
                      <w:b/>
                      <w:bCs/>
                      <w:color w:val="auto"/>
                      <w:szCs w:val="21"/>
                    </w:rPr>
                  </w:pPr>
                  <w:r>
                    <w:rPr>
                      <w:b/>
                      <w:bCs/>
                      <w:color w:val="auto"/>
                      <w:szCs w:val="21"/>
                    </w:rPr>
                    <w:t>鼓励类项目、工艺、产品：</w:t>
                  </w:r>
                </w:p>
                <w:p w14:paraId="294440B7">
                  <w:pPr>
                    <w:ind w:firstLine="420" w:firstLineChars="200"/>
                    <w:rPr>
                      <w:color w:val="auto"/>
                      <w:szCs w:val="21"/>
                    </w:rPr>
                  </w:pPr>
                  <w:r>
                    <w:rPr>
                      <w:color w:val="auto"/>
                      <w:szCs w:val="21"/>
                    </w:rPr>
                    <w:t>机械电子、新型材料、大健康产业项目</w:t>
                  </w:r>
                </w:p>
              </w:tc>
              <w:tc>
                <w:tcPr>
                  <w:tcW w:w="1163" w:type="pct"/>
                  <w:vAlign w:val="center"/>
                </w:tcPr>
                <w:p w14:paraId="3A73784F">
                  <w:pPr>
                    <w:rPr>
                      <w:rFonts w:hint="eastAsia" w:eastAsia="宋体"/>
                      <w:color w:val="auto"/>
                      <w:szCs w:val="21"/>
                      <w:lang w:eastAsia="zh-CN"/>
                    </w:rPr>
                  </w:pPr>
                  <w:r>
                    <w:rPr>
                      <w:rFonts w:hint="eastAsia"/>
                      <w:color w:val="auto"/>
                      <w:szCs w:val="21"/>
                    </w:rPr>
                    <w:t>（1）</w:t>
                  </w:r>
                  <w:r>
                    <w:rPr>
                      <w:color w:val="auto"/>
                      <w:szCs w:val="21"/>
                    </w:rPr>
                    <w:t>本项目距离长江最近直线距离为</w:t>
                  </w:r>
                  <w:r>
                    <w:rPr>
                      <w:rFonts w:hint="eastAsia"/>
                      <w:color w:val="auto"/>
                      <w:szCs w:val="21"/>
                      <w:lang w:val="en-US" w:eastAsia="zh-CN"/>
                    </w:rPr>
                    <w:t>2.5</w:t>
                  </w:r>
                  <w:r>
                    <w:rPr>
                      <w:color w:val="auto"/>
                      <w:szCs w:val="21"/>
                    </w:rPr>
                    <w:t>km，不属于长江干流岸线一公里范围内</w:t>
                  </w:r>
                  <w:r>
                    <w:rPr>
                      <w:rFonts w:hint="eastAsia"/>
                      <w:color w:val="auto"/>
                      <w:szCs w:val="21"/>
                      <w:lang w:eastAsia="zh-CN"/>
                    </w:rPr>
                    <w:t>；</w:t>
                  </w:r>
                </w:p>
                <w:p w14:paraId="7ADB41A4">
                  <w:pPr>
                    <w:rPr>
                      <w:rFonts w:hint="eastAsia" w:eastAsia="宋体"/>
                      <w:color w:val="auto"/>
                      <w:szCs w:val="21"/>
                      <w:lang w:eastAsia="zh-CN"/>
                    </w:rPr>
                  </w:pPr>
                  <w:r>
                    <w:rPr>
                      <w:rFonts w:hint="eastAsia"/>
                      <w:color w:val="auto"/>
                      <w:szCs w:val="21"/>
                    </w:rPr>
                    <w:t>（2）</w:t>
                  </w:r>
                  <w:r>
                    <w:rPr>
                      <w:color w:val="auto"/>
                      <w:szCs w:val="21"/>
                    </w:rPr>
                    <w:t>本项目</w:t>
                  </w:r>
                  <w:r>
                    <w:rPr>
                      <w:rFonts w:hint="eastAsia"/>
                      <w:color w:val="auto"/>
                      <w:szCs w:val="21"/>
                    </w:rPr>
                    <w:t>属于显示器件制造和</w:t>
                  </w:r>
                  <w:r>
                    <w:rPr>
                      <w:rFonts w:hint="eastAsia"/>
                      <w:color w:val="auto"/>
                      <w:szCs w:val="21"/>
                      <w:lang w:val="en-US" w:eastAsia="zh-CN"/>
                    </w:rPr>
                    <w:t>电光源</w:t>
                  </w:r>
                  <w:r>
                    <w:rPr>
                      <w:rFonts w:hint="eastAsia"/>
                      <w:color w:val="auto"/>
                      <w:szCs w:val="21"/>
                    </w:rPr>
                    <w:t>制造，</w:t>
                  </w:r>
                  <w:r>
                    <w:rPr>
                      <w:color w:val="auto"/>
                      <w:szCs w:val="21"/>
                    </w:rPr>
                    <w:t>不属于化工项目</w:t>
                  </w:r>
                  <w:r>
                    <w:rPr>
                      <w:rFonts w:hint="eastAsia"/>
                      <w:color w:val="auto"/>
                      <w:szCs w:val="21"/>
                    </w:rPr>
                    <w:t>，无电镀工艺</w:t>
                  </w:r>
                  <w:r>
                    <w:rPr>
                      <w:rFonts w:hint="eastAsia"/>
                      <w:color w:val="auto"/>
                      <w:szCs w:val="21"/>
                      <w:lang w:eastAsia="zh-CN"/>
                    </w:rPr>
                    <w:t>；</w:t>
                  </w:r>
                </w:p>
                <w:p w14:paraId="2FE9C266">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color w:val="auto"/>
                      <w:szCs w:val="21"/>
                      <w:lang w:val="en-US" w:eastAsia="zh-CN"/>
                    </w:rPr>
                  </w:pPr>
                  <w:r>
                    <w:rPr>
                      <w:rFonts w:hint="eastAsia"/>
                      <w:color w:val="auto"/>
                      <w:szCs w:val="21"/>
                      <w:lang w:eastAsia="zh-CN"/>
                    </w:rPr>
                    <w:t>（</w:t>
                  </w:r>
                  <w:r>
                    <w:rPr>
                      <w:rFonts w:hint="eastAsia"/>
                      <w:color w:val="auto"/>
                      <w:szCs w:val="21"/>
                      <w:lang w:val="en-US" w:eastAsia="zh-CN"/>
                    </w:rPr>
                    <w:t>3</w:t>
                  </w:r>
                  <w:r>
                    <w:rPr>
                      <w:rFonts w:hint="eastAsia"/>
                      <w:color w:val="auto"/>
                      <w:szCs w:val="21"/>
                      <w:lang w:eastAsia="zh-CN"/>
                    </w:rPr>
                    <w:t>）</w:t>
                  </w:r>
                  <w:r>
                    <w:rPr>
                      <w:rFonts w:hint="eastAsia"/>
                      <w:color w:val="auto"/>
                      <w:szCs w:val="21"/>
                      <w:lang w:val="en-US" w:eastAsia="zh-CN"/>
                    </w:rPr>
                    <w:t>本项目无</w:t>
                  </w:r>
                  <w:r>
                    <w:rPr>
                      <w:rFonts w:hint="eastAsia"/>
                      <w:color w:val="auto"/>
                      <w:szCs w:val="21"/>
                      <w:lang w:eastAsia="zh-CN"/>
                    </w:rPr>
                    <w:t>多晶硅、单晶硅制造</w:t>
                  </w:r>
                  <w:r>
                    <w:rPr>
                      <w:rFonts w:hint="eastAsia"/>
                      <w:color w:val="auto"/>
                      <w:szCs w:val="21"/>
                      <w:lang w:val="en-US" w:eastAsia="zh-CN"/>
                    </w:rPr>
                    <w:t>等生产工序；</w:t>
                  </w:r>
                </w:p>
                <w:p w14:paraId="291B8F48">
                  <w:pPr>
                    <w:pStyle w:val="8"/>
                    <w:ind w:left="0" w:leftChars="0" w:firstLine="0" w:firstLineChars="0"/>
                    <w:rPr>
                      <w:rFonts w:hint="eastAsia"/>
                      <w:color w:val="auto"/>
                      <w:szCs w:val="21"/>
                      <w:lang w:val="en-US" w:eastAsia="zh-CN"/>
                    </w:rPr>
                  </w:pPr>
                  <w:r>
                    <w:rPr>
                      <w:rFonts w:hint="eastAsia"/>
                      <w:color w:val="auto"/>
                      <w:szCs w:val="21"/>
                      <w:lang w:val="en-US" w:eastAsia="zh-CN"/>
                    </w:rPr>
                    <w:t>（4）本项目属于规划主导产业中的机械电子产业，无电镀工艺，不属于铅酸电池项目；</w:t>
                  </w:r>
                </w:p>
                <w:p w14:paraId="1CAA2525">
                  <w:pPr>
                    <w:rPr>
                      <w:rFonts w:hint="default"/>
                      <w:color w:val="auto"/>
                      <w:lang w:val="en-US" w:eastAsia="zh-CN"/>
                    </w:rPr>
                  </w:pPr>
                  <w:r>
                    <w:rPr>
                      <w:rFonts w:hint="eastAsia"/>
                      <w:color w:val="auto"/>
                      <w:szCs w:val="21"/>
                      <w:lang w:val="en-US" w:eastAsia="zh-CN"/>
                    </w:rPr>
                    <w:t>（5）本项目不属于钢铁、有色金属原矿冶炼、石化、焦化、水泥、原浆造纸、制革、平板玻璃和非金属矿原矿加工等项目。</w:t>
                  </w:r>
                </w:p>
              </w:tc>
              <w:tc>
                <w:tcPr>
                  <w:tcW w:w="317" w:type="pct"/>
                  <w:vAlign w:val="center"/>
                </w:tcPr>
                <w:p w14:paraId="487233B4">
                  <w:pPr>
                    <w:jc w:val="center"/>
                    <w:rPr>
                      <w:b/>
                      <w:bCs/>
                      <w:color w:val="auto"/>
                      <w:szCs w:val="21"/>
                    </w:rPr>
                  </w:pPr>
                  <w:r>
                    <w:rPr>
                      <w:rFonts w:hint="eastAsia"/>
                      <w:b w:val="0"/>
                      <w:bCs w:val="0"/>
                      <w:color w:val="auto"/>
                      <w:szCs w:val="21"/>
                    </w:rPr>
                    <w:t>符合</w:t>
                  </w:r>
                </w:p>
              </w:tc>
            </w:tr>
          </w:tbl>
          <w:p w14:paraId="4315C496">
            <w:pPr>
              <w:pStyle w:val="51"/>
              <w:keepNext w:val="0"/>
              <w:keepLines w:val="0"/>
              <w:pageBreakBefore w:val="0"/>
              <w:widowControl w:val="0"/>
              <w:kinsoku/>
              <w:wordWrap/>
              <w:overflowPunct/>
              <w:topLinePunct w:val="0"/>
              <w:autoSpaceDE/>
              <w:autoSpaceDN/>
              <w:bidi w:val="0"/>
              <w:adjustRightInd w:val="0"/>
              <w:snapToGrid w:val="0"/>
              <w:spacing w:before="157" w:beforeLines="50"/>
              <w:ind w:firstLine="480"/>
              <w:textAlignment w:val="auto"/>
              <w:rPr>
                <w:rFonts w:hint="eastAsia"/>
              </w:rPr>
            </w:pPr>
            <w:r>
              <w:rPr>
                <w:rFonts w:hint="eastAsia"/>
                <w:color w:val="auto"/>
              </w:rPr>
              <w:t>综上，本项目符合池州市三线一单及环境分区管控要求。</w:t>
            </w:r>
          </w:p>
          <w:p w14:paraId="68897B32">
            <w:pPr>
              <w:pStyle w:val="51"/>
              <w:spacing w:before="120" w:beforeLines="50"/>
              <w:ind w:firstLine="482"/>
              <w:rPr>
                <w:b/>
                <w:bCs/>
                <w:color w:val="auto"/>
              </w:rPr>
            </w:pPr>
            <w:r>
              <w:rPr>
                <w:rFonts w:hint="eastAsia"/>
                <w:b/>
                <w:bCs/>
                <w:color w:val="auto"/>
                <w:lang w:val="en-US" w:eastAsia="zh-CN"/>
              </w:rPr>
              <w:t>5</w:t>
            </w:r>
            <w:r>
              <w:rPr>
                <w:rFonts w:hint="eastAsia"/>
                <w:b/>
                <w:bCs/>
                <w:color w:val="auto"/>
              </w:rPr>
              <w:t>、与《长江经济带生态环境保护规划》（环规财〔2017〕88号）符合性分析</w:t>
            </w:r>
          </w:p>
          <w:p w14:paraId="7D4809C6">
            <w:pPr>
              <w:pStyle w:val="51"/>
              <w:rPr>
                <w:color w:val="auto"/>
              </w:rPr>
            </w:pPr>
            <w:r>
              <w:rPr>
                <w:rFonts w:hint="eastAsia"/>
                <w:color w:val="auto"/>
              </w:rPr>
              <w:t>2017年7月13日，环境保护部、发展改革委、水利部联合印发了《长江经济带生态环境保护规划》（环规财〔2017〕88号），本项目与《长江经济带生态环境保护规划》负面清单符合性见下表。</w:t>
            </w:r>
          </w:p>
          <w:p w14:paraId="0F7A17B1">
            <w:pPr>
              <w:widowControl/>
              <w:spacing w:line="440" w:lineRule="exact"/>
              <w:jc w:val="center"/>
              <w:rPr>
                <w:rFonts w:eastAsia="黑体"/>
                <w:color w:val="auto"/>
                <w:sz w:val="24"/>
              </w:rPr>
            </w:pPr>
            <w:r>
              <w:rPr>
                <w:b/>
                <w:bCs/>
                <w:color w:val="auto"/>
                <w:szCs w:val="21"/>
              </w:rPr>
              <w:t>表1-</w:t>
            </w:r>
            <w:r>
              <w:rPr>
                <w:rFonts w:hint="eastAsia"/>
                <w:b/>
                <w:bCs/>
                <w:color w:val="auto"/>
                <w:szCs w:val="21"/>
                <w:lang w:val="en-US" w:eastAsia="zh-CN"/>
              </w:rPr>
              <w:t>5</w:t>
            </w:r>
            <w:r>
              <w:rPr>
                <w:b/>
                <w:bCs/>
                <w:color w:val="auto"/>
                <w:szCs w:val="21"/>
              </w:rPr>
              <w:t xml:space="preserve"> 项目与</w:t>
            </w:r>
            <w:r>
              <w:rPr>
                <w:rFonts w:hint="eastAsia"/>
                <w:b/>
                <w:bCs/>
                <w:color w:val="auto"/>
                <w:szCs w:val="21"/>
              </w:rPr>
              <w:t>环规财〔2017〕88号</w:t>
            </w:r>
            <w:r>
              <w:rPr>
                <w:b/>
                <w:bCs/>
                <w:color w:val="auto"/>
                <w:szCs w:val="21"/>
              </w:rPr>
              <w:t>文件的符合性分析</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652"/>
              <w:gridCol w:w="4580"/>
              <w:gridCol w:w="1779"/>
              <w:gridCol w:w="786"/>
            </w:tblGrid>
            <w:tr w14:paraId="262C5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418" w:type="pct"/>
                  <w:vAlign w:val="center"/>
                </w:tcPr>
                <w:p w14:paraId="59EB9DFE">
                  <w:pPr>
                    <w:jc w:val="center"/>
                    <w:rPr>
                      <w:b/>
                      <w:bCs/>
                      <w:color w:val="auto"/>
                      <w:szCs w:val="21"/>
                    </w:rPr>
                  </w:pPr>
                  <w:r>
                    <w:rPr>
                      <w:b/>
                      <w:bCs/>
                      <w:color w:val="auto"/>
                      <w:szCs w:val="21"/>
                    </w:rPr>
                    <w:t>序号</w:t>
                  </w:r>
                </w:p>
              </w:tc>
              <w:tc>
                <w:tcPr>
                  <w:tcW w:w="2936" w:type="pct"/>
                  <w:vAlign w:val="center"/>
                </w:tcPr>
                <w:p w14:paraId="3F18F80F">
                  <w:pPr>
                    <w:spacing w:line="260" w:lineRule="exact"/>
                    <w:jc w:val="center"/>
                    <w:rPr>
                      <w:b/>
                      <w:bCs/>
                      <w:color w:val="auto"/>
                      <w:szCs w:val="21"/>
                    </w:rPr>
                  </w:pPr>
                  <w:r>
                    <w:rPr>
                      <w:rFonts w:hint="eastAsia"/>
                      <w:b/>
                      <w:bCs/>
                      <w:color w:val="auto"/>
                      <w:szCs w:val="21"/>
                    </w:rPr>
                    <w:t>相关</w:t>
                  </w:r>
                  <w:r>
                    <w:rPr>
                      <w:b/>
                      <w:bCs/>
                      <w:color w:val="auto"/>
                      <w:szCs w:val="21"/>
                    </w:rPr>
                    <w:t>要求</w:t>
                  </w:r>
                </w:p>
              </w:tc>
              <w:tc>
                <w:tcPr>
                  <w:tcW w:w="1141" w:type="pct"/>
                  <w:vAlign w:val="center"/>
                </w:tcPr>
                <w:p w14:paraId="3BF128AC">
                  <w:pPr>
                    <w:jc w:val="center"/>
                    <w:rPr>
                      <w:b/>
                      <w:bCs/>
                      <w:color w:val="auto"/>
                      <w:szCs w:val="21"/>
                    </w:rPr>
                  </w:pPr>
                  <w:r>
                    <w:rPr>
                      <w:b/>
                      <w:bCs/>
                      <w:color w:val="auto"/>
                      <w:szCs w:val="21"/>
                    </w:rPr>
                    <w:t>本项目</w:t>
                  </w:r>
                  <w:r>
                    <w:rPr>
                      <w:rFonts w:hint="eastAsia"/>
                      <w:b/>
                      <w:bCs/>
                      <w:color w:val="auto"/>
                      <w:szCs w:val="21"/>
                    </w:rPr>
                    <w:t>情况</w:t>
                  </w:r>
                </w:p>
              </w:tc>
              <w:tc>
                <w:tcPr>
                  <w:tcW w:w="504" w:type="pct"/>
                  <w:vAlign w:val="center"/>
                </w:tcPr>
                <w:p w14:paraId="2DB2246E">
                  <w:pPr>
                    <w:jc w:val="center"/>
                    <w:rPr>
                      <w:b/>
                      <w:bCs/>
                      <w:color w:val="auto"/>
                      <w:szCs w:val="21"/>
                    </w:rPr>
                  </w:pPr>
                  <w:r>
                    <w:rPr>
                      <w:b/>
                      <w:bCs/>
                      <w:color w:val="auto"/>
                      <w:szCs w:val="21"/>
                    </w:rPr>
                    <w:t>相符性</w:t>
                  </w:r>
                </w:p>
              </w:tc>
            </w:tr>
            <w:tr w14:paraId="79E46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418" w:type="pct"/>
                  <w:vAlign w:val="center"/>
                </w:tcPr>
                <w:p w14:paraId="0D1AFABB">
                  <w:pPr>
                    <w:spacing w:line="260" w:lineRule="exact"/>
                    <w:jc w:val="center"/>
                    <w:rPr>
                      <w:color w:val="auto"/>
                      <w:szCs w:val="21"/>
                    </w:rPr>
                  </w:pPr>
                  <w:r>
                    <w:rPr>
                      <w:rFonts w:hint="eastAsia"/>
                      <w:color w:val="auto"/>
                      <w:szCs w:val="21"/>
                    </w:rPr>
                    <w:t>1</w:t>
                  </w:r>
                </w:p>
              </w:tc>
              <w:tc>
                <w:tcPr>
                  <w:tcW w:w="2936" w:type="pct"/>
                  <w:vAlign w:val="center"/>
                </w:tcPr>
                <w:p w14:paraId="5F1192AD">
                  <w:pPr>
                    <w:spacing w:line="260" w:lineRule="exact"/>
                    <w:jc w:val="center"/>
                    <w:rPr>
                      <w:color w:val="auto"/>
                      <w:szCs w:val="21"/>
                    </w:rPr>
                  </w:pPr>
                  <w:r>
                    <w:rPr>
                      <w:rFonts w:hint="eastAsia"/>
                      <w:color w:val="auto"/>
                      <w:szCs w:val="21"/>
                    </w:rPr>
                    <w:t>长江沿线一切经济活动都要以不破坏生态环境为前提，抓紧制定产业准入负面清单，明确空间准入和环境准入的清单式管理要求。提出长江沿线限制开发和禁止开发的岸线、河段、区域、产业以及相关管理措施。不符合要求占用岸线、河段、土地和布局的产业，必须无条件退出。除在建项目外，严禁在干流及主要支流岸线1公里范围内布局新建重化工园区，严控在中上游沿岸地区新建石油化工和煤化工项目。严控下游高污染、高排放企业向上游转移。</w:t>
                  </w:r>
                </w:p>
              </w:tc>
              <w:tc>
                <w:tcPr>
                  <w:tcW w:w="1141" w:type="pct"/>
                  <w:vAlign w:val="center"/>
                </w:tcPr>
                <w:p w14:paraId="4034E046">
                  <w:pPr>
                    <w:spacing w:line="260" w:lineRule="exact"/>
                    <w:jc w:val="center"/>
                    <w:rPr>
                      <w:b/>
                      <w:bCs/>
                      <w:color w:val="auto"/>
                      <w:szCs w:val="21"/>
                    </w:rPr>
                  </w:pPr>
                  <w:r>
                    <w:rPr>
                      <w:rFonts w:hint="eastAsia"/>
                      <w:color w:val="auto"/>
                      <w:szCs w:val="21"/>
                    </w:rPr>
                    <w:t>本项目位于池州市皖江江南新兴产业集中区，距离长江岸线约</w:t>
                  </w:r>
                  <w:r>
                    <w:rPr>
                      <w:rFonts w:hint="eastAsia"/>
                      <w:color w:val="auto"/>
                      <w:szCs w:val="21"/>
                      <w:lang w:val="en-US" w:eastAsia="zh-CN"/>
                    </w:rPr>
                    <w:t>2.5k</w:t>
                  </w:r>
                  <w:r>
                    <w:rPr>
                      <w:rFonts w:hint="eastAsia"/>
                      <w:color w:val="auto"/>
                      <w:szCs w:val="21"/>
                    </w:rPr>
                    <w:t>m，拟建项目不在长江干流和支流岸线（九华河）1km范围内</w:t>
                  </w:r>
                  <w:r>
                    <w:rPr>
                      <w:rFonts w:hint="eastAsia"/>
                      <w:color w:val="auto"/>
                      <w:szCs w:val="21"/>
                      <w:lang w:eastAsia="zh-CN"/>
                    </w:rPr>
                    <w:t>（</w:t>
                  </w:r>
                  <w:r>
                    <w:rPr>
                      <w:rFonts w:hint="eastAsia"/>
                      <w:color w:val="auto"/>
                      <w:szCs w:val="21"/>
                      <w:lang w:val="en-US" w:eastAsia="zh-CN"/>
                    </w:rPr>
                    <w:t>附图12</w:t>
                  </w:r>
                  <w:r>
                    <w:rPr>
                      <w:rFonts w:hint="eastAsia"/>
                      <w:color w:val="auto"/>
                      <w:szCs w:val="21"/>
                      <w:lang w:eastAsia="zh-CN"/>
                    </w:rPr>
                    <w:t>）</w:t>
                  </w:r>
                  <w:r>
                    <w:rPr>
                      <w:rFonts w:hint="eastAsia"/>
                      <w:color w:val="auto"/>
                      <w:szCs w:val="21"/>
                    </w:rPr>
                    <w:t>，本项目为显示器件制造和</w:t>
                  </w:r>
                  <w:r>
                    <w:rPr>
                      <w:rFonts w:hint="eastAsia"/>
                      <w:color w:val="auto"/>
                      <w:szCs w:val="21"/>
                      <w:lang w:val="en-US" w:eastAsia="zh-CN"/>
                    </w:rPr>
                    <w:t>电光源制造</w:t>
                  </w:r>
                  <w:r>
                    <w:rPr>
                      <w:rFonts w:hint="eastAsia"/>
                      <w:color w:val="auto"/>
                      <w:szCs w:val="21"/>
                    </w:rPr>
                    <w:t>，不属于石油化工和煤化工项目，不属于高污染和高排放企业。</w:t>
                  </w:r>
                </w:p>
              </w:tc>
              <w:tc>
                <w:tcPr>
                  <w:tcW w:w="504" w:type="pct"/>
                  <w:vAlign w:val="center"/>
                </w:tcPr>
                <w:p w14:paraId="478CA6B6">
                  <w:pPr>
                    <w:spacing w:line="260" w:lineRule="exact"/>
                    <w:jc w:val="center"/>
                    <w:rPr>
                      <w:color w:val="auto"/>
                      <w:szCs w:val="21"/>
                    </w:rPr>
                  </w:pPr>
                  <w:r>
                    <w:rPr>
                      <w:color w:val="auto"/>
                      <w:szCs w:val="21"/>
                    </w:rPr>
                    <w:t>符合</w:t>
                  </w:r>
                </w:p>
              </w:tc>
            </w:tr>
          </w:tbl>
          <w:p w14:paraId="494FF936">
            <w:pPr>
              <w:pStyle w:val="51"/>
              <w:spacing w:before="120" w:beforeLines="50"/>
              <w:rPr>
                <w:color w:val="auto"/>
              </w:rPr>
            </w:pPr>
            <w:r>
              <w:rPr>
                <w:rFonts w:hint="eastAsia"/>
                <w:color w:val="auto"/>
              </w:rPr>
              <w:t>综上，项目符合《长江经济带生态环境保护规划》（环规财〔2017〕88号）要求。</w:t>
            </w:r>
          </w:p>
          <w:p w14:paraId="1C187B24">
            <w:pPr>
              <w:pStyle w:val="4"/>
              <w:numPr>
                <w:ilvl w:val="0"/>
                <w:numId w:val="0"/>
              </w:numPr>
              <w:spacing w:before="0" w:after="0" w:line="360" w:lineRule="auto"/>
              <w:ind w:firstLine="482" w:firstLineChars="200"/>
              <w:rPr>
                <w:color w:val="auto"/>
                <w:sz w:val="24"/>
                <w:szCs w:val="22"/>
              </w:rPr>
            </w:pPr>
            <w:r>
              <w:rPr>
                <w:rFonts w:hint="eastAsia"/>
                <w:color w:val="auto"/>
                <w:sz w:val="24"/>
                <w:szCs w:val="22"/>
                <w:lang w:val="en-US" w:eastAsia="zh-CN"/>
              </w:rPr>
              <w:t>6、</w:t>
            </w:r>
            <w:r>
              <w:rPr>
                <w:rFonts w:hint="eastAsia"/>
                <w:color w:val="auto"/>
                <w:sz w:val="24"/>
                <w:szCs w:val="22"/>
              </w:rPr>
              <w:t>与《关于打造水清岸绿产业优美丽长江（安徽）经济带的实施意见（升级版）》（皖发〔2021〕19号）符合性分析</w:t>
            </w:r>
          </w:p>
          <w:p w14:paraId="7238C47B">
            <w:pPr>
              <w:spacing w:line="360" w:lineRule="auto"/>
              <w:ind w:firstLine="480" w:firstLineChars="200"/>
              <w:rPr>
                <w:color w:val="auto"/>
                <w:kern w:val="0"/>
                <w:sz w:val="24"/>
              </w:rPr>
            </w:pPr>
            <w:r>
              <w:rPr>
                <w:color w:val="auto"/>
                <w:kern w:val="0"/>
                <w:sz w:val="24"/>
              </w:rPr>
              <w:t>2021年8月9日，中共安徽省委、省政府印发了《关于打造水清岸绿产业优美丽长江（安徽）经济带的实施意见（升级版）》。</w:t>
            </w:r>
            <w:r>
              <w:rPr>
                <w:rFonts w:hint="eastAsia"/>
                <w:color w:val="auto"/>
                <w:kern w:val="0"/>
                <w:sz w:val="24"/>
              </w:rPr>
              <w:t>本项目与皖发〔2021〕19号的符合性分析见下表。</w:t>
            </w:r>
          </w:p>
          <w:p w14:paraId="06D68990">
            <w:pPr>
              <w:widowControl/>
              <w:spacing w:line="360" w:lineRule="auto"/>
              <w:jc w:val="center"/>
              <w:rPr>
                <w:rFonts w:eastAsia="黑体"/>
                <w:color w:val="auto"/>
                <w:sz w:val="24"/>
              </w:rPr>
            </w:pPr>
            <w:r>
              <w:rPr>
                <w:b/>
                <w:bCs/>
                <w:color w:val="auto"/>
                <w:szCs w:val="21"/>
              </w:rPr>
              <w:t>表1-</w:t>
            </w:r>
            <w:r>
              <w:rPr>
                <w:rFonts w:hint="eastAsia"/>
                <w:b/>
                <w:bCs/>
                <w:color w:val="auto"/>
                <w:szCs w:val="21"/>
                <w:lang w:val="en-US" w:eastAsia="zh-CN"/>
              </w:rPr>
              <w:t>6</w:t>
            </w:r>
            <w:r>
              <w:rPr>
                <w:b/>
                <w:bCs/>
                <w:color w:val="auto"/>
                <w:szCs w:val="21"/>
              </w:rPr>
              <w:t xml:space="preserve"> 项目与</w:t>
            </w:r>
            <w:r>
              <w:rPr>
                <w:rFonts w:hint="eastAsia"/>
                <w:b/>
                <w:bCs/>
                <w:color w:val="auto"/>
                <w:szCs w:val="21"/>
              </w:rPr>
              <w:t>皖发〔2021〕19号</w:t>
            </w:r>
            <w:r>
              <w:rPr>
                <w:b/>
                <w:bCs/>
                <w:color w:val="auto"/>
                <w:szCs w:val="21"/>
              </w:rPr>
              <w:t>文件的符合性分析</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652"/>
              <w:gridCol w:w="4580"/>
              <w:gridCol w:w="1779"/>
              <w:gridCol w:w="786"/>
            </w:tblGrid>
            <w:tr w14:paraId="1A95F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418" w:type="pct"/>
                  <w:vAlign w:val="center"/>
                </w:tcPr>
                <w:p w14:paraId="6F681BEC">
                  <w:pPr>
                    <w:jc w:val="center"/>
                    <w:rPr>
                      <w:b/>
                      <w:bCs/>
                      <w:color w:val="auto"/>
                      <w:szCs w:val="21"/>
                    </w:rPr>
                  </w:pPr>
                  <w:r>
                    <w:rPr>
                      <w:b/>
                      <w:bCs/>
                      <w:color w:val="auto"/>
                      <w:szCs w:val="21"/>
                    </w:rPr>
                    <w:t>序号</w:t>
                  </w:r>
                </w:p>
              </w:tc>
              <w:tc>
                <w:tcPr>
                  <w:tcW w:w="2936" w:type="pct"/>
                  <w:vAlign w:val="center"/>
                </w:tcPr>
                <w:p w14:paraId="080418EF">
                  <w:pPr>
                    <w:spacing w:line="260" w:lineRule="exact"/>
                    <w:jc w:val="center"/>
                    <w:rPr>
                      <w:b/>
                      <w:bCs/>
                      <w:color w:val="auto"/>
                      <w:szCs w:val="21"/>
                    </w:rPr>
                  </w:pPr>
                  <w:r>
                    <w:rPr>
                      <w:rFonts w:hint="eastAsia"/>
                      <w:b/>
                      <w:bCs/>
                      <w:color w:val="auto"/>
                      <w:szCs w:val="21"/>
                    </w:rPr>
                    <w:t>相关</w:t>
                  </w:r>
                  <w:r>
                    <w:rPr>
                      <w:b/>
                      <w:bCs/>
                      <w:color w:val="auto"/>
                      <w:szCs w:val="21"/>
                    </w:rPr>
                    <w:t>要求</w:t>
                  </w:r>
                </w:p>
              </w:tc>
              <w:tc>
                <w:tcPr>
                  <w:tcW w:w="1141" w:type="pct"/>
                  <w:vAlign w:val="center"/>
                </w:tcPr>
                <w:p w14:paraId="203D4764">
                  <w:pPr>
                    <w:jc w:val="center"/>
                    <w:rPr>
                      <w:b/>
                      <w:bCs/>
                      <w:color w:val="auto"/>
                      <w:szCs w:val="21"/>
                    </w:rPr>
                  </w:pPr>
                  <w:r>
                    <w:rPr>
                      <w:b/>
                      <w:bCs/>
                      <w:color w:val="auto"/>
                      <w:szCs w:val="21"/>
                    </w:rPr>
                    <w:t>本项目</w:t>
                  </w:r>
                  <w:r>
                    <w:rPr>
                      <w:rFonts w:hint="eastAsia"/>
                      <w:b/>
                      <w:bCs/>
                      <w:color w:val="auto"/>
                      <w:szCs w:val="21"/>
                    </w:rPr>
                    <w:t>情况</w:t>
                  </w:r>
                </w:p>
              </w:tc>
              <w:tc>
                <w:tcPr>
                  <w:tcW w:w="504" w:type="pct"/>
                  <w:vAlign w:val="center"/>
                </w:tcPr>
                <w:p w14:paraId="69E89481">
                  <w:pPr>
                    <w:jc w:val="center"/>
                    <w:rPr>
                      <w:b/>
                      <w:bCs/>
                      <w:color w:val="auto"/>
                      <w:szCs w:val="21"/>
                    </w:rPr>
                  </w:pPr>
                  <w:r>
                    <w:rPr>
                      <w:b/>
                      <w:bCs/>
                      <w:color w:val="auto"/>
                      <w:szCs w:val="21"/>
                    </w:rPr>
                    <w:t>相符性</w:t>
                  </w:r>
                </w:p>
              </w:tc>
            </w:tr>
            <w:tr w14:paraId="6BA19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418" w:type="pct"/>
                  <w:vAlign w:val="center"/>
                </w:tcPr>
                <w:p w14:paraId="0610EF1E">
                  <w:pPr>
                    <w:spacing w:line="260" w:lineRule="exact"/>
                    <w:jc w:val="center"/>
                    <w:rPr>
                      <w:color w:val="auto"/>
                      <w:szCs w:val="21"/>
                    </w:rPr>
                  </w:pPr>
                  <w:r>
                    <w:rPr>
                      <w:rFonts w:hint="eastAsia"/>
                      <w:color w:val="auto"/>
                      <w:szCs w:val="21"/>
                    </w:rPr>
                    <w:t>1</w:t>
                  </w:r>
                </w:p>
              </w:tc>
              <w:tc>
                <w:tcPr>
                  <w:tcW w:w="2936" w:type="pct"/>
                  <w:vAlign w:val="center"/>
                </w:tcPr>
                <w:p w14:paraId="52B2072C">
                  <w:pPr>
                    <w:spacing w:line="260" w:lineRule="exact"/>
                    <w:jc w:val="center"/>
                    <w:rPr>
                      <w:color w:val="auto"/>
                      <w:szCs w:val="21"/>
                    </w:rPr>
                  </w:pPr>
                  <w:r>
                    <w:rPr>
                      <w:rFonts w:hint="eastAsia"/>
                      <w:color w:val="auto"/>
                      <w:szCs w:val="21"/>
                    </w:rPr>
                    <w:t>①严禁1公里范围内新建化工项目。长江干支流岸线1公里范围内，严禁新建、技改化工园区和化工项目。已批未开工的项目，依法停止建设，支持重新选址。已经开工建设的项目，严格进行检查评估，不符合岸线规划和环保、安全要求的，全部依法依规停建搬迁。</w:t>
                  </w:r>
                </w:p>
                <w:p w14:paraId="12CA0272">
                  <w:pPr>
                    <w:spacing w:line="260" w:lineRule="exact"/>
                    <w:jc w:val="center"/>
                    <w:rPr>
                      <w:color w:val="auto"/>
                      <w:szCs w:val="21"/>
                    </w:rPr>
                  </w:pPr>
                  <w:r>
                    <w:rPr>
                      <w:rFonts w:hint="eastAsia"/>
                      <w:color w:val="auto"/>
                      <w:szCs w:val="21"/>
                    </w:rPr>
                    <w:t>②严控5公里范围内新建重化工重污染项目。长江干流岸线5公里范围内，全面落实长江岸线功能定位要求，实施严格的化工项目市场准入制度，除提升安全、环保、节能水平，以及质量升级、结构调整的改技改项目外，严控新建石油化工和煤化工等重化工、重污染项目。严禁新建布局重化工园区。合规化工园区内，严禁新批环境基础设施不完善或长期不能稳定运行的企业新建和技改化工项目。</w:t>
                  </w:r>
                </w:p>
                <w:p w14:paraId="6ACC929F">
                  <w:pPr>
                    <w:spacing w:line="260" w:lineRule="exact"/>
                    <w:jc w:val="center"/>
                    <w:rPr>
                      <w:color w:val="auto"/>
                      <w:szCs w:val="21"/>
                    </w:rPr>
                  </w:pPr>
                  <w:r>
                    <w:rPr>
                      <w:rFonts w:hint="eastAsia"/>
                      <w:color w:val="auto"/>
                      <w:szCs w:val="21"/>
                    </w:rPr>
                    <w:t>③严管15公里范围内新建项目。长江干流岸线15公里范围内，严把各类项目准入门槛，严格执行环境保护标准，把主要污染物和重点重金属排放总量控制目标作为新（改、扩）建项目环评审批的前置条件，禁止建设没有环境容量和减排总量项目。在岸线开发、河段利用、区域活动和产业发展等方面，严格执行《长江经济带发展负面清单指南（试行）》、《安徽省长江经济带发展负面清单实施细则（试行）》。实施备案、环评、安评、能评等并联审批，未落实生态环保、安全生产、能源节约要求</w:t>
                  </w:r>
                </w:p>
                <w:p w14:paraId="4521DB57">
                  <w:pPr>
                    <w:spacing w:line="260" w:lineRule="exact"/>
                    <w:jc w:val="center"/>
                    <w:rPr>
                      <w:color w:val="auto"/>
                      <w:szCs w:val="21"/>
                    </w:rPr>
                  </w:pPr>
                  <w:r>
                    <w:rPr>
                      <w:rFonts w:hint="eastAsia"/>
                      <w:color w:val="auto"/>
                      <w:szCs w:val="21"/>
                    </w:rPr>
                    <w:t>的，一律不得开工建设。</w:t>
                  </w:r>
                </w:p>
              </w:tc>
              <w:tc>
                <w:tcPr>
                  <w:tcW w:w="1141" w:type="pct"/>
                  <w:vAlign w:val="center"/>
                </w:tcPr>
                <w:p w14:paraId="3EE882EE">
                  <w:pPr>
                    <w:spacing w:line="260" w:lineRule="exact"/>
                    <w:jc w:val="center"/>
                    <w:rPr>
                      <w:color w:val="auto"/>
                      <w:szCs w:val="21"/>
                    </w:rPr>
                  </w:pPr>
                  <w:r>
                    <w:rPr>
                      <w:rFonts w:hint="eastAsia"/>
                      <w:color w:val="auto"/>
                      <w:szCs w:val="21"/>
                    </w:rPr>
                    <w:t>①拟建项目不在长江干流和支流岸线（九华河）1km范围内</w:t>
                  </w:r>
                  <w:r>
                    <w:rPr>
                      <w:rFonts w:hint="eastAsia"/>
                      <w:color w:val="auto"/>
                      <w:szCs w:val="21"/>
                      <w:lang w:eastAsia="zh-CN"/>
                    </w:rPr>
                    <w:t>（</w:t>
                  </w:r>
                  <w:r>
                    <w:rPr>
                      <w:rFonts w:hint="eastAsia"/>
                      <w:color w:val="auto"/>
                      <w:szCs w:val="21"/>
                      <w:lang w:val="en-US" w:eastAsia="zh-CN"/>
                    </w:rPr>
                    <w:t>附图12</w:t>
                  </w:r>
                  <w:r>
                    <w:rPr>
                      <w:rFonts w:hint="eastAsia"/>
                      <w:color w:val="auto"/>
                      <w:szCs w:val="21"/>
                      <w:lang w:eastAsia="zh-CN"/>
                    </w:rPr>
                    <w:t>）</w:t>
                  </w:r>
                  <w:r>
                    <w:rPr>
                      <w:rFonts w:hint="eastAsia"/>
                      <w:color w:val="auto"/>
                      <w:szCs w:val="21"/>
                    </w:rPr>
                    <w:t>；</w:t>
                  </w:r>
                </w:p>
                <w:p w14:paraId="78F3B4A2">
                  <w:pPr>
                    <w:spacing w:line="260" w:lineRule="exact"/>
                    <w:jc w:val="center"/>
                    <w:rPr>
                      <w:color w:val="auto"/>
                      <w:szCs w:val="21"/>
                    </w:rPr>
                  </w:pPr>
                  <w:r>
                    <w:rPr>
                      <w:rFonts w:hint="eastAsia"/>
                      <w:color w:val="auto"/>
                      <w:szCs w:val="21"/>
                    </w:rPr>
                    <w:t>②本项目属于显示器件制造和</w:t>
                  </w:r>
                  <w:r>
                    <w:rPr>
                      <w:rFonts w:hint="eastAsia"/>
                      <w:color w:val="auto"/>
                      <w:szCs w:val="21"/>
                      <w:lang w:val="en-US" w:eastAsia="zh-CN"/>
                    </w:rPr>
                    <w:t>电光源</w:t>
                  </w:r>
                  <w:r>
                    <w:rPr>
                      <w:rFonts w:hint="eastAsia"/>
                      <w:color w:val="auto"/>
                      <w:szCs w:val="21"/>
                    </w:rPr>
                    <w:t>制造，属于园区主导产业中的机械电子产业</w:t>
                  </w:r>
                </w:p>
                <w:p w14:paraId="38659254">
                  <w:pPr>
                    <w:spacing w:line="260" w:lineRule="exact"/>
                    <w:jc w:val="center"/>
                    <w:rPr>
                      <w:b/>
                      <w:bCs/>
                      <w:color w:val="auto"/>
                      <w:szCs w:val="21"/>
                    </w:rPr>
                  </w:pPr>
                  <w:r>
                    <w:rPr>
                      <w:rFonts w:hint="eastAsia"/>
                      <w:color w:val="auto"/>
                      <w:szCs w:val="21"/>
                    </w:rPr>
                    <w:t>③本项目不属于化工项目。</w:t>
                  </w:r>
                </w:p>
              </w:tc>
              <w:tc>
                <w:tcPr>
                  <w:tcW w:w="504" w:type="pct"/>
                  <w:vAlign w:val="center"/>
                </w:tcPr>
                <w:p w14:paraId="2BAB7483">
                  <w:pPr>
                    <w:spacing w:line="260" w:lineRule="exact"/>
                    <w:jc w:val="center"/>
                    <w:rPr>
                      <w:color w:val="auto"/>
                      <w:szCs w:val="21"/>
                    </w:rPr>
                  </w:pPr>
                  <w:r>
                    <w:rPr>
                      <w:color w:val="auto"/>
                      <w:szCs w:val="21"/>
                    </w:rPr>
                    <w:t>符合</w:t>
                  </w:r>
                </w:p>
              </w:tc>
            </w:tr>
          </w:tbl>
          <w:p w14:paraId="303D89DA">
            <w:pPr>
              <w:pStyle w:val="51"/>
              <w:spacing w:before="120" w:beforeLines="50"/>
              <w:rPr>
                <w:bCs/>
                <w:color w:val="auto"/>
                <w:szCs w:val="22"/>
              </w:rPr>
            </w:pPr>
            <w:r>
              <w:rPr>
                <w:bCs/>
                <w:color w:val="auto"/>
                <w:szCs w:val="22"/>
              </w:rPr>
              <w:t>综上，</w:t>
            </w:r>
            <w:r>
              <w:rPr>
                <w:rFonts w:hint="eastAsia"/>
                <w:bCs/>
                <w:color w:val="auto"/>
                <w:szCs w:val="22"/>
              </w:rPr>
              <w:t>项目符合《关于打造水清岸绿产业优美丽长江（安徽）经济带的实施意见（升级版）》（皖发〔2021〕19号）要求。</w:t>
            </w:r>
          </w:p>
          <w:p w14:paraId="43DE47A3">
            <w:pPr>
              <w:pStyle w:val="51"/>
              <w:numPr>
                <w:ilvl w:val="0"/>
                <w:numId w:val="0"/>
              </w:numPr>
              <w:spacing w:before="120" w:beforeLines="50"/>
              <w:ind w:firstLine="482" w:firstLineChars="200"/>
              <w:rPr>
                <w:b/>
                <w:bCs/>
                <w:color w:val="auto"/>
              </w:rPr>
            </w:pPr>
            <w:r>
              <w:rPr>
                <w:rFonts w:hint="eastAsia"/>
                <w:b/>
                <w:bCs/>
                <w:color w:val="auto"/>
                <w:lang w:val="en-US" w:eastAsia="zh-CN"/>
              </w:rPr>
              <w:t>7、</w:t>
            </w:r>
            <w:r>
              <w:rPr>
                <w:rFonts w:hint="eastAsia"/>
                <w:b/>
                <w:bCs/>
                <w:color w:val="auto"/>
              </w:rPr>
              <w:t>与《中华人民共和国长江保护法》的符合性</w:t>
            </w:r>
          </w:p>
          <w:p w14:paraId="416F1114">
            <w:pPr>
              <w:pStyle w:val="51"/>
              <w:spacing w:before="120" w:beforeLines="50"/>
              <w:rPr>
                <w:color w:val="auto"/>
              </w:rPr>
            </w:pPr>
            <w:r>
              <w:rPr>
                <w:rFonts w:hint="eastAsia"/>
                <w:color w:val="auto"/>
              </w:rPr>
              <w:t>2020年12月26日第十三届全国人民代表大会常务委员会第二十四次会议通过了《中华人民共和国长江保护法》，本项目与《中华人民共和国长江保护法》的符合性分析见下表。</w:t>
            </w:r>
          </w:p>
          <w:p w14:paraId="5CEF1670">
            <w:pPr>
              <w:pStyle w:val="52"/>
              <w:rPr>
                <w:color w:val="auto"/>
              </w:rPr>
            </w:pPr>
            <w:r>
              <w:rPr>
                <w:rFonts w:hint="eastAsia"/>
                <w:color w:val="auto"/>
              </w:rPr>
              <w:t>表1</w:t>
            </w:r>
            <w:r>
              <w:rPr>
                <w:color w:val="auto"/>
              </w:rPr>
              <w:t>-</w:t>
            </w:r>
            <w:r>
              <w:rPr>
                <w:rFonts w:hint="eastAsia"/>
                <w:color w:val="auto"/>
                <w:lang w:val="en-US" w:eastAsia="zh-CN"/>
              </w:rPr>
              <w:t>7</w:t>
            </w:r>
            <w:r>
              <w:rPr>
                <w:color w:val="auto"/>
              </w:rPr>
              <w:t xml:space="preserve">  </w:t>
            </w:r>
            <w:r>
              <w:rPr>
                <w:rFonts w:hint="eastAsia"/>
                <w:color w:val="auto"/>
              </w:rPr>
              <w:t>项目与《中华人民共和国长江保护法》符合性</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00"/>
              <w:gridCol w:w="2990"/>
              <w:gridCol w:w="912"/>
            </w:tblGrid>
            <w:tr w14:paraId="28C48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99" w:type="pct"/>
                  <w:vAlign w:val="center"/>
                </w:tcPr>
                <w:p w14:paraId="5B3CAF49">
                  <w:pPr>
                    <w:pStyle w:val="51"/>
                    <w:spacing w:line="240" w:lineRule="auto"/>
                    <w:ind w:firstLine="0" w:firstLineChars="0"/>
                    <w:jc w:val="center"/>
                    <w:rPr>
                      <w:b/>
                      <w:bCs/>
                      <w:color w:val="auto"/>
                      <w:sz w:val="21"/>
                      <w:szCs w:val="21"/>
                    </w:rPr>
                  </w:pPr>
                  <w:r>
                    <w:rPr>
                      <w:rFonts w:hint="eastAsia"/>
                      <w:b/>
                      <w:bCs/>
                      <w:color w:val="auto"/>
                      <w:sz w:val="21"/>
                      <w:szCs w:val="21"/>
                    </w:rPr>
                    <w:t>相关要求</w:t>
                  </w:r>
                </w:p>
              </w:tc>
              <w:tc>
                <w:tcPr>
                  <w:tcW w:w="1916" w:type="pct"/>
                  <w:vAlign w:val="center"/>
                </w:tcPr>
                <w:p w14:paraId="421D733D">
                  <w:pPr>
                    <w:pStyle w:val="51"/>
                    <w:spacing w:line="240" w:lineRule="auto"/>
                    <w:ind w:firstLine="0" w:firstLineChars="0"/>
                    <w:jc w:val="center"/>
                    <w:rPr>
                      <w:b/>
                      <w:bCs/>
                      <w:color w:val="auto"/>
                      <w:sz w:val="21"/>
                      <w:szCs w:val="21"/>
                    </w:rPr>
                  </w:pPr>
                  <w:r>
                    <w:rPr>
                      <w:rFonts w:hint="eastAsia"/>
                      <w:b/>
                      <w:bCs/>
                      <w:color w:val="auto"/>
                      <w:sz w:val="21"/>
                      <w:szCs w:val="21"/>
                    </w:rPr>
                    <w:t>本项目</w:t>
                  </w:r>
                </w:p>
              </w:tc>
              <w:tc>
                <w:tcPr>
                  <w:tcW w:w="584" w:type="pct"/>
                  <w:vAlign w:val="center"/>
                </w:tcPr>
                <w:p w14:paraId="7EDABE54">
                  <w:pPr>
                    <w:pStyle w:val="51"/>
                    <w:spacing w:line="240" w:lineRule="auto"/>
                    <w:ind w:firstLine="0" w:firstLineChars="0"/>
                    <w:jc w:val="center"/>
                    <w:rPr>
                      <w:b/>
                      <w:bCs/>
                      <w:color w:val="auto"/>
                      <w:sz w:val="21"/>
                      <w:szCs w:val="21"/>
                    </w:rPr>
                  </w:pPr>
                  <w:r>
                    <w:rPr>
                      <w:rFonts w:hint="eastAsia"/>
                      <w:b/>
                      <w:bCs/>
                      <w:color w:val="auto"/>
                      <w:sz w:val="21"/>
                      <w:szCs w:val="21"/>
                    </w:rPr>
                    <w:t>符合性</w:t>
                  </w:r>
                </w:p>
              </w:tc>
            </w:tr>
            <w:tr w14:paraId="64AD2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499" w:type="pct"/>
                  <w:vAlign w:val="center"/>
                </w:tcPr>
                <w:p w14:paraId="178F69AF">
                  <w:pPr>
                    <w:pStyle w:val="51"/>
                    <w:spacing w:line="240" w:lineRule="auto"/>
                    <w:ind w:firstLine="0" w:firstLineChars="0"/>
                    <w:rPr>
                      <w:color w:val="auto"/>
                      <w:sz w:val="21"/>
                      <w:szCs w:val="21"/>
                    </w:rPr>
                  </w:pPr>
                  <w:r>
                    <w:rPr>
                      <w:rFonts w:hint="eastAsia"/>
                      <w:color w:val="auto"/>
                      <w:sz w:val="21"/>
                      <w:szCs w:val="21"/>
                    </w:rPr>
                    <w:t>第二十六条，禁止在长江干支流岸线一公里范围内新建、扩建化工园区和化工项目。禁止在长江干流岸线三公里范围内和重要支流岸线一公里范围内新建、改建、扩建尾矿库；但是以提升安全、生态环境保护水平为目的的改建除外。</w:t>
                  </w:r>
                </w:p>
              </w:tc>
              <w:tc>
                <w:tcPr>
                  <w:tcW w:w="1916" w:type="pct"/>
                  <w:vAlign w:val="center"/>
                </w:tcPr>
                <w:p w14:paraId="73D6126C">
                  <w:pPr>
                    <w:spacing w:line="260" w:lineRule="exact"/>
                    <w:jc w:val="center"/>
                    <w:rPr>
                      <w:color w:val="auto"/>
                      <w:szCs w:val="21"/>
                    </w:rPr>
                  </w:pPr>
                  <w:r>
                    <w:rPr>
                      <w:rFonts w:hint="eastAsia"/>
                      <w:color w:val="auto"/>
                      <w:szCs w:val="21"/>
                    </w:rPr>
                    <w:t>①本项目距离长江</w:t>
                  </w:r>
                  <w:r>
                    <w:rPr>
                      <w:rFonts w:hint="eastAsia"/>
                      <w:color w:val="auto"/>
                      <w:szCs w:val="21"/>
                      <w:lang w:val="en-US" w:eastAsia="zh-CN"/>
                    </w:rPr>
                    <w:t>2.5k</w:t>
                  </w:r>
                  <w:r>
                    <w:rPr>
                      <w:rFonts w:hint="eastAsia"/>
                      <w:color w:val="auto"/>
                      <w:szCs w:val="21"/>
                    </w:rPr>
                    <w:t>m，选址位于园区内；</w:t>
                  </w:r>
                </w:p>
                <w:p w14:paraId="768DADBF">
                  <w:pPr>
                    <w:pStyle w:val="51"/>
                    <w:spacing w:line="240" w:lineRule="auto"/>
                    <w:ind w:firstLine="0" w:firstLineChars="0"/>
                    <w:jc w:val="center"/>
                    <w:rPr>
                      <w:color w:val="auto"/>
                      <w:sz w:val="21"/>
                      <w:szCs w:val="21"/>
                    </w:rPr>
                  </w:pPr>
                  <w:r>
                    <w:rPr>
                      <w:rFonts w:hint="eastAsia"/>
                      <w:color w:val="auto"/>
                      <w:szCs w:val="21"/>
                    </w:rPr>
                    <w:t>②</w:t>
                  </w:r>
                  <w:r>
                    <w:rPr>
                      <w:rFonts w:hint="eastAsia"/>
                      <w:color w:val="auto"/>
                      <w:kern w:val="2"/>
                      <w:sz w:val="21"/>
                      <w:szCs w:val="21"/>
                    </w:rPr>
                    <w:t>本项目不属于化工项目。</w:t>
                  </w:r>
                </w:p>
              </w:tc>
              <w:tc>
                <w:tcPr>
                  <w:tcW w:w="584" w:type="pct"/>
                  <w:vAlign w:val="center"/>
                </w:tcPr>
                <w:p w14:paraId="344F639C">
                  <w:pPr>
                    <w:pStyle w:val="51"/>
                    <w:spacing w:line="240" w:lineRule="auto"/>
                    <w:ind w:firstLine="0" w:firstLineChars="0"/>
                    <w:jc w:val="center"/>
                    <w:rPr>
                      <w:color w:val="auto"/>
                      <w:sz w:val="21"/>
                      <w:szCs w:val="21"/>
                    </w:rPr>
                  </w:pPr>
                  <w:r>
                    <w:rPr>
                      <w:rFonts w:hint="eastAsia"/>
                      <w:color w:val="auto"/>
                      <w:sz w:val="21"/>
                      <w:szCs w:val="21"/>
                    </w:rPr>
                    <w:t>符合</w:t>
                  </w:r>
                </w:p>
              </w:tc>
            </w:tr>
          </w:tbl>
          <w:p w14:paraId="62E9C4EA">
            <w:pPr>
              <w:pStyle w:val="51"/>
              <w:rPr>
                <w:color w:val="auto"/>
              </w:rPr>
            </w:pPr>
            <w:r>
              <w:rPr>
                <w:rFonts w:hint="eastAsia"/>
                <w:color w:val="auto"/>
              </w:rPr>
              <w:t>综上，项目符合《中华人民共和国长江保护法》要求。</w:t>
            </w:r>
          </w:p>
          <w:p w14:paraId="12A1966F">
            <w:pPr>
              <w:pStyle w:val="51"/>
              <w:ind w:firstLine="482"/>
              <w:rPr>
                <w:b/>
                <w:bCs/>
              </w:rPr>
            </w:pPr>
            <w:r>
              <w:rPr>
                <w:rFonts w:hint="eastAsia"/>
                <w:b/>
                <w:bCs/>
                <w:lang w:val="en-US" w:eastAsia="zh-CN"/>
              </w:rPr>
              <w:t>8、</w:t>
            </w:r>
            <w:r>
              <w:rPr>
                <w:rFonts w:hint="eastAsia"/>
                <w:b/>
                <w:bCs/>
              </w:rPr>
              <w:t>与《长江经济带发展负面清单指南（</w:t>
            </w:r>
            <w:bookmarkStart w:id="11" w:name="_GoBack"/>
            <w:r>
              <w:rPr>
                <w:rFonts w:hint="eastAsia"/>
                <w:b/>
                <w:bCs/>
              </w:rPr>
              <w:t>试行</w:t>
            </w:r>
            <w:bookmarkEnd w:id="11"/>
            <w:r>
              <w:rPr>
                <w:rFonts w:hint="eastAsia"/>
                <w:b/>
                <w:bCs/>
              </w:rPr>
              <w:t>，2022版）》相符性分析</w:t>
            </w:r>
          </w:p>
          <w:p w14:paraId="5047ED6F">
            <w:pPr>
              <w:pStyle w:val="51"/>
              <w:ind w:firstLine="480"/>
            </w:pPr>
            <w:r>
              <w:rPr>
                <w:rFonts w:hint="eastAsia"/>
              </w:rPr>
              <w:t>2022年1月19日，推动长江经济带发展和领导小组办公室发布“关于印发《长江经济带发展负面清单指南（试行，2022版）》的通知（长江办[2022]7号）”，拟建项目与《长江经济带发展负面清单指南（试行，2022版）》（以下简称《指南》）符合性分析见下表。</w:t>
            </w:r>
          </w:p>
          <w:p w14:paraId="53DF13B3">
            <w:pPr>
              <w:pStyle w:val="52"/>
            </w:pPr>
            <w:r>
              <w:rPr>
                <w:rFonts w:hint="eastAsia"/>
              </w:rPr>
              <w:t>表1</w:t>
            </w:r>
            <w:r>
              <w:t>-</w:t>
            </w:r>
            <w:r>
              <w:rPr>
                <w:rFonts w:hint="eastAsia"/>
                <w:lang w:val="en-US" w:eastAsia="zh-CN"/>
              </w:rPr>
              <w:t>8</w:t>
            </w:r>
            <w:r>
              <w:t xml:space="preserve">  </w:t>
            </w:r>
            <w:r>
              <w:rPr>
                <w:rFonts w:hint="eastAsia"/>
              </w:rPr>
              <w:t>项目与《指南》相符性</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09"/>
              <w:gridCol w:w="4214"/>
              <w:gridCol w:w="2448"/>
              <w:gridCol w:w="628"/>
            </w:tblGrid>
            <w:tr w14:paraId="31A53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326" w:type="pct"/>
                  <w:vAlign w:val="center"/>
                </w:tcPr>
                <w:p w14:paraId="67C39BE4">
                  <w:pPr>
                    <w:pStyle w:val="85"/>
                    <w:rPr>
                      <w:b/>
                      <w:bCs/>
                    </w:rPr>
                  </w:pPr>
                  <w:r>
                    <w:rPr>
                      <w:b/>
                      <w:bCs/>
                    </w:rPr>
                    <w:t>序号</w:t>
                  </w:r>
                </w:p>
              </w:tc>
              <w:tc>
                <w:tcPr>
                  <w:tcW w:w="2701" w:type="pct"/>
                  <w:vAlign w:val="center"/>
                </w:tcPr>
                <w:p w14:paraId="17B611CA">
                  <w:pPr>
                    <w:pStyle w:val="85"/>
                    <w:rPr>
                      <w:b/>
                      <w:bCs/>
                    </w:rPr>
                  </w:pPr>
                  <w:r>
                    <w:rPr>
                      <w:rFonts w:hint="eastAsia"/>
                      <w:b/>
                      <w:bCs/>
                    </w:rPr>
                    <w:t>《指南》要求</w:t>
                  </w:r>
                </w:p>
              </w:tc>
              <w:tc>
                <w:tcPr>
                  <w:tcW w:w="1569" w:type="pct"/>
                  <w:vAlign w:val="center"/>
                </w:tcPr>
                <w:p w14:paraId="49371FAC">
                  <w:pPr>
                    <w:pStyle w:val="85"/>
                    <w:rPr>
                      <w:b/>
                      <w:bCs/>
                    </w:rPr>
                  </w:pPr>
                  <w:r>
                    <w:rPr>
                      <w:b/>
                      <w:bCs/>
                    </w:rPr>
                    <w:t>本项目情况</w:t>
                  </w:r>
                </w:p>
              </w:tc>
              <w:tc>
                <w:tcPr>
                  <w:tcW w:w="402" w:type="pct"/>
                  <w:vAlign w:val="center"/>
                </w:tcPr>
                <w:p w14:paraId="46A74ED7">
                  <w:pPr>
                    <w:pStyle w:val="85"/>
                    <w:rPr>
                      <w:b/>
                      <w:bCs/>
                    </w:rPr>
                  </w:pPr>
                  <w:r>
                    <w:rPr>
                      <w:b/>
                      <w:bCs/>
                    </w:rPr>
                    <w:t>符合性</w:t>
                  </w:r>
                </w:p>
              </w:tc>
            </w:tr>
            <w:tr w14:paraId="743BF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326" w:type="pct"/>
                  <w:vAlign w:val="center"/>
                </w:tcPr>
                <w:p w14:paraId="4796E108">
                  <w:pPr>
                    <w:pStyle w:val="85"/>
                  </w:pPr>
                  <w:r>
                    <w:t>1</w:t>
                  </w:r>
                </w:p>
              </w:tc>
              <w:tc>
                <w:tcPr>
                  <w:tcW w:w="2701" w:type="pct"/>
                  <w:vAlign w:val="center"/>
                </w:tcPr>
                <w:p w14:paraId="41F90404">
                  <w:pPr>
                    <w:pStyle w:val="85"/>
                    <w:jc w:val="both"/>
                  </w:pPr>
                  <w:r>
                    <w:rPr>
                      <w:rFonts w:hint="eastAsia"/>
                    </w:rPr>
                    <w:t>禁止在自然保护区核心区、缓冲区的岸线和河段范围内投资建设旅游和生产经营项目。禁止在风景名胜区核心景区的岸线和河段范围内投资建设与风景名胜资源保护无关的项目。</w:t>
                  </w:r>
                </w:p>
              </w:tc>
              <w:tc>
                <w:tcPr>
                  <w:tcW w:w="1569" w:type="pct"/>
                  <w:vMerge w:val="restart"/>
                  <w:vAlign w:val="center"/>
                </w:tcPr>
                <w:p w14:paraId="00F1352A">
                  <w:pPr>
                    <w:pStyle w:val="85"/>
                    <w:jc w:val="both"/>
                  </w:pPr>
                  <w:r>
                    <w:t>项目位于</w:t>
                  </w:r>
                  <w:r>
                    <w:rPr>
                      <w:rFonts w:hint="eastAsia"/>
                    </w:rPr>
                    <w:t>皖江江南产业集中区</w:t>
                  </w:r>
                  <w:r>
                    <w:t>，周边无自然保护区和风景名胜区</w:t>
                  </w:r>
                  <w:r>
                    <w:rPr>
                      <w:rFonts w:hint="eastAsia"/>
                    </w:rPr>
                    <w:t>，</w:t>
                  </w:r>
                  <w:r>
                    <w:t>项目不在饮用水源保护区范围内</w:t>
                  </w:r>
                </w:p>
              </w:tc>
              <w:tc>
                <w:tcPr>
                  <w:tcW w:w="402" w:type="pct"/>
                  <w:vAlign w:val="center"/>
                </w:tcPr>
                <w:p w14:paraId="68E2AFED">
                  <w:pPr>
                    <w:pStyle w:val="85"/>
                  </w:pPr>
                  <w:r>
                    <w:t>符合</w:t>
                  </w:r>
                </w:p>
              </w:tc>
            </w:tr>
            <w:tr w14:paraId="3D327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326" w:type="pct"/>
                  <w:vAlign w:val="center"/>
                </w:tcPr>
                <w:p w14:paraId="2757DB33">
                  <w:pPr>
                    <w:pStyle w:val="85"/>
                  </w:pPr>
                  <w:r>
                    <w:t>2</w:t>
                  </w:r>
                </w:p>
              </w:tc>
              <w:tc>
                <w:tcPr>
                  <w:tcW w:w="2701" w:type="pct"/>
                  <w:vAlign w:val="center"/>
                </w:tcPr>
                <w:p w14:paraId="78C4C34D">
                  <w:pPr>
                    <w:pStyle w:val="85"/>
                    <w:jc w:val="both"/>
                  </w:pPr>
                  <w:r>
                    <w:rPr>
                      <w:rFonts w:hint="eastAsia"/>
                    </w:rPr>
                    <w:t>禁止在饮用水水源一级保护区的岸线和河段范围内新建、改建、扩建与供水设施和保护水源无关的项目，以及网箱养殖、畜禽养殖、旅游等可能污染饮用水水体的投资建设项目。禁止在饮用水水源二级保护区的岸线和河段范围内新建、改建、扩建排放污染物的投资建设项目。</w:t>
                  </w:r>
                </w:p>
              </w:tc>
              <w:tc>
                <w:tcPr>
                  <w:tcW w:w="1569" w:type="pct"/>
                  <w:vMerge w:val="continue"/>
                  <w:vAlign w:val="center"/>
                </w:tcPr>
                <w:p w14:paraId="7FC1EFC6">
                  <w:pPr>
                    <w:pStyle w:val="85"/>
                    <w:jc w:val="both"/>
                  </w:pPr>
                </w:p>
              </w:tc>
              <w:tc>
                <w:tcPr>
                  <w:tcW w:w="402" w:type="pct"/>
                  <w:vAlign w:val="center"/>
                </w:tcPr>
                <w:p w14:paraId="494A28CE">
                  <w:pPr>
                    <w:pStyle w:val="85"/>
                  </w:pPr>
                  <w:r>
                    <w:t>符合</w:t>
                  </w:r>
                </w:p>
              </w:tc>
            </w:tr>
            <w:tr w14:paraId="71FE9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326" w:type="pct"/>
                  <w:vAlign w:val="center"/>
                </w:tcPr>
                <w:p w14:paraId="51AA5B6F">
                  <w:pPr>
                    <w:pStyle w:val="85"/>
                  </w:pPr>
                  <w:r>
                    <w:t>3</w:t>
                  </w:r>
                </w:p>
              </w:tc>
              <w:tc>
                <w:tcPr>
                  <w:tcW w:w="2701" w:type="pct"/>
                  <w:vAlign w:val="center"/>
                </w:tcPr>
                <w:p w14:paraId="48144655">
                  <w:pPr>
                    <w:pStyle w:val="85"/>
                    <w:jc w:val="both"/>
                  </w:pPr>
                  <w:r>
                    <w:rPr>
                      <w:rFonts w:hint="eastAsia"/>
                    </w:rPr>
                    <w:t>禁止在水产种质资源保护区的岸线和河段范围内新建围湖造田、围海造地或围填海等投资建设项目。禁止在国家湿地公园的岸线和河段范围内挖沙、采矿，以及任何不符合主体功能定位的投资建设项目。</w:t>
                  </w:r>
                </w:p>
              </w:tc>
              <w:tc>
                <w:tcPr>
                  <w:tcW w:w="1569" w:type="pct"/>
                  <w:vAlign w:val="center"/>
                </w:tcPr>
                <w:p w14:paraId="2438545F">
                  <w:pPr>
                    <w:pStyle w:val="85"/>
                    <w:jc w:val="both"/>
                  </w:pPr>
                  <w:r>
                    <w:rPr>
                      <w:rFonts w:hint="eastAsia"/>
                    </w:rPr>
                    <w:t>拟建项目属于显示器件制造和</w:t>
                  </w:r>
                  <w:r>
                    <w:rPr>
                      <w:rFonts w:hint="eastAsia"/>
                      <w:lang w:val="en-US" w:eastAsia="zh-CN"/>
                    </w:rPr>
                    <w:t>电光源</w:t>
                  </w:r>
                  <w:r>
                    <w:rPr>
                      <w:rFonts w:hint="eastAsia"/>
                    </w:rPr>
                    <w:t>制造项目，不属于左侧所列各类别项目</w:t>
                  </w:r>
                </w:p>
              </w:tc>
              <w:tc>
                <w:tcPr>
                  <w:tcW w:w="402" w:type="pct"/>
                  <w:vAlign w:val="center"/>
                </w:tcPr>
                <w:p w14:paraId="3D95EBB4">
                  <w:pPr>
                    <w:pStyle w:val="85"/>
                  </w:pPr>
                  <w:r>
                    <w:t>符合</w:t>
                  </w:r>
                </w:p>
              </w:tc>
            </w:tr>
            <w:tr w14:paraId="5B8A1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326" w:type="pct"/>
                  <w:vAlign w:val="center"/>
                </w:tcPr>
                <w:p w14:paraId="29B9AF6B">
                  <w:pPr>
                    <w:pStyle w:val="85"/>
                  </w:pPr>
                  <w:r>
                    <w:t>4</w:t>
                  </w:r>
                </w:p>
              </w:tc>
              <w:tc>
                <w:tcPr>
                  <w:tcW w:w="2701" w:type="pct"/>
                  <w:vAlign w:val="center"/>
                </w:tcPr>
                <w:p w14:paraId="431CF5A8">
                  <w:pPr>
                    <w:pStyle w:val="85"/>
                    <w:jc w:val="both"/>
                  </w:pPr>
                  <w:r>
                    <w:rPr>
                      <w:rFonts w:hint="eastAsia"/>
                    </w:rPr>
                    <w:t>禁止违法利用、占用长江流域河湖岸线。禁止在《长江岸线保护和开发利用总体规划》划定的岸线保护区和保留区内投资建设除事关公共安全及公众利益的防洪护岸、河道治理、供水、生态环境保护、航道整治、国家重要基础设施以外的项目。禁止在《全国重要江河湖泊水功能区划》划定的河段及湖泊保护区、保留区内投资建设不利于水资源及自然生态保护的项目。</w:t>
                  </w:r>
                </w:p>
              </w:tc>
              <w:tc>
                <w:tcPr>
                  <w:tcW w:w="1569" w:type="pct"/>
                  <w:vAlign w:val="center"/>
                </w:tcPr>
                <w:p w14:paraId="0B1A2E85">
                  <w:pPr>
                    <w:pStyle w:val="85"/>
                    <w:jc w:val="both"/>
                  </w:pPr>
                  <w:r>
                    <w:rPr>
                      <w:rFonts w:hint="eastAsia"/>
                    </w:rPr>
                    <w:t>拟建项目未占用长江流域河湖岸线，不在岸线保护区和保留区内</w:t>
                  </w:r>
                </w:p>
              </w:tc>
              <w:tc>
                <w:tcPr>
                  <w:tcW w:w="402" w:type="pct"/>
                  <w:vAlign w:val="center"/>
                </w:tcPr>
                <w:p w14:paraId="2DACEE0A">
                  <w:pPr>
                    <w:pStyle w:val="85"/>
                  </w:pPr>
                  <w:r>
                    <w:t>符合</w:t>
                  </w:r>
                </w:p>
              </w:tc>
            </w:tr>
            <w:tr w14:paraId="16E1A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326" w:type="pct"/>
                  <w:vAlign w:val="center"/>
                </w:tcPr>
                <w:p w14:paraId="507A5DF7">
                  <w:pPr>
                    <w:pStyle w:val="85"/>
                  </w:pPr>
                  <w:r>
                    <w:t>5</w:t>
                  </w:r>
                </w:p>
              </w:tc>
              <w:tc>
                <w:tcPr>
                  <w:tcW w:w="2701" w:type="pct"/>
                  <w:vAlign w:val="center"/>
                </w:tcPr>
                <w:p w14:paraId="4F0C2D60">
                  <w:pPr>
                    <w:pStyle w:val="85"/>
                    <w:jc w:val="both"/>
                  </w:pPr>
                  <w:r>
                    <w:rPr>
                      <w:rFonts w:hint="eastAsia"/>
                    </w:rPr>
                    <w:t>禁止未经许可在长江干支流及湖泊新设、改设或扩大排污口</w:t>
                  </w:r>
                </w:p>
              </w:tc>
              <w:tc>
                <w:tcPr>
                  <w:tcW w:w="1569" w:type="pct"/>
                  <w:vAlign w:val="center"/>
                </w:tcPr>
                <w:p w14:paraId="2322F949">
                  <w:pPr>
                    <w:pStyle w:val="85"/>
                    <w:jc w:val="both"/>
                  </w:pPr>
                  <w:r>
                    <w:rPr>
                      <w:rFonts w:hint="eastAsia"/>
                    </w:rPr>
                    <w:t>拟建项目废水经预处理后接管皖江江南新兴产业集中区第一污水处理厂，不在长江等地表水体上设排污口</w:t>
                  </w:r>
                </w:p>
              </w:tc>
              <w:tc>
                <w:tcPr>
                  <w:tcW w:w="402" w:type="pct"/>
                  <w:vAlign w:val="center"/>
                </w:tcPr>
                <w:p w14:paraId="7D176174">
                  <w:pPr>
                    <w:pStyle w:val="85"/>
                  </w:pPr>
                  <w:r>
                    <w:t>符合</w:t>
                  </w:r>
                </w:p>
              </w:tc>
            </w:tr>
            <w:tr w14:paraId="42894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326" w:type="pct"/>
                  <w:vAlign w:val="center"/>
                </w:tcPr>
                <w:p w14:paraId="20837F77">
                  <w:pPr>
                    <w:pStyle w:val="85"/>
                  </w:pPr>
                  <w:r>
                    <w:t>6</w:t>
                  </w:r>
                </w:p>
              </w:tc>
              <w:tc>
                <w:tcPr>
                  <w:tcW w:w="2701" w:type="pct"/>
                  <w:vAlign w:val="center"/>
                </w:tcPr>
                <w:p w14:paraId="45673735">
                  <w:pPr>
                    <w:pStyle w:val="85"/>
                    <w:jc w:val="both"/>
                  </w:pPr>
                  <w:r>
                    <w:rPr>
                      <w:rFonts w:hint="eastAsia"/>
                    </w:rPr>
                    <w:t>禁止在长江干支流、重要湖泊岸线一公里范围内新建、扩建化工园区和化工项目。禁止在长江干流岸线三公里范围内和重要支流岸线一公里范围内新建、改建、扩建尾矿库、冶炼渣库和磷石膏库，以提升安全、生态环境保护水平为目的的改建除外。</w:t>
                  </w:r>
                </w:p>
              </w:tc>
              <w:tc>
                <w:tcPr>
                  <w:tcW w:w="1569" w:type="pct"/>
                  <w:vAlign w:val="center"/>
                </w:tcPr>
                <w:p w14:paraId="28C9D486">
                  <w:pPr>
                    <w:pStyle w:val="85"/>
                    <w:jc w:val="both"/>
                  </w:pPr>
                  <w:r>
                    <w:rPr>
                      <w:rFonts w:hint="eastAsia"/>
                    </w:rPr>
                    <w:t>拟建项目不在长江干流和</w:t>
                  </w:r>
                  <w:r>
                    <w:rPr>
                      <w:rFonts w:hint="eastAsia"/>
                      <w:highlight w:val="none"/>
                    </w:rPr>
                    <w:t>支流岸线</w:t>
                  </w:r>
                  <w:r>
                    <w:rPr>
                      <w:rFonts w:hint="eastAsia"/>
                      <w:highlight w:val="none"/>
                      <w:lang w:eastAsia="zh-CN"/>
                    </w:rPr>
                    <w:t>（</w:t>
                  </w:r>
                  <w:r>
                    <w:rPr>
                      <w:rFonts w:hint="eastAsia"/>
                      <w:highlight w:val="none"/>
                      <w:lang w:val="en-US" w:eastAsia="zh-CN"/>
                    </w:rPr>
                    <w:t>九华河</w:t>
                  </w:r>
                  <w:r>
                    <w:rPr>
                      <w:rFonts w:hint="eastAsia"/>
                      <w:highlight w:val="none"/>
                      <w:lang w:eastAsia="zh-CN"/>
                    </w:rPr>
                    <w:t>）</w:t>
                  </w:r>
                  <w:r>
                    <w:rPr>
                      <w:rFonts w:hint="eastAsia"/>
                      <w:highlight w:val="none"/>
                    </w:rPr>
                    <w:t>1</w:t>
                  </w:r>
                  <w:r>
                    <w:rPr>
                      <w:highlight w:val="none"/>
                    </w:rPr>
                    <w:t>km</w:t>
                  </w:r>
                  <w:r>
                    <w:rPr>
                      <w:rFonts w:hint="eastAsia"/>
                      <w:highlight w:val="none"/>
                    </w:rPr>
                    <w:t>范围内</w:t>
                  </w:r>
                  <w:r>
                    <w:rPr>
                      <w:rFonts w:hint="eastAsia"/>
                      <w:highlight w:val="none"/>
                      <w:lang w:eastAsia="zh-CN"/>
                    </w:rPr>
                    <w:t>（</w:t>
                  </w:r>
                  <w:r>
                    <w:rPr>
                      <w:rFonts w:hint="eastAsia"/>
                      <w:highlight w:val="none"/>
                      <w:lang w:val="en-US" w:eastAsia="zh-CN"/>
                    </w:rPr>
                    <w:t>附图11</w:t>
                  </w:r>
                  <w:r>
                    <w:rPr>
                      <w:rFonts w:hint="eastAsia"/>
                      <w:highlight w:val="none"/>
                      <w:lang w:eastAsia="zh-CN"/>
                    </w:rPr>
                    <w:t>）</w:t>
                  </w:r>
                  <w:r>
                    <w:rPr>
                      <w:rFonts w:hint="eastAsia"/>
                      <w:highlight w:val="none"/>
                    </w:rPr>
                    <w:t>，</w:t>
                  </w:r>
                  <w:r>
                    <w:rPr>
                      <w:rFonts w:hint="eastAsia"/>
                    </w:rPr>
                    <w:t>且不属于化工、尾矿库、冶炼渣库和磷石膏库等项目</w:t>
                  </w:r>
                </w:p>
              </w:tc>
              <w:tc>
                <w:tcPr>
                  <w:tcW w:w="402" w:type="pct"/>
                  <w:vAlign w:val="center"/>
                </w:tcPr>
                <w:p w14:paraId="513C1CC9">
                  <w:pPr>
                    <w:pStyle w:val="85"/>
                  </w:pPr>
                  <w:r>
                    <w:t>符合</w:t>
                  </w:r>
                </w:p>
              </w:tc>
            </w:tr>
            <w:tr w14:paraId="3D1E6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326" w:type="pct"/>
                  <w:vAlign w:val="center"/>
                </w:tcPr>
                <w:p w14:paraId="5EDDC4E0">
                  <w:pPr>
                    <w:pStyle w:val="85"/>
                  </w:pPr>
                  <w:r>
                    <w:rPr>
                      <w:rFonts w:hint="eastAsia"/>
                    </w:rPr>
                    <w:t>7</w:t>
                  </w:r>
                </w:p>
              </w:tc>
              <w:tc>
                <w:tcPr>
                  <w:tcW w:w="2701" w:type="pct"/>
                  <w:vAlign w:val="center"/>
                </w:tcPr>
                <w:p w14:paraId="47F088E2">
                  <w:pPr>
                    <w:pStyle w:val="85"/>
                    <w:jc w:val="both"/>
                  </w:pPr>
                  <w:r>
                    <w:rPr>
                      <w:rFonts w:hint="eastAsia"/>
                    </w:rPr>
                    <w:t>禁止在合规园区外新建、扩建钢铁、石化、化工、焦化、建材、有色、制浆造纸等高污染项目</w:t>
                  </w:r>
                </w:p>
              </w:tc>
              <w:tc>
                <w:tcPr>
                  <w:tcW w:w="1569" w:type="pct"/>
                  <w:vAlign w:val="center"/>
                </w:tcPr>
                <w:p w14:paraId="1544A5F7">
                  <w:pPr>
                    <w:pStyle w:val="85"/>
                    <w:jc w:val="both"/>
                  </w:pPr>
                  <w:r>
                    <w:rPr>
                      <w:rFonts w:hint="eastAsia"/>
                    </w:rPr>
                    <w:t>拟建项目合规园区，且不属于左侧类别项目</w:t>
                  </w:r>
                </w:p>
              </w:tc>
              <w:tc>
                <w:tcPr>
                  <w:tcW w:w="402" w:type="pct"/>
                  <w:vAlign w:val="center"/>
                </w:tcPr>
                <w:p w14:paraId="6D0F8A23">
                  <w:pPr>
                    <w:pStyle w:val="85"/>
                  </w:pPr>
                  <w:r>
                    <w:t>符合</w:t>
                  </w:r>
                </w:p>
              </w:tc>
            </w:tr>
            <w:tr w14:paraId="488CA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326" w:type="pct"/>
                  <w:vAlign w:val="center"/>
                </w:tcPr>
                <w:p w14:paraId="787DE563">
                  <w:pPr>
                    <w:pStyle w:val="85"/>
                  </w:pPr>
                  <w:r>
                    <w:rPr>
                      <w:rFonts w:hint="eastAsia"/>
                    </w:rPr>
                    <w:t>8</w:t>
                  </w:r>
                </w:p>
              </w:tc>
              <w:tc>
                <w:tcPr>
                  <w:tcW w:w="2701" w:type="pct"/>
                  <w:vAlign w:val="center"/>
                </w:tcPr>
                <w:p w14:paraId="62145ACA">
                  <w:pPr>
                    <w:pStyle w:val="85"/>
                    <w:jc w:val="both"/>
                  </w:pPr>
                  <w:r>
                    <w:rPr>
                      <w:rFonts w:hint="eastAsia"/>
                    </w:rPr>
                    <w:t>禁止新建、扩建法律法规和相关政策明令禁止的落后产能项目。禁止新建、扩建不符合国家产能置换要求的严重过剩产能行业的项目。禁止新建、扩建不符合要求的高耗能高排放项目</w:t>
                  </w:r>
                </w:p>
              </w:tc>
              <w:tc>
                <w:tcPr>
                  <w:tcW w:w="1569" w:type="pct"/>
                  <w:vAlign w:val="center"/>
                </w:tcPr>
                <w:p w14:paraId="4D6FDE38">
                  <w:pPr>
                    <w:pStyle w:val="85"/>
                    <w:jc w:val="both"/>
                  </w:pPr>
                  <w:r>
                    <w:rPr>
                      <w:rFonts w:hint="eastAsia"/>
                    </w:rPr>
                    <w:t>根据前文产业政策内容分析，拟建项目不属于落后产能项目和严重过剩产能行业项目</w:t>
                  </w:r>
                </w:p>
              </w:tc>
              <w:tc>
                <w:tcPr>
                  <w:tcW w:w="402" w:type="pct"/>
                  <w:vAlign w:val="center"/>
                </w:tcPr>
                <w:p w14:paraId="240AB850">
                  <w:pPr>
                    <w:pStyle w:val="85"/>
                  </w:pPr>
                  <w:r>
                    <w:t>符合</w:t>
                  </w:r>
                </w:p>
              </w:tc>
            </w:tr>
          </w:tbl>
          <w:p w14:paraId="6771B9D4">
            <w:pPr>
              <w:pStyle w:val="51"/>
              <w:spacing w:before="120" w:beforeLines="50"/>
              <w:rPr>
                <w:rFonts w:hint="eastAsia"/>
                <w:color w:val="auto"/>
              </w:rPr>
            </w:pPr>
            <w:r>
              <w:rPr>
                <w:rFonts w:hint="eastAsia"/>
              </w:rPr>
              <w:t>综上，拟建项目符合《长江经济带发展负面清单指南（试行，2022版）》要求。</w:t>
            </w:r>
          </w:p>
          <w:p w14:paraId="41B3945E">
            <w:pPr>
              <w:pStyle w:val="51"/>
              <w:ind w:firstLine="482"/>
              <w:rPr>
                <w:b/>
                <w:bCs/>
                <w:color w:val="auto"/>
              </w:rPr>
            </w:pPr>
            <w:r>
              <w:rPr>
                <w:rFonts w:hint="eastAsia"/>
                <w:b/>
                <w:bCs/>
                <w:color w:val="auto"/>
                <w:lang w:val="en-US" w:eastAsia="zh-CN"/>
              </w:rPr>
              <w:t>9</w:t>
            </w:r>
            <w:r>
              <w:rPr>
                <w:rFonts w:hint="eastAsia"/>
                <w:b/>
                <w:bCs/>
                <w:color w:val="auto"/>
              </w:rPr>
              <w:t>、与《中共安徽省委、安徽省人民政府关于印发深入打好污染防治攻坚战行动方案的通知》（皖发〔2022〕13号）符合性分析</w:t>
            </w:r>
          </w:p>
          <w:p w14:paraId="214FBA95">
            <w:pPr>
              <w:pStyle w:val="52"/>
              <w:rPr>
                <w:color w:val="auto"/>
              </w:rPr>
            </w:pPr>
            <w:r>
              <w:rPr>
                <w:rFonts w:hint="eastAsia"/>
                <w:color w:val="auto"/>
              </w:rPr>
              <w:t>表1</w:t>
            </w:r>
            <w:r>
              <w:rPr>
                <w:color w:val="auto"/>
              </w:rPr>
              <w:t>-</w:t>
            </w:r>
            <w:r>
              <w:rPr>
                <w:rFonts w:hint="eastAsia"/>
                <w:color w:val="auto"/>
                <w:lang w:val="en-US" w:eastAsia="zh-CN"/>
              </w:rPr>
              <w:t>9</w:t>
            </w:r>
            <w:r>
              <w:rPr>
                <w:color w:val="auto"/>
              </w:rPr>
              <w:t xml:space="preserve">  </w:t>
            </w:r>
            <w:r>
              <w:rPr>
                <w:rFonts w:hint="eastAsia"/>
                <w:color w:val="auto"/>
              </w:rPr>
              <w:t>项目与《中共安徽省委、安徽省人民政府关于印发深入打好污染防治攻坚战行动方案的通知》的符合性分析</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9"/>
              <w:gridCol w:w="1961"/>
              <w:gridCol w:w="912"/>
            </w:tblGrid>
            <w:tr w14:paraId="613B1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159" w:type="pct"/>
                  <w:vAlign w:val="center"/>
                </w:tcPr>
                <w:p w14:paraId="0AB5B734">
                  <w:pPr>
                    <w:pStyle w:val="51"/>
                    <w:spacing w:line="240" w:lineRule="auto"/>
                    <w:ind w:firstLine="0" w:firstLineChars="0"/>
                    <w:jc w:val="center"/>
                    <w:rPr>
                      <w:b/>
                      <w:bCs/>
                      <w:color w:val="auto"/>
                      <w:sz w:val="21"/>
                      <w:szCs w:val="21"/>
                    </w:rPr>
                  </w:pPr>
                  <w:r>
                    <w:rPr>
                      <w:rFonts w:hint="eastAsia"/>
                      <w:b/>
                      <w:bCs/>
                      <w:color w:val="auto"/>
                      <w:sz w:val="21"/>
                      <w:szCs w:val="21"/>
                    </w:rPr>
                    <w:t>相关要求</w:t>
                  </w:r>
                </w:p>
              </w:tc>
              <w:tc>
                <w:tcPr>
                  <w:tcW w:w="1256" w:type="pct"/>
                  <w:vAlign w:val="center"/>
                </w:tcPr>
                <w:p w14:paraId="78420DE5">
                  <w:pPr>
                    <w:pStyle w:val="51"/>
                    <w:spacing w:line="240" w:lineRule="auto"/>
                    <w:ind w:firstLine="0" w:firstLineChars="0"/>
                    <w:jc w:val="center"/>
                    <w:rPr>
                      <w:b/>
                      <w:bCs/>
                      <w:color w:val="auto"/>
                      <w:sz w:val="21"/>
                      <w:szCs w:val="21"/>
                    </w:rPr>
                  </w:pPr>
                  <w:r>
                    <w:rPr>
                      <w:rFonts w:hint="eastAsia"/>
                      <w:b/>
                      <w:bCs/>
                      <w:color w:val="auto"/>
                      <w:sz w:val="21"/>
                      <w:szCs w:val="21"/>
                    </w:rPr>
                    <w:t>本项目</w:t>
                  </w:r>
                </w:p>
              </w:tc>
              <w:tc>
                <w:tcPr>
                  <w:tcW w:w="584" w:type="pct"/>
                  <w:vAlign w:val="center"/>
                </w:tcPr>
                <w:p w14:paraId="191BF963">
                  <w:pPr>
                    <w:pStyle w:val="51"/>
                    <w:spacing w:line="240" w:lineRule="auto"/>
                    <w:ind w:firstLine="0" w:firstLineChars="0"/>
                    <w:jc w:val="center"/>
                    <w:rPr>
                      <w:b/>
                      <w:bCs/>
                      <w:color w:val="auto"/>
                      <w:sz w:val="21"/>
                      <w:szCs w:val="21"/>
                    </w:rPr>
                  </w:pPr>
                  <w:r>
                    <w:rPr>
                      <w:rFonts w:hint="eastAsia"/>
                      <w:b/>
                      <w:bCs/>
                      <w:color w:val="auto"/>
                      <w:sz w:val="21"/>
                      <w:szCs w:val="21"/>
                    </w:rPr>
                    <w:t>符合性</w:t>
                  </w:r>
                </w:p>
              </w:tc>
            </w:tr>
            <w:tr w14:paraId="2714B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159" w:type="pct"/>
                  <w:vAlign w:val="center"/>
                </w:tcPr>
                <w:p w14:paraId="327061FF">
                  <w:pPr>
                    <w:pStyle w:val="51"/>
                    <w:spacing w:line="240" w:lineRule="auto"/>
                    <w:ind w:firstLine="0" w:firstLineChars="0"/>
                    <w:jc w:val="center"/>
                    <w:rPr>
                      <w:color w:val="auto"/>
                      <w:sz w:val="21"/>
                      <w:szCs w:val="21"/>
                    </w:rPr>
                  </w:pPr>
                  <w:r>
                    <w:rPr>
                      <w:rFonts w:hint="eastAsia"/>
                      <w:color w:val="auto"/>
                      <w:sz w:val="21"/>
                      <w:szCs w:val="21"/>
                    </w:rPr>
                    <w:t>坚决遏制高耗能高排放项目盲目发展。严把高耗能高排放项目准入关口，严格落实污染物排放区域削减要求，对不符合规定的项目坚决停批停建。严格执行国家产业政策，提高“亩均效益”，依法依规淘汰落后产能和化解过剩产能。</w:t>
                  </w:r>
                </w:p>
              </w:tc>
              <w:tc>
                <w:tcPr>
                  <w:tcW w:w="1256" w:type="pct"/>
                  <w:vAlign w:val="center"/>
                </w:tcPr>
                <w:p w14:paraId="7EE87564">
                  <w:pPr>
                    <w:pStyle w:val="51"/>
                    <w:spacing w:line="240" w:lineRule="auto"/>
                    <w:ind w:firstLine="0" w:firstLineChars="0"/>
                    <w:rPr>
                      <w:color w:val="auto"/>
                      <w:sz w:val="21"/>
                      <w:szCs w:val="21"/>
                    </w:rPr>
                  </w:pPr>
                  <w:r>
                    <w:rPr>
                      <w:rFonts w:hint="eastAsia"/>
                      <w:color w:val="auto"/>
                      <w:sz w:val="21"/>
                      <w:szCs w:val="21"/>
                    </w:rPr>
                    <w:t>根据《安徽省节能减排及应对气候变化工作领导小组关于印发安徽省“两高”项目管理目录（试行）的通知》（皖节能〔2022〕2号）文，本项目不属于“两高”项目。</w:t>
                  </w:r>
                </w:p>
              </w:tc>
              <w:tc>
                <w:tcPr>
                  <w:tcW w:w="584" w:type="pct"/>
                  <w:vAlign w:val="center"/>
                </w:tcPr>
                <w:p w14:paraId="36EC6CBF">
                  <w:pPr>
                    <w:pStyle w:val="51"/>
                    <w:spacing w:line="240" w:lineRule="auto"/>
                    <w:ind w:firstLine="0" w:firstLineChars="0"/>
                    <w:jc w:val="center"/>
                    <w:rPr>
                      <w:color w:val="auto"/>
                      <w:sz w:val="21"/>
                      <w:szCs w:val="21"/>
                    </w:rPr>
                  </w:pPr>
                  <w:r>
                    <w:rPr>
                      <w:rFonts w:hint="eastAsia"/>
                      <w:color w:val="auto"/>
                      <w:sz w:val="21"/>
                      <w:szCs w:val="21"/>
                    </w:rPr>
                    <w:t>符合</w:t>
                  </w:r>
                </w:p>
              </w:tc>
            </w:tr>
            <w:tr w14:paraId="6A125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4" w:hRule="atLeast"/>
                <w:jc w:val="center"/>
              </w:trPr>
              <w:tc>
                <w:tcPr>
                  <w:tcW w:w="3159" w:type="pct"/>
                  <w:vAlign w:val="center"/>
                </w:tcPr>
                <w:p w14:paraId="610EBD04">
                  <w:pPr>
                    <w:pStyle w:val="51"/>
                    <w:spacing w:line="240" w:lineRule="auto"/>
                    <w:ind w:firstLine="0" w:firstLineChars="0"/>
                    <w:jc w:val="center"/>
                    <w:rPr>
                      <w:color w:val="auto"/>
                      <w:sz w:val="21"/>
                      <w:szCs w:val="21"/>
                    </w:rPr>
                  </w:pPr>
                  <w:r>
                    <w:rPr>
                      <w:rFonts w:hint="eastAsia"/>
                      <w:color w:val="auto"/>
                      <w:sz w:val="21"/>
                      <w:szCs w:val="21"/>
                    </w:rPr>
                    <w:t>加强生态环境分区管控。衔接国土空间规划分区和用途管制要求，建立差别化的生态环境准入清单。加强“三线一单”成果在政策制定、环境准入、园区管理、执法监管等方面的应用。健全以环评制度为主体的源头预防体系，严格规划环评审查和项目环评准入管理。</w:t>
                  </w:r>
                </w:p>
              </w:tc>
              <w:tc>
                <w:tcPr>
                  <w:tcW w:w="1256" w:type="pct"/>
                  <w:vAlign w:val="center"/>
                </w:tcPr>
                <w:p w14:paraId="0D762BBB">
                  <w:pPr>
                    <w:pStyle w:val="51"/>
                    <w:spacing w:line="240" w:lineRule="auto"/>
                    <w:ind w:firstLine="0" w:firstLineChars="0"/>
                    <w:jc w:val="center"/>
                    <w:rPr>
                      <w:color w:val="auto"/>
                      <w:sz w:val="21"/>
                      <w:szCs w:val="21"/>
                    </w:rPr>
                  </w:pPr>
                  <w:r>
                    <w:rPr>
                      <w:rFonts w:hint="eastAsia"/>
                      <w:color w:val="auto"/>
                      <w:sz w:val="21"/>
                      <w:szCs w:val="21"/>
                    </w:rPr>
                    <w:t>根据前文分析，本项目建设符合“三线一单”的要求。</w:t>
                  </w:r>
                </w:p>
              </w:tc>
              <w:tc>
                <w:tcPr>
                  <w:tcW w:w="584" w:type="pct"/>
                  <w:vAlign w:val="center"/>
                </w:tcPr>
                <w:p w14:paraId="09786048">
                  <w:pPr>
                    <w:pStyle w:val="51"/>
                    <w:spacing w:line="240" w:lineRule="auto"/>
                    <w:ind w:firstLine="0" w:firstLineChars="0"/>
                    <w:jc w:val="center"/>
                    <w:rPr>
                      <w:color w:val="auto"/>
                      <w:sz w:val="21"/>
                      <w:szCs w:val="21"/>
                    </w:rPr>
                  </w:pPr>
                  <w:r>
                    <w:rPr>
                      <w:rFonts w:hint="eastAsia"/>
                      <w:color w:val="auto"/>
                      <w:sz w:val="21"/>
                      <w:szCs w:val="21"/>
                    </w:rPr>
                    <w:t>符合</w:t>
                  </w:r>
                </w:p>
              </w:tc>
            </w:tr>
          </w:tbl>
          <w:p w14:paraId="5CCFEAD5">
            <w:pPr>
              <w:pStyle w:val="51"/>
              <w:spacing w:before="120" w:beforeLines="50"/>
              <w:rPr>
                <w:color w:val="auto"/>
              </w:rPr>
            </w:pPr>
            <w:r>
              <w:rPr>
                <w:rFonts w:hint="eastAsia"/>
                <w:color w:val="auto"/>
              </w:rPr>
              <w:t>综上，本项目的建设满足《中共安徽省委、安徽省人民政府关于印发深入打好污染防治攻坚战行动方案的通知》（皖发〔2022〕13号）要求。</w:t>
            </w:r>
          </w:p>
          <w:p w14:paraId="2F70E2F1">
            <w:pPr>
              <w:pStyle w:val="4"/>
              <w:spacing w:before="0" w:after="0" w:line="360" w:lineRule="auto"/>
              <w:ind w:firstLine="482" w:firstLineChars="200"/>
              <w:rPr>
                <w:color w:val="auto"/>
                <w:kern w:val="0"/>
                <w:sz w:val="24"/>
              </w:rPr>
            </w:pPr>
            <w:r>
              <w:rPr>
                <w:rFonts w:hint="eastAsia"/>
                <w:color w:val="auto"/>
                <w:sz w:val="24"/>
                <w:szCs w:val="22"/>
                <w:lang w:val="en-US" w:eastAsia="zh-CN"/>
              </w:rPr>
              <w:t>10</w:t>
            </w:r>
            <w:r>
              <w:rPr>
                <w:rFonts w:hint="eastAsia"/>
                <w:color w:val="auto"/>
                <w:sz w:val="24"/>
                <w:szCs w:val="22"/>
              </w:rPr>
              <w:t>、与《挥发性有机物无组织排放控制标准》(GB37822—2019）符合性分析</w:t>
            </w:r>
          </w:p>
          <w:p w14:paraId="18BF112B">
            <w:pPr>
              <w:widowControl/>
              <w:spacing w:line="360" w:lineRule="auto"/>
              <w:jc w:val="center"/>
              <w:rPr>
                <w:rFonts w:eastAsia="黑体"/>
                <w:color w:val="auto"/>
                <w:sz w:val="24"/>
              </w:rPr>
            </w:pPr>
            <w:r>
              <w:rPr>
                <w:b/>
                <w:bCs/>
                <w:color w:val="auto"/>
                <w:szCs w:val="21"/>
              </w:rPr>
              <w:t>表1-</w:t>
            </w:r>
            <w:r>
              <w:rPr>
                <w:rFonts w:hint="eastAsia"/>
                <w:b/>
                <w:bCs/>
                <w:color w:val="auto"/>
                <w:szCs w:val="21"/>
                <w:lang w:val="en-US" w:eastAsia="zh-CN"/>
              </w:rPr>
              <w:t>10</w:t>
            </w:r>
            <w:r>
              <w:rPr>
                <w:b/>
                <w:bCs/>
                <w:color w:val="auto"/>
                <w:szCs w:val="21"/>
              </w:rPr>
              <w:t xml:space="preserve"> 项目与</w:t>
            </w:r>
            <w:r>
              <w:rPr>
                <w:rFonts w:hint="eastAsia"/>
                <w:b/>
                <w:bCs/>
                <w:color w:val="auto"/>
                <w:szCs w:val="21"/>
              </w:rPr>
              <w:t>GB37822-2019</w:t>
            </w:r>
            <w:r>
              <w:rPr>
                <w:b/>
                <w:bCs/>
                <w:color w:val="auto"/>
                <w:szCs w:val="21"/>
              </w:rPr>
              <w:t>文件的符合性分析</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4519"/>
              <w:gridCol w:w="2421"/>
              <w:gridCol w:w="857"/>
            </w:tblGrid>
            <w:tr w14:paraId="5EF3F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2898" w:type="pct"/>
                  <w:vAlign w:val="center"/>
                </w:tcPr>
                <w:p w14:paraId="75025B63">
                  <w:pPr>
                    <w:spacing w:line="260" w:lineRule="exact"/>
                    <w:jc w:val="center"/>
                    <w:rPr>
                      <w:b/>
                      <w:bCs/>
                      <w:color w:val="auto"/>
                      <w:szCs w:val="21"/>
                    </w:rPr>
                  </w:pPr>
                  <w:r>
                    <w:rPr>
                      <w:rFonts w:hint="eastAsia"/>
                      <w:b/>
                      <w:bCs/>
                      <w:color w:val="auto"/>
                      <w:szCs w:val="21"/>
                    </w:rPr>
                    <w:t>相关</w:t>
                  </w:r>
                  <w:r>
                    <w:rPr>
                      <w:b/>
                      <w:bCs/>
                      <w:color w:val="auto"/>
                      <w:szCs w:val="21"/>
                    </w:rPr>
                    <w:t>要求</w:t>
                  </w:r>
                </w:p>
              </w:tc>
              <w:tc>
                <w:tcPr>
                  <w:tcW w:w="1552" w:type="pct"/>
                  <w:vAlign w:val="center"/>
                </w:tcPr>
                <w:p w14:paraId="7678CAB7">
                  <w:pPr>
                    <w:jc w:val="center"/>
                    <w:rPr>
                      <w:b/>
                      <w:bCs/>
                      <w:color w:val="auto"/>
                      <w:szCs w:val="21"/>
                    </w:rPr>
                  </w:pPr>
                  <w:r>
                    <w:rPr>
                      <w:b/>
                      <w:bCs/>
                      <w:color w:val="auto"/>
                      <w:szCs w:val="21"/>
                    </w:rPr>
                    <w:t>本项目</w:t>
                  </w:r>
                  <w:r>
                    <w:rPr>
                      <w:rFonts w:hint="eastAsia"/>
                      <w:b/>
                      <w:bCs/>
                      <w:color w:val="auto"/>
                      <w:szCs w:val="21"/>
                    </w:rPr>
                    <w:t>情况</w:t>
                  </w:r>
                </w:p>
              </w:tc>
              <w:tc>
                <w:tcPr>
                  <w:tcW w:w="549" w:type="pct"/>
                  <w:vAlign w:val="center"/>
                </w:tcPr>
                <w:p w14:paraId="1305C219">
                  <w:pPr>
                    <w:jc w:val="center"/>
                    <w:rPr>
                      <w:b/>
                      <w:bCs/>
                      <w:color w:val="auto"/>
                      <w:szCs w:val="21"/>
                    </w:rPr>
                  </w:pPr>
                  <w:r>
                    <w:rPr>
                      <w:b/>
                      <w:bCs/>
                      <w:color w:val="auto"/>
                      <w:szCs w:val="21"/>
                    </w:rPr>
                    <w:t>相符性</w:t>
                  </w:r>
                </w:p>
              </w:tc>
            </w:tr>
            <w:tr w14:paraId="2AFBC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2898" w:type="pct"/>
                  <w:vAlign w:val="center"/>
                </w:tcPr>
                <w:p w14:paraId="50596984">
                  <w:pPr>
                    <w:spacing w:line="260" w:lineRule="exact"/>
                    <w:jc w:val="center"/>
                    <w:rPr>
                      <w:color w:val="auto"/>
                      <w:szCs w:val="21"/>
                    </w:rPr>
                  </w:pPr>
                  <w:r>
                    <w:rPr>
                      <w:rFonts w:hint="eastAsia"/>
                      <w:color w:val="auto"/>
                      <w:szCs w:val="21"/>
                    </w:rPr>
                    <w:t>VOCs 物料应储存于密闭的容器、包装袋、储罐、储库、料仓中；盛装VOCs物料的容器或包装袋应存放于室内，或存放于设置有雨棚、遮阳和防渗设施的专用场地。非取用状态时应加盖、封口，保持密闭。</w:t>
                  </w:r>
                </w:p>
              </w:tc>
              <w:tc>
                <w:tcPr>
                  <w:tcW w:w="1552" w:type="pct"/>
                  <w:vAlign w:val="center"/>
                </w:tcPr>
                <w:p w14:paraId="1131C4D9">
                  <w:pPr>
                    <w:spacing w:line="260" w:lineRule="exact"/>
                    <w:jc w:val="center"/>
                    <w:rPr>
                      <w:b/>
                      <w:bCs/>
                      <w:color w:val="auto"/>
                      <w:szCs w:val="21"/>
                    </w:rPr>
                  </w:pPr>
                  <w:r>
                    <w:rPr>
                      <w:rFonts w:hint="eastAsia"/>
                      <w:color w:val="auto"/>
                      <w:szCs w:val="21"/>
                    </w:rPr>
                    <w:t>本项目无铅锡膏、</w:t>
                  </w:r>
                  <w:r>
                    <w:rPr>
                      <w:rFonts w:hint="eastAsia"/>
                      <w:color w:val="auto"/>
                      <w:szCs w:val="21"/>
                      <w:lang w:val="en-US" w:eastAsia="zh-CN"/>
                    </w:rPr>
                    <w:t>酒精、硅胶</w:t>
                  </w:r>
                  <w:r>
                    <w:rPr>
                      <w:rFonts w:hint="eastAsia"/>
                      <w:color w:val="auto"/>
                      <w:szCs w:val="21"/>
                    </w:rPr>
                    <w:t>等VOCs物料采用密闭罐装或桶装，非取用状态下保持密闭</w:t>
                  </w:r>
                </w:p>
              </w:tc>
              <w:tc>
                <w:tcPr>
                  <w:tcW w:w="549" w:type="pct"/>
                  <w:vAlign w:val="center"/>
                </w:tcPr>
                <w:p w14:paraId="3D596EC8">
                  <w:pPr>
                    <w:spacing w:line="260" w:lineRule="exact"/>
                    <w:jc w:val="center"/>
                    <w:rPr>
                      <w:color w:val="auto"/>
                      <w:szCs w:val="21"/>
                    </w:rPr>
                  </w:pPr>
                  <w:r>
                    <w:rPr>
                      <w:color w:val="auto"/>
                      <w:szCs w:val="21"/>
                    </w:rPr>
                    <w:t>符合</w:t>
                  </w:r>
                </w:p>
              </w:tc>
            </w:tr>
            <w:tr w14:paraId="568FD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2898" w:type="pct"/>
                  <w:vAlign w:val="center"/>
                </w:tcPr>
                <w:p w14:paraId="1705904C">
                  <w:pPr>
                    <w:spacing w:line="260" w:lineRule="exact"/>
                    <w:jc w:val="center"/>
                    <w:rPr>
                      <w:color w:val="auto"/>
                      <w:szCs w:val="21"/>
                    </w:rPr>
                  </w:pPr>
                  <w:r>
                    <w:rPr>
                      <w:rFonts w:hint="eastAsia"/>
                      <w:color w:val="auto"/>
                      <w:szCs w:val="21"/>
                    </w:rPr>
                    <w:t>液态VOCs物料应采用密闭管道输送。采用非管道输送方式转移液态VOCs物料时，应采用密闭容器、罐车。</w:t>
                  </w:r>
                </w:p>
              </w:tc>
              <w:tc>
                <w:tcPr>
                  <w:tcW w:w="1552" w:type="pct"/>
                  <w:vAlign w:val="center"/>
                </w:tcPr>
                <w:p w14:paraId="4B7D67D6">
                  <w:pPr>
                    <w:spacing w:line="260" w:lineRule="exact"/>
                    <w:jc w:val="center"/>
                    <w:rPr>
                      <w:color w:val="auto"/>
                      <w:szCs w:val="21"/>
                    </w:rPr>
                  </w:pPr>
                  <w:r>
                    <w:rPr>
                      <w:rFonts w:hint="eastAsia"/>
                      <w:color w:val="auto"/>
                      <w:szCs w:val="21"/>
                    </w:rPr>
                    <w:t>无铅锡膏、</w:t>
                  </w:r>
                  <w:r>
                    <w:rPr>
                      <w:rFonts w:hint="eastAsia"/>
                      <w:color w:val="auto"/>
                      <w:szCs w:val="21"/>
                      <w:lang w:val="en-US" w:eastAsia="zh-CN"/>
                    </w:rPr>
                    <w:t>酒精、硅胶</w:t>
                  </w:r>
                  <w:r>
                    <w:rPr>
                      <w:rFonts w:hint="eastAsia"/>
                      <w:color w:val="auto"/>
                      <w:szCs w:val="21"/>
                    </w:rPr>
                    <w:t>原料采用密闭罐装或桶装贮存，转运过程中保持密闭</w:t>
                  </w:r>
                </w:p>
              </w:tc>
              <w:tc>
                <w:tcPr>
                  <w:tcW w:w="549" w:type="pct"/>
                  <w:vAlign w:val="center"/>
                </w:tcPr>
                <w:p w14:paraId="2505475F">
                  <w:pPr>
                    <w:spacing w:line="260" w:lineRule="exact"/>
                    <w:jc w:val="center"/>
                    <w:rPr>
                      <w:color w:val="auto"/>
                      <w:szCs w:val="21"/>
                    </w:rPr>
                  </w:pPr>
                  <w:r>
                    <w:rPr>
                      <w:rFonts w:hint="eastAsia"/>
                      <w:color w:val="auto"/>
                      <w:szCs w:val="21"/>
                    </w:rPr>
                    <w:t>符合</w:t>
                  </w:r>
                </w:p>
              </w:tc>
            </w:tr>
            <w:tr w14:paraId="54117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2898" w:type="pct"/>
                  <w:vAlign w:val="center"/>
                </w:tcPr>
                <w:p w14:paraId="6846910E">
                  <w:pPr>
                    <w:spacing w:line="260" w:lineRule="exact"/>
                    <w:jc w:val="center"/>
                    <w:rPr>
                      <w:color w:val="auto"/>
                      <w:szCs w:val="21"/>
                    </w:rPr>
                  </w:pPr>
                  <w:r>
                    <w:rPr>
                      <w:rFonts w:hint="eastAsia"/>
                      <w:color w:val="auto"/>
                      <w:szCs w:val="21"/>
                    </w:rPr>
                    <w:t>液态VOCs物料应采用密闭管道输送或高位槽（罐）、桶泵等给料方式密闭投加，无法密闭的应在密闭室内操作，或进行局部气体收集，废气应排至VOCs废气收集处理系统。</w:t>
                  </w:r>
                </w:p>
              </w:tc>
              <w:tc>
                <w:tcPr>
                  <w:tcW w:w="1552" w:type="pct"/>
                  <w:vAlign w:val="center"/>
                </w:tcPr>
                <w:p w14:paraId="7637BB59">
                  <w:pPr>
                    <w:spacing w:line="260" w:lineRule="exact"/>
                    <w:jc w:val="center"/>
                    <w:rPr>
                      <w:color w:val="auto"/>
                      <w:szCs w:val="21"/>
                    </w:rPr>
                  </w:pPr>
                  <w:r>
                    <w:rPr>
                      <w:rFonts w:hint="eastAsia"/>
                      <w:color w:val="auto"/>
                      <w:szCs w:val="21"/>
                    </w:rPr>
                    <w:t>项目有机废气经密闭</w:t>
                  </w:r>
                  <w:r>
                    <w:rPr>
                      <w:rFonts w:hint="eastAsia"/>
                      <w:color w:val="auto"/>
                      <w:szCs w:val="21"/>
                      <w:lang w:val="en-US" w:eastAsia="zh-CN"/>
                    </w:rPr>
                    <w:t>管道和集气罩</w:t>
                  </w:r>
                  <w:r>
                    <w:rPr>
                      <w:rFonts w:hint="eastAsia"/>
                      <w:color w:val="auto"/>
                      <w:szCs w:val="21"/>
                    </w:rPr>
                    <w:t>收集后采用“过滤棉+二级活性炭吸附装置”处理后由2</w:t>
                  </w:r>
                  <w:r>
                    <w:rPr>
                      <w:rFonts w:hint="eastAsia"/>
                      <w:color w:val="auto"/>
                      <w:szCs w:val="21"/>
                      <w:lang w:val="en-US" w:eastAsia="zh-CN"/>
                    </w:rPr>
                    <w:t>5</w:t>
                  </w:r>
                  <w:r>
                    <w:rPr>
                      <w:rFonts w:hint="eastAsia"/>
                      <w:color w:val="auto"/>
                      <w:szCs w:val="21"/>
                    </w:rPr>
                    <w:t>m高排气筒DA001排放</w:t>
                  </w:r>
                </w:p>
              </w:tc>
              <w:tc>
                <w:tcPr>
                  <w:tcW w:w="549" w:type="pct"/>
                  <w:vAlign w:val="center"/>
                </w:tcPr>
                <w:p w14:paraId="531B296F">
                  <w:pPr>
                    <w:spacing w:line="260" w:lineRule="exact"/>
                    <w:jc w:val="center"/>
                    <w:rPr>
                      <w:color w:val="auto"/>
                      <w:szCs w:val="21"/>
                    </w:rPr>
                  </w:pPr>
                  <w:r>
                    <w:rPr>
                      <w:rFonts w:hint="eastAsia"/>
                      <w:color w:val="auto"/>
                      <w:szCs w:val="21"/>
                    </w:rPr>
                    <w:t>符合</w:t>
                  </w:r>
                </w:p>
              </w:tc>
            </w:tr>
          </w:tbl>
          <w:p w14:paraId="3DA62D71">
            <w:pPr>
              <w:pStyle w:val="51"/>
              <w:spacing w:before="120" w:beforeLines="50"/>
              <w:rPr>
                <w:bCs/>
                <w:color w:val="auto"/>
                <w:szCs w:val="22"/>
              </w:rPr>
            </w:pPr>
            <w:r>
              <w:rPr>
                <w:bCs/>
                <w:color w:val="auto"/>
                <w:szCs w:val="22"/>
              </w:rPr>
              <w:t>综上，</w:t>
            </w:r>
            <w:r>
              <w:rPr>
                <w:rFonts w:hint="eastAsia"/>
                <w:bCs/>
                <w:color w:val="auto"/>
                <w:szCs w:val="22"/>
              </w:rPr>
              <w:t>项目符合《挥发性有机物无组织排放控制标准》(GB37822—2019）要求。</w:t>
            </w:r>
          </w:p>
          <w:p w14:paraId="2B2A233D">
            <w:pPr>
              <w:pStyle w:val="4"/>
              <w:spacing w:before="0" w:after="0" w:line="360" w:lineRule="auto"/>
              <w:ind w:firstLine="482" w:firstLineChars="200"/>
              <w:rPr>
                <w:color w:val="auto"/>
                <w:kern w:val="0"/>
                <w:sz w:val="24"/>
              </w:rPr>
            </w:pPr>
            <w:r>
              <w:rPr>
                <w:rFonts w:hint="eastAsia"/>
                <w:color w:val="auto"/>
                <w:sz w:val="24"/>
                <w:szCs w:val="22"/>
              </w:rPr>
              <w:t>1</w:t>
            </w:r>
            <w:r>
              <w:rPr>
                <w:rFonts w:hint="eastAsia"/>
                <w:color w:val="auto"/>
                <w:sz w:val="24"/>
                <w:szCs w:val="22"/>
                <w:lang w:val="en-US" w:eastAsia="zh-CN"/>
              </w:rPr>
              <w:t>1</w:t>
            </w:r>
            <w:r>
              <w:rPr>
                <w:rFonts w:hint="eastAsia"/>
                <w:color w:val="auto"/>
                <w:sz w:val="24"/>
                <w:szCs w:val="22"/>
              </w:rPr>
              <w:t>、与《挥发性有机物（VOCs）污染防治技术政策》符合性分析</w:t>
            </w:r>
          </w:p>
          <w:p w14:paraId="0A96B72D">
            <w:pPr>
              <w:widowControl/>
              <w:spacing w:line="360" w:lineRule="auto"/>
              <w:jc w:val="center"/>
              <w:rPr>
                <w:rFonts w:eastAsia="黑体"/>
                <w:color w:val="auto"/>
                <w:sz w:val="24"/>
              </w:rPr>
            </w:pPr>
            <w:r>
              <w:rPr>
                <w:b/>
                <w:bCs/>
                <w:color w:val="auto"/>
                <w:szCs w:val="21"/>
              </w:rPr>
              <w:t>表1-</w:t>
            </w:r>
            <w:r>
              <w:rPr>
                <w:rFonts w:hint="eastAsia"/>
                <w:b/>
                <w:bCs/>
                <w:color w:val="auto"/>
                <w:szCs w:val="21"/>
              </w:rPr>
              <w:t>1</w:t>
            </w:r>
            <w:r>
              <w:rPr>
                <w:rFonts w:hint="eastAsia"/>
                <w:b/>
                <w:bCs/>
                <w:color w:val="auto"/>
                <w:szCs w:val="21"/>
                <w:lang w:val="en-US" w:eastAsia="zh-CN"/>
              </w:rPr>
              <w:t>1</w:t>
            </w:r>
            <w:r>
              <w:rPr>
                <w:b/>
                <w:bCs/>
                <w:color w:val="auto"/>
                <w:szCs w:val="21"/>
              </w:rPr>
              <w:t xml:space="preserve"> 项目与</w:t>
            </w:r>
            <w:r>
              <w:rPr>
                <w:rFonts w:hint="eastAsia"/>
                <w:b/>
                <w:bCs/>
                <w:color w:val="auto"/>
                <w:szCs w:val="21"/>
              </w:rPr>
              <w:t>《挥发性有机物（VOCs）污染防治技术政策》</w:t>
            </w:r>
            <w:r>
              <w:rPr>
                <w:b/>
                <w:bCs/>
                <w:color w:val="auto"/>
                <w:szCs w:val="21"/>
              </w:rPr>
              <w:t>的符合性分析</w:t>
            </w:r>
          </w:p>
          <w:tbl>
            <w:tblPr>
              <w:tblStyle w:val="2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3775"/>
              <w:gridCol w:w="3165"/>
              <w:gridCol w:w="858"/>
            </w:tblGrid>
            <w:tr w14:paraId="48697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2420" w:type="pct"/>
                  <w:vAlign w:val="center"/>
                </w:tcPr>
                <w:p w14:paraId="52FDEEEC">
                  <w:pPr>
                    <w:spacing w:line="260" w:lineRule="exact"/>
                    <w:jc w:val="center"/>
                    <w:rPr>
                      <w:b/>
                      <w:bCs/>
                      <w:color w:val="auto"/>
                      <w:szCs w:val="21"/>
                    </w:rPr>
                  </w:pPr>
                  <w:r>
                    <w:rPr>
                      <w:rFonts w:hint="eastAsia"/>
                      <w:b/>
                      <w:bCs/>
                      <w:color w:val="auto"/>
                      <w:szCs w:val="21"/>
                    </w:rPr>
                    <w:t>相关</w:t>
                  </w:r>
                  <w:r>
                    <w:rPr>
                      <w:b/>
                      <w:bCs/>
                      <w:color w:val="auto"/>
                      <w:szCs w:val="21"/>
                    </w:rPr>
                    <w:t>要求</w:t>
                  </w:r>
                </w:p>
              </w:tc>
              <w:tc>
                <w:tcPr>
                  <w:tcW w:w="2029" w:type="pct"/>
                  <w:vAlign w:val="center"/>
                </w:tcPr>
                <w:p w14:paraId="72C3A8B3">
                  <w:pPr>
                    <w:jc w:val="center"/>
                    <w:rPr>
                      <w:b/>
                      <w:bCs/>
                      <w:color w:val="auto"/>
                      <w:szCs w:val="21"/>
                    </w:rPr>
                  </w:pPr>
                  <w:r>
                    <w:rPr>
                      <w:b/>
                      <w:bCs/>
                      <w:color w:val="auto"/>
                      <w:szCs w:val="21"/>
                    </w:rPr>
                    <w:t>本项目</w:t>
                  </w:r>
                  <w:r>
                    <w:rPr>
                      <w:rFonts w:hint="eastAsia"/>
                      <w:b/>
                      <w:bCs/>
                      <w:color w:val="auto"/>
                      <w:szCs w:val="21"/>
                    </w:rPr>
                    <w:t>情况</w:t>
                  </w:r>
                </w:p>
              </w:tc>
              <w:tc>
                <w:tcPr>
                  <w:tcW w:w="549" w:type="pct"/>
                  <w:vAlign w:val="center"/>
                </w:tcPr>
                <w:p w14:paraId="572BDA7B">
                  <w:pPr>
                    <w:jc w:val="center"/>
                    <w:rPr>
                      <w:b/>
                      <w:bCs/>
                      <w:color w:val="auto"/>
                      <w:szCs w:val="21"/>
                    </w:rPr>
                  </w:pPr>
                  <w:r>
                    <w:rPr>
                      <w:b/>
                      <w:bCs/>
                      <w:color w:val="auto"/>
                      <w:szCs w:val="21"/>
                    </w:rPr>
                    <w:t>相符性</w:t>
                  </w:r>
                </w:p>
              </w:tc>
            </w:tr>
            <w:tr w14:paraId="75B17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1341" w:hRule="atLeast"/>
                <w:jc w:val="center"/>
              </w:trPr>
              <w:tc>
                <w:tcPr>
                  <w:tcW w:w="2420" w:type="pct"/>
                  <w:vAlign w:val="center"/>
                </w:tcPr>
                <w:p w14:paraId="1165FA2A">
                  <w:pPr>
                    <w:spacing w:line="260" w:lineRule="exact"/>
                    <w:jc w:val="center"/>
                    <w:rPr>
                      <w:color w:val="auto"/>
                      <w:szCs w:val="21"/>
                    </w:rPr>
                  </w:pPr>
                  <w:r>
                    <w:rPr>
                      <w:rFonts w:hint="eastAsia"/>
                      <w:color w:val="auto"/>
                      <w:szCs w:val="21"/>
                    </w:rPr>
                    <w:t>含VOCs产品的使用过程中，应采取废气收集措施，提高废气收集效率，减少废气的无组织排放与逸散，并对收集后的废气进行回收或处理后达标排放。</w:t>
                  </w:r>
                </w:p>
              </w:tc>
              <w:tc>
                <w:tcPr>
                  <w:tcW w:w="2029" w:type="pct"/>
                  <w:vMerge w:val="restart"/>
                  <w:vAlign w:val="center"/>
                </w:tcPr>
                <w:p w14:paraId="103AE39E">
                  <w:pPr>
                    <w:spacing w:line="260" w:lineRule="exact"/>
                    <w:jc w:val="center"/>
                    <w:rPr>
                      <w:b/>
                      <w:bCs/>
                      <w:color w:val="auto"/>
                      <w:szCs w:val="21"/>
                    </w:rPr>
                  </w:pPr>
                  <w:r>
                    <w:rPr>
                      <w:rFonts w:hint="eastAsia"/>
                      <w:color w:val="auto"/>
                      <w:szCs w:val="21"/>
                    </w:rPr>
                    <w:t>本项目加强废气收集效率，有机废气经设备密闭</w:t>
                  </w:r>
                  <w:r>
                    <w:rPr>
                      <w:rFonts w:hint="eastAsia"/>
                      <w:color w:val="auto"/>
                      <w:szCs w:val="21"/>
                      <w:lang w:val="en-US" w:eastAsia="zh-CN"/>
                    </w:rPr>
                    <w:t>和集气罩</w:t>
                  </w:r>
                  <w:r>
                    <w:rPr>
                      <w:rFonts w:hint="eastAsia"/>
                      <w:color w:val="auto"/>
                      <w:szCs w:val="21"/>
                    </w:rPr>
                    <w:t>收集，大大减少无组织排放与逸散，废气收集后采用“过滤棉+二级活性炭吸附装置”处理后处理后由2</w:t>
                  </w:r>
                  <w:r>
                    <w:rPr>
                      <w:rFonts w:hint="eastAsia"/>
                      <w:color w:val="auto"/>
                      <w:szCs w:val="21"/>
                      <w:lang w:val="en-US" w:eastAsia="zh-CN"/>
                    </w:rPr>
                    <w:t>5</w:t>
                  </w:r>
                  <w:r>
                    <w:rPr>
                      <w:rFonts w:hint="eastAsia"/>
                      <w:color w:val="auto"/>
                      <w:szCs w:val="21"/>
                    </w:rPr>
                    <w:t>m高排气筒DA001排放。</w:t>
                  </w:r>
                </w:p>
              </w:tc>
              <w:tc>
                <w:tcPr>
                  <w:tcW w:w="549" w:type="pct"/>
                  <w:vMerge w:val="restart"/>
                  <w:vAlign w:val="center"/>
                </w:tcPr>
                <w:p w14:paraId="3E3AED61">
                  <w:pPr>
                    <w:spacing w:line="260" w:lineRule="exact"/>
                    <w:jc w:val="center"/>
                    <w:rPr>
                      <w:color w:val="auto"/>
                      <w:szCs w:val="21"/>
                    </w:rPr>
                  </w:pPr>
                  <w:r>
                    <w:rPr>
                      <w:color w:val="auto"/>
                      <w:szCs w:val="21"/>
                    </w:rPr>
                    <w:t>符合</w:t>
                  </w:r>
                </w:p>
              </w:tc>
            </w:tr>
            <w:tr w14:paraId="75435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2420" w:type="pct"/>
                  <w:vAlign w:val="center"/>
                </w:tcPr>
                <w:p w14:paraId="3479225F">
                  <w:pPr>
                    <w:spacing w:line="260" w:lineRule="exact"/>
                    <w:jc w:val="center"/>
                    <w:rPr>
                      <w:color w:val="auto"/>
                      <w:szCs w:val="21"/>
                    </w:rPr>
                  </w:pPr>
                  <w:r>
                    <w:rPr>
                      <w:rFonts w:hint="eastAsia"/>
                      <w:color w:val="auto"/>
                      <w:szCs w:val="21"/>
                    </w:rPr>
                    <w:t>对于含低浓度VOCs的废气，有回收价值时可采用吸附技术、吸收技术对有机溶剂回收后达标排放；不宜回收时，可采用吸附浓缩燃烧技术、生物技术、吸收技术、等离子体技术或紫外光高级氧化技术等净化后达标排放。</w:t>
                  </w:r>
                </w:p>
              </w:tc>
              <w:tc>
                <w:tcPr>
                  <w:tcW w:w="2029" w:type="pct"/>
                  <w:vMerge w:val="continue"/>
                  <w:vAlign w:val="center"/>
                </w:tcPr>
                <w:p w14:paraId="26285D2C">
                  <w:pPr>
                    <w:spacing w:line="260" w:lineRule="exact"/>
                    <w:jc w:val="center"/>
                    <w:rPr>
                      <w:color w:val="auto"/>
                      <w:szCs w:val="21"/>
                    </w:rPr>
                  </w:pPr>
                </w:p>
              </w:tc>
              <w:tc>
                <w:tcPr>
                  <w:tcW w:w="549" w:type="pct"/>
                  <w:vMerge w:val="continue"/>
                  <w:vAlign w:val="center"/>
                </w:tcPr>
                <w:p w14:paraId="758B1F79">
                  <w:pPr>
                    <w:spacing w:line="260" w:lineRule="exact"/>
                    <w:jc w:val="center"/>
                    <w:rPr>
                      <w:color w:val="auto"/>
                      <w:szCs w:val="21"/>
                    </w:rPr>
                  </w:pPr>
                </w:p>
              </w:tc>
            </w:tr>
          </w:tbl>
          <w:p w14:paraId="329B8987">
            <w:pPr>
              <w:pStyle w:val="51"/>
              <w:spacing w:before="120" w:beforeLines="50"/>
              <w:rPr>
                <w:bCs/>
                <w:color w:val="auto"/>
                <w:szCs w:val="22"/>
              </w:rPr>
            </w:pPr>
            <w:r>
              <w:rPr>
                <w:bCs/>
                <w:color w:val="auto"/>
                <w:szCs w:val="22"/>
              </w:rPr>
              <w:t>综上，</w:t>
            </w:r>
            <w:r>
              <w:rPr>
                <w:rFonts w:hint="eastAsia"/>
                <w:bCs/>
                <w:color w:val="auto"/>
                <w:szCs w:val="22"/>
              </w:rPr>
              <w:t>项目符合《挥发性有机物（VOCs）污染防治技术政策》要求。</w:t>
            </w:r>
          </w:p>
          <w:p w14:paraId="76520649">
            <w:pPr>
              <w:pStyle w:val="206"/>
              <w:spacing w:after="0" w:line="377" w:lineRule="auto"/>
              <w:ind w:firstLine="482" w:firstLineChars="200"/>
              <w:rPr>
                <w:color w:val="auto"/>
                <w:sz w:val="24"/>
                <w:szCs w:val="22"/>
              </w:rPr>
            </w:pPr>
            <w:r>
              <w:rPr>
                <w:rFonts w:hint="eastAsia"/>
                <w:color w:val="auto"/>
                <w:sz w:val="24"/>
                <w:szCs w:val="22"/>
              </w:rPr>
              <w:t>1</w:t>
            </w:r>
            <w:r>
              <w:rPr>
                <w:rFonts w:hint="eastAsia"/>
                <w:color w:val="auto"/>
                <w:sz w:val="24"/>
                <w:szCs w:val="22"/>
                <w:lang w:val="en-US" w:eastAsia="zh-CN"/>
              </w:rPr>
              <w:t>2</w:t>
            </w:r>
            <w:r>
              <w:rPr>
                <w:rFonts w:hint="eastAsia"/>
                <w:color w:val="auto"/>
                <w:sz w:val="24"/>
                <w:szCs w:val="22"/>
              </w:rPr>
              <w:t>、与《安徽省空气质量持续改善行动方案》（皖政</w:t>
            </w:r>
            <w:r>
              <w:rPr>
                <w:color w:val="auto"/>
                <w:sz w:val="24"/>
                <w:szCs w:val="22"/>
              </w:rPr>
              <w:t>[2024]36</w:t>
            </w:r>
            <w:r>
              <w:rPr>
                <w:rFonts w:hint="eastAsia"/>
                <w:color w:val="auto"/>
                <w:sz w:val="24"/>
                <w:szCs w:val="22"/>
              </w:rPr>
              <w:t>号）的符合性分析</w:t>
            </w:r>
          </w:p>
          <w:p w14:paraId="36D2E559">
            <w:pPr>
              <w:pStyle w:val="207"/>
              <w:adjustRightInd w:val="0"/>
              <w:snapToGrid w:val="0"/>
              <w:spacing w:before="0" w:beforeLines="0" w:line="360" w:lineRule="auto"/>
              <w:ind w:firstLine="480" w:firstLineChars="200"/>
              <w:jc w:val="both"/>
              <w:rPr>
                <w:rFonts w:hint="eastAsia"/>
                <w:b w:val="0"/>
                <w:bCs w:val="0"/>
                <w:color w:val="auto"/>
                <w:sz w:val="24"/>
                <w:szCs w:val="24"/>
              </w:rPr>
            </w:pPr>
            <w:r>
              <w:rPr>
                <w:rFonts w:hint="eastAsia"/>
                <w:b w:val="0"/>
                <w:bCs w:val="0"/>
                <w:color w:val="auto"/>
                <w:sz w:val="24"/>
                <w:szCs w:val="24"/>
              </w:rPr>
              <w:t>2024年7月22日，安徽省人民政府印发《安徽省空气质量持续改善行动方案》（皖政[2024]36号）。方案实施范围</w:t>
            </w:r>
            <w:r>
              <w:rPr>
                <w:rFonts w:hint="eastAsia"/>
                <w:b w:val="0"/>
                <w:bCs w:val="0"/>
                <w:color w:val="auto"/>
                <w:sz w:val="24"/>
                <w:szCs w:val="24"/>
                <w:lang w:val="en-US" w:eastAsia="zh-CN"/>
              </w:rPr>
              <w:t>为</w:t>
            </w:r>
            <w:r>
              <w:rPr>
                <w:rFonts w:hint="eastAsia"/>
                <w:b w:val="0"/>
                <w:bCs w:val="0"/>
                <w:color w:val="auto"/>
                <w:sz w:val="24"/>
                <w:szCs w:val="24"/>
                <w:lang w:eastAsia="zh-CN"/>
              </w:rPr>
              <w:t>：</w:t>
            </w:r>
            <w:r>
              <w:rPr>
                <w:rFonts w:hint="eastAsia"/>
                <w:b w:val="0"/>
                <w:bCs w:val="0"/>
                <w:color w:val="auto"/>
                <w:sz w:val="24"/>
                <w:szCs w:val="24"/>
              </w:rPr>
              <w:t>1．重点区域。合肥、淮北、亳州、宿州、蚌埠、阜阳、淮南、滁州、六安、马鞍山、芜湖市。2．非重点区域。宣城、铜陵、池州、安庆、黄山市。</w:t>
            </w:r>
          </w:p>
          <w:p w14:paraId="00300D29">
            <w:pPr>
              <w:pStyle w:val="207"/>
              <w:adjustRightInd w:val="0"/>
              <w:snapToGrid w:val="0"/>
              <w:spacing w:before="0" w:beforeLines="0" w:line="360" w:lineRule="auto"/>
              <w:ind w:firstLine="480" w:firstLineChars="200"/>
              <w:jc w:val="both"/>
              <w:rPr>
                <w:b w:val="0"/>
                <w:bCs w:val="0"/>
                <w:color w:val="auto"/>
                <w:sz w:val="24"/>
                <w:szCs w:val="24"/>
              </w:rPr>
            </w:pPr>
            <w:r>
              <w:rPr>
                <w:rFonts w:hint="eastAsia"/>
                <w:b w:val="0"/>
                <w:bCs w:val="0"/>
                <w:color w:val="auto"/>
                <w:sz w:val="24"/>
                <w:szCs w:val="24"/>
                <w:lang w:val="en-US" w:eastAsia="zh-CN"/>
              </w:rPr>
              <w:t>本项目位于池州市，</w:t>
            </w:r>
            <w:r>
              <w:rPr>
                <w:rFonts w:hint="eastAsia"/>
                <w:b w:val="0"/>
                <w:bCs w:val="0"/>
                <w:color w:val="auto"/>
                <w:sz w:val="24"/>
                <w:szCs w:val="24"/>
              </w:rPr>
              <w:t>池州市属于非重点区域，本项目与《安徽省空气质量持续改善行动方案》的符合性分析见下表。</w:t>
            </w:r>
          </w:p>
          <w:p w14:paraId="269E11DF">
            <w:pPr>
              <w:pStyle w:val="207"/>
              <w:adjustRightInd w:val="0"/>
              <w:snapToGrid w:val="0"/>
              <w:spacing w:before="0" w:beforeLines="0"/>
              <w:rPr>
                <w:color w:val="auto"/>
              </w:rPr>
            </w:pPr>
            <w:r>
              <w:rPr>
                <w:rFonts w:hint="eastAsia"/>
                <w:color w:val="auto"/>
              </w:rPr>
              <w:t>表1-1</w:t>
            </w:r>
            <w:r>
              <w:rPr>
                <w:rFonts w:hint="eastAsia"/>
                <w:color w:val="auto"/>
                <w:lang w:val="en-US" w:eastAsia="zh-CN"/>
              </w:rPr>
              <w:t>2</w:t>
            </w:r>
            <w:r>
              <w:rPr>
                <w:color w:val="auto"/>
              </w:rPr>
              <w:t xml:space="preserve"> </w:t>
            </w:r>
            <w:r>
              <w:rPr>
                <w:rFonts w:hint="eastAsia"/>
                <w:color w:val="auto"/>
              </w:rPr>
              <w:t>拟建项目与《安徽省空气质量持续改善行动方案》（皖政[2024]36号）</w:t>
            </w:r>
            <w:r>
              <w:rPr>
                <w:color w:val="auto"/>
              </w:rPr>
              <w:t>符合性分析</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5"/>
              <w:gridCol w:w="3046"/>
              <w:gridCol w:w="3359"/>
              <w:gridCol w:w="802"/>
            </w:tblGrid>
            <w:tr w14:paraId="4B0E0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381" w:type="pct"/>
                  <w:shd w:val="clear" w:color="auto" w:fill="auto"/>
                  <w:vAlign w:val="center"/>
                </w:tcPr>
                <w:p w14:paraId="0E0303A3">
                  <w:pPr>
                    <w:pStyle w:val="85"/>
                    <w:rPr>
                      <w:b/>
                      <w:bCs/>
                      <w:color w:val="auto"/>
                    </w:rPr>
                  </w:pPr>
                  <w:r>
                    <w:rPr>
                      <w:rFonts w:hint="eastAsia"/>
                      <w:b/>
                      <w:bCs/>
                      <w:color w:val="auto"/>
                    </w:rPr>
                    <w:t>序号</w:t>
                  </w:r>
                </w:p>
              </w:tc>
              <w:tc>
                <w:tcPr>
                  <w:tcW w:w="1951" w:type="pct"/>
                  <w:shd w:val="clear" w:color="auto" w:fill="auto"/>
                  <w:vAlign w:val="center"/>
                </w:tcPr>
                <w:p w14:paraId="41E4BBD2">
                  <w:pPr>
                    <w:pStyle w:val="85"/>
                    <w:rPr>
                      <w:b/>
                      <w:bCs/>
                      <w:color w:val="auto"/>
                    </w:rPr>
                  </w:pPr>
                  <w:r>
                    <w:rPr>
                      <w:rFonts w:hint="eastAsia"/>
                      <w:b/>
                      <w:bCs/>
                      <w:color w:val="auto"/>
                    </w:rPr>
                    <w:t>相关要求</w:t>
                  </w:r>
                </w:p>
              </w:tc>
              <w:tc>
                <w:tcPr>
                  <w:tcW w:w="2152" w:type="pct"/>
                  <w:shd w:val="clear" w:color="auto" w:fill="auto"/>
                  <w:vAlign w:val="center"/>
                </w:tcPr>
                <w:p w14:paraId="21EC88FF">
                  <w:pPr>
                    <w:pStyle w:val="85"/>
                    <w:rPr>
                      <w:b/>
                      <w:bCs/>
                      <w:color w:val="auto"/>
                    </w:rPr>
                  </w:pPr>
                  <w:r>
                    <w:rPr>
                      <w:rFonts w:hint="eastAsia"/>
                      <w:b/>
                      <w:bCs/>
                      <w:color w:val="auto"/>
                    </w:rPr>
                    <w:t>本项目情况</w:t>
                  </w:r>
                </w:p>
              </w:tc>
              <w:tc>
                <w:tcPr>
                  <w:tcW w:w="514" w:type="pct"/>
                  <w:shd w:val="clear" w:color="auto" w:fill="auto"/>
                  <w:vAlign w:val="center"/>
                </w:tcPr>
                <w:p w14:paraId="2C4844DF">
                  <w:pPr>
                    <w:pStyle w:val="85"/>
                    <w:rPr>
                      <w:b/>
                      <w:bCs/>
                      <w:color w:val="auto"/>
                    </w:rPr>
                  </w:pPr>
                  <w:r>
                    <w:rPr>
                      <w:rFonts w:hint="eastAsia"/>
                      <w:b/>
                      <w:bCs/>
                      <w:color w:val="auto"/>
                    </w:rPr>
                    <w:t>符合性</w:t>
                  </w:r>
                </w:p>
              </w:tc>
            </w:tr>
            <w:tr w14:paraId="1FADA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1" w:type="pct"/>
                  <w:shd w:val="clear" w:color="auto" w:fill="auto"/>
                  <w:vAlign w:val="center"/>
                </w:tcPr>
                <w:p w14:paraId="51FF4BE8">
                  <w:pPr>
                    <w:pStyle w:val="85"/>
                    <w:rPr>
                      <w:color w:val="auto"/>
                    </w:rPr>
                  </w:pPr>
                  <w:r>
                    <w:rPr>
                      <w:rFonts w:hint="eastAsia"/>
                      <w:color w:val="auto"/>
                    </w:rPr>
                    <w:t>1</w:t>
                  </w:r>
                </w:p>
              </w:tc>
              <w:tc>
                <w:tcPr>
                  <w:tcW w:w="1951" w:type="pct"/>
                  <w:shd w:val="clear" w:color="auto" w:fill="auto"/>
                  <w:vAlign w:val="center"/>
                </w:tcPr>
                <w:p w14:paraId="32D2DE17">
                  <w:pPr>
                    <w:pStyle w:val="85"/>
                    <w:rPr>
                      <w:color w:val="auto"/>
                    </w:rPr>
                  </w:pPr>
                  <w:r>
                    <w:rPr>
                      <w:rFonts w:hint="eastAsia"/>
                      <w:color w:val="auto"/>
                    </w:rPr>
                    <w:t>（三）坚决遏制高耗能、高排放、低水平项目盲目上马。新改扩建项目严格落实国家产业规划、产业政策、生态环境分区管控方案、规划环评、项目环评、节能审查、产能置换、重点污染物总量控制、污染物排放区域削减、碳排放达峰目标等相关要求，原则上采用清洁运输方式。</w:t>
                  </w:r>
                </w:p>
              </w:tc>
              <w:tc>
                <w:tcPr>
                  <w:tcW w:w="2152" w:type="pct"/>
                  <w:shd w:val="clear" w:color="auto" w:fill="auto"/>
                  <w:vAlign w:val="center"/>
                </w:tcPr>
                <w:p w14:paraId="6C07E3DD">
                  <w:pPr>
                    <w:pStyle w:val="85"/>
                    <w:rPr>
                      <w:color w:val="auto"/>
                    </w:rPr>
                  </w:pPr>
                  <w:r>
                    <w:rPr>
                      <w:rFonts w:hint="eastAsia"/>
                      <w:color w:val="auto"/>
                    </w:rPr>
                    <w:t>1、拟建项目为显示器件制造和</w:t>
                  </w:r>
                  <w:r>
                    <w:rPr>
                      <w:rFonts w:hint="eastAsia"/>
                      <w:color w:val="auto"/>
                      <w:lang w:val="en-US" w:eastAsia="zh-CN"/>
                    </w:rPr>
                    <w:t>电光源</w:t>
                  </w:r>
                  <w:r>
                    <w:rPr>
                      <w:rFonts w:hint="eastAsia"/>
                      <w:color w:val="auto"/>
                    </w:rPr>
                    <w:t>制造，对照《产业结构调整指导目录（2024年本）》，本项目属于鼓励类项目，符合国家产业政策。</w:t>
                  </w:r>
                </w:p>
                <w:p w14:paraId="25BC6B28">
                  <w:pPr>
                    <w:pStyle w:val="85"/>
                    <w:rPr>
                      <w:color w:val="auto"/>
                    </w:rPr>
                  </w:pPr>
                  <w:r>
                    <w:rPr>
                      <w:rFonts w:hint="eastAsia"/>
                      <w:color w:val="auto"/>
                    </w:rPr>
                    <w:t>2、本项目符合“三线一单”生态环境准入清单的要求（表1-</w:t>
                  </w:r>
                  <w:r>
                    <w:rPr>
                      <w:rFonts w:hint="eastAsia"/>
                      <w:color w:val="auto"/>
                      <w:lang w:val="en-US" w:eastAsia="zh-CN"/>
                    </w:rPr>
                    <w:t>4</w:t>
                  </w:r>
                  <w:r>
                    <w:rPr>
                      <w:rFonts w:hint="eastAsia"/>
                      <w:color w:val="auto"/>
                    </w:rPr>
                    <w:t>）。</w:t>
                  </w:r>
                </w:p>
                <w:p w14:paraId="486E4D2B">
                  <w:pPr>
                    <w:pStyle w:val="85"/>
                    <w:rPr>
                      <w:color w:val="auto"/>
                    </w:rPr>
                  </w:pPr>
                  <w:r>
                    <w:rPr>
                      <w:rFonts w:hint="eastAsia"/>
                      <w:color w:val="auto"/>
                    </w:rPr>
                    <w:t>3、本项目的建设符合安徽省江南产业集中区规划环评及审查意见（</w:t>
                  </w:r>
                  <w:r>
                    <w:rPr>
                      <w:rFonts w:hint="eastAsia"/>
                      <w:color w:val="auto"/>
                      <w:lang w:val="en-US" w:eastAsia="zh-CN"/>
                    </w:rPr>
                    <w:t>详见</w:t>
                  </w:r>
                  <w:r>
                    <w:rPr>
                      <w:rFonts w:hint="eastAsia"/>
                      <w:color w:val="auto"/>
                    </w:rPr>
                    <w:t>规划及规划环境影响评价符合性分析</w:t>
                  </w:r>
                  <w:r>
                    <w:rPr>
                      <w:rFonts w:hint="eastAsia"/>
                      <w:color w:val="auto"/>
                      <w:lang w:val="en-US" w:eastAsia="zh-CN"/>
                    </w:rPr>
                    <w:t>章节</w:t>
                  </w:r>
                  <w:r>
                    <w:rPr>
                      <w:rFonts w:hint="eastAsia"/>
                      <w:color w:val="auto"/>
                    </w:rPr>
                    <w:t>）。</w:t>
                  </w:r>
                </w:p>
              </w:tc>
              <w:tc>
                <w:tcPr>
                  <w:tcW w:w="514" w:type="pct"/>
                  <w:vMerge w:val="restart"/>
                  <w:shd w:val="clear" w:color="auto" w:fill="auto"/>
                  <w:vAlign w:val="center"/>
                </w:tcPr>
                <w:p w14:paraId="0338715E">
                  <w:pPr>
                    <w:pStyle w:val="85"/>
                    <w:rPr>
                      <w:color w:val="auto"/>
                    </w:rPr>
                  </w:pPr>
                  <w:r>
                    <w:rPr>
                      <w:rFonts w:hint="eastAsia"/>
                      <w:color w:val="auto"/>
                    </w:rPr>
                    <w:t>符合</w:t>
                  </w:r>
                </w:p>
              </w:tc>
            </w:tr>
            <w:tr w14:paraId="08882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81" w:type="pct"/>
                  <w:shd w:val="clear" w:color="auto" w:fill="auto"/>
                  <w:vAlign w:val="center"/>
                </w:tcPr>
                <w:p w14:paraId="47401BE0">
                  <w:pPr>
                    <w:pStyle w:val="85"/>
                    <w:rPr>
                      <w:color w:val="auto"/>
                    </w:rPr>
                  </w:pPr>
                  <w:r>
                    <w:rPr>
                      <w:color w:val="auto"/>
                    </w:rPr>
                    <w:t>2</w:t>
                  </w:r>
                </w:p>
              </w:tc>
              <w:tc>
                <w:tcPr>
                  <w:tcW w:w="1951" w:type="pct"/>
                  <w:shd w:val="clear" w:color="auto" w:fill="auto"/>
                  <w:vAlign w:val="center"/>
                </w:tcPr>
                <w:p w14:paraId="44BFDF76">
                  <w:pPr>
                    <w:pStyle w:val="85"/>
                    <w:rPr>
                      <w:color w:val="auto"/>
                    </w:rPr>
                  </w:pPr>
                  <w:r>
                    <w:rPr>
                      <w:rFonts w:hint="eastAsia"/>
                      <w:color w:val="auto"/>
                    </w:rPr>
                    <w:t>（四）有序推动落后产能淘汰。严格执行《产业结构调整指导目录》。综合运用能耗、环保、质量、安全、技术等要求，依法依规推动落后产能退出，逐步退出限制类涉气行业工艺和装备。有序推动生产设施老旧、工艺水平落后、环境管理水平低下的独立焦化、烧结、球团、热轧企业和落后煤炭洗选企业退出市场。逐步淘汰步进式烧结机和球团竖炉以及半封闭式硅锰合金、镍铁、高碳铬铁、高碳锰铁电炉。严禁违规新增钢铁、水泥（熟料）、焦化、电解铝、平板玻璃（不含光伏压延玻璃）产能。鼓励钢铁行业龙头企业实施兼并重组，到2025年，短流程炼钢产量占比达15%。</w:t>
                  </w:r>
                </w:p>
              </w:tc>
              <w:tc>
                <w:tcPr>
                  <w:tcW w:w="2152" w:type="pct"/>
                  <w:shd w:val="clear" w:color="auto" w:fill="auto"/>
                  <w:vAlign w:val="center"/>
                </w:tcPr>
                <w:p w14:paraId="26A5845A">
                  <w:pPr>
                    <w:pStyle w:val="85"/>
                    <w:rPr>
                      <w:color w:val="auto"/>
                    </w:rPr>
                  </w:pPr>
                  <w:r>
                    <w:rPr>
                      <w:rFonts w:hint="eastAsia"/>
                      <w:color w:val="auto"/>
                    </w:rPr>
                    <w:t>1、拟建项目为显示器件制造和</w:t>
                  </w:r>
                  <w:r>
                    <w:rPr>
                      <w:rFonts w:hint="eastAsia"/>
                      <w:color w:val="auto"/>
                      <w:lang w:val="en-US" w:eastAsia="zh-CN"/>
                    </w:rPr>
                    <w:t>电光源</w:t>
                  </w:r>
                  <w:r>
                    <w:rPr>
                      <w:rFonts w:hint="eastAsia"/>
                      <w:color w:val="auto"/>
                    </w:rPr>
                    <w:t>制造，对照《产业结构调整指导目录（2024年本）》，本项目属于鼓励类项目，符合国家产业政策。</w:t>
                  </w:r>
                </w:p>
                <w:p w14:paraId="0B423BD7">
                  <w:pPr>
                    <w:pStyle w:val="85"/>
                    <w:rPr>
                      <w:rFonts w:hint="eastAsia" w:eastAsia="宋体"/>
                      <w:color w:val="auto"/>
                      <w:lang w:val="en-US" w:eastAsia="zh-CN"/>
                    </w:rPr>
                  </w:pPr>
                  <w:r>
                    <w:rPr>
                      <w:rFonts w:hint="eastAsia"/>
                      <w:color w:val="auto"/>
                      <w:lang w:val="en-US" w:eastAsia="zh-CN"/>
                    </w:rPr>
                    <w:t>2、本项目不属于</w:t>
                  </w:r>
                  <w:r>
                    <w:rPr>
                      <w:rFonts w:hint="eastAsia"/>
                      <w:color w:val="auto"/>
                    </w:rPr>
                    <w:t>煤炭洗选企业</w:t>
                  </w:r>
                  <w:r>
                    <w:rPr>
                      <w:rFonts w:hint="eastAsia"/>
                      <w:color w:val="auto"/>
                      <w:lang w:eastAsia="zh-CN"/>
                    </w:rPr>
                    <w:t>，</w:t>
                  </w:r>
                  <w:r>
                    <w:rPr>
                      <w:rFonts w:hint="eastAsia"/>
                      <w:color w:val="auto"/>
                      <w:lang w:val="en-US" w:eastAsia="zh-CN"/>
                    </w:rPr>
                    <w:t>不使用</w:t>
                  </w:r>
                  <w:r>
                    <w:rPr>
                      <w:rFonts w:hint="eastAsia"/>
                      <w:color w:val="auto"/>
                    </w:rPr>
                    <w:t>进式烧结机和球团竖炉以及半封闭式硅锰合金、镍铁、高碳铬铁、高碳锰铁电炉</w:t>
                  </w:r>
                  <w:r>
                    <w:rPr>
                      <w:rFonts w:hint="eastAsia"/>
                      <w:color w:val="auto"/>
                      <w:lang w:eastAsia="zh-CN"/>
                    </w:rPr>
                    <w:t>，</w:t>
                  </w:r>
                  <w:r>
                    <w:rPr>
                      <w:rFonts w:hint="eastAsia"/>
                      <w:color w:val="auto"/>
                      <w:lang w:val="en-US" w:eastAsia="zh-CN"/>
                    </w:rPr>
                    <w:t>不属于</w:t>
                  </w:r>
                  <w:r>
                    <w:rPr>
                      <w:rFonts w:hint="eastAsia"/>
                      <w:color w:val="auto"/>
                    </w:rPr>
                    <w:t>钢铁、水泥（熟料）、焦化、电解铝、平板玻璃</w:t>
                  </w:r>
                  <w:r>
                    <w:rPr>
                      <w:rFonts w:hint="eastAsia"/>
                      <w:color w:val="auto"/>
                      <w:lang w:val="en-US" w:eastAsia="zh-CN"/>
                    </w:rPr>
                    <w:t>项目。</w:t>
                  </w:r>
                </w:p>
              </w:tc>
              <w:tc>
                <w:tcPr>
                  <w:tcW w:w="514" w:type="pct"/>
                  <w:vMerge w:val="continue"/>
                  <w:shd w:val="clear" w:color="auto" w:fill="auto"/>
                  <w:vAlign w:val="center"/>
                </w:tcPr>
                <w:p w14:paraId="6892BBD6">
                  <w:pPr>
                    <w:pStyle w:val="85"/>
                    <w:rPr>
                      <w:color w:val="auto"/>
                    </w:rPr>
                  </w:pPr>
                </w:p>
              </w:tc>
            </w:tr>
            <w:tr w14:paraId="6D78E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81" w:type="pct"/>
                  <w:shd w:val="clear" w:color="auto" w:fill="auto"/>
                  <w:vAlign w:val="center"/>
                </w:tcPr>
                <w:p w14:paraId="4153C127">
                  <w:pPr>
                    <w:pStyle w:val="85"/>
                    <w:rPr>
                      <w:color w:val="auto"/>
                    </w:rPr>
                  </w:pPr>
                  <w:r>
                    <w:rPr>
                      <w:rFonts w:hint="eastAsia"/>
                      <w:color w:val="auto"/>
                    </w:rPr>
                    <w:t>3</w:t>
                  </w:r>
                </w:p>
              </w:tc>
              <w:tc>
                <w:tcPr>
                  <w:tcW w:w="1951" w:type="pct"/>
                  <w:shd w:val="clear" w:color="auto" w:fill="auto"/>
                  <w:vAlign w:val="center"/>
                </w:tcPr>
                <w:p w14:paraId="37F1435D">
                  <w:pPr>
                    <w:pStyle w:val="85"/>
                    <w:rPr>
                      <w:color w:val="auto"/>
                    </w:rPr>
                  </w:pPr>
                  <w:r>
                    <w:rPr>
                      <w:rFonts w:hint="eastAsia"/>
                      <w:color w:val="auto"/>
                    </w:rPr>
                    <w:t>（十）推动工业炉窑清洁能源替代。有序推进工业领域电能替代，提高电气化水平，推动大用户直供气，降低供气成本。重点区域不再新增燃料类煤气发生炉，新改扩建加热炉、热处理炉、干燥炉、熔化炉原则上采用清洁低碳能源。燃料类煤气发生炉实施清洁能源替代，或因地制宜采取园区（集群）集中供气、分散使用方式。逐步淘汰固定床间歇式煤气发生炉，鼓励现有煤气发生炉“小改大”。安全稳妥推进使用高污染燃料的工业炉窑改用工业余热、电能、天然气等，推动石油焦、重油等高污染燃料逐步替代。</w:t>
                  </w:r>
                </w:p>
              </w:tc>
              <w:tc>
                <w:tcPr>
                  <w:tcW w:w="2152" w:type="pct"/>
                  <w:shd w:val="clear" w:color="auto" w:fill="auto"/>
                  <w:vAlign w:val="center"/>
                </w:tcPr>
                <w:p w14:paraId="59E6A698">
                  <w:pPr>
                    <w:pStyle w:val="85"/>
                    <w:rPr>
                      <w:rFonts w:hint="default" w:eastAsia="宋体"/>
                      <w:color w:val="auto"/>
                      <w:lang w:val="en-US" w:eastAsia="zh-CN"/>
                    </w:rPr>
                  </w:pPr>
                  <w:r>
                    <w:rPr>
                      <w:rFonts w:hint="eastAsia"/>
                      <w:color w:val="auto"/>
                    </w:rPr>
                    <w:t>本项目</w:t>
                  </w:r>
                  <w:r>
                    <w:rPr>
                      <w:rFonts w:hint="eastAsia"/>
                      <w:color w:val="auto"/>
                      <w:lang w:val="en-US" w:eastAsia="zh-CN"/>
                    </w:rPr>
                    <w:t>隧道炉采用电加热</w:t>
                  </w:r>
                </w:p>
              </w:tc>
              <w:tc>
                <w:tcPr>
                  <w:tcW w:w="514" w:type="pct"/>
                  <w:shd w:val="clear" w:color="auto" w:fill="auto"/>
                  <w:vAlign w:val="center"/>
                </w:tcPr>
                <w:p w14:paraId="3F064156">
                  <w:pPr>
                    <w:pStyle w:val="85"/>
                    <w:rPr>
                      <w:color w:val="auto"/>
                    </w:rPr>
                  </w:pPr>
                  <w:r>
                    <w:rPr>
                      <w:rFonts w:hint="eastAsia"/>
                      <w:color w:val="auto"/>
                    </w:rPr>
                    <w:t>符合</w:t>
                  </w:r>
                </w:p>
              </w:tc>
            </w:tr>
            <w:tr w14:paraId="0375A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81" w:type="pct"/>
                  <w:shd w:val="clear" w:color="auto" w:fill="auto"/>
                  <w:vAlign w:val="center"/>
                </w:tcPr>
                <w:p w14:paraId="4641A981">
                  <w:pPr>
                    <w:pStyle w:val="85"/>
                    <w:rPr>
                      <w:color w:val="auto"/>
                    </w:rPr>
                  </w:pPr>
                  <w:r>
                    <w:rPr>
                      <w:rFonts w:hint="eastAsia"/>
                      <w:color w:val="auto"/>
                    </w:rPr>
                    <w:t>4</w:t>
                  </w:r>
                </w:p>
              </w:tc>
              <w:tc>
                <w:tcPr>
                  <w:tcW w:w="1951" w:type="pct"/>
                  <w:shd w:val="clear" w:color="auto" w:fill="auto"/>
                  <w:vAlign w:val="center"/>
                </w:tcPr>
                <w:p w14:paraId="6592E806">
                  <w:pPr>
                    <w:pStyle w:val="85"/>
                    <w:rPr>
                      <w:color w:val="auto"/>
                    </w:rPr>
                  </w:pPr>
                  <w:r>
                    <w:rPr>
                      <w:rFonts w:hint="eastAsia"/>
                      <w:color w:val="auto"/>
                    </w:rPr>
                    <w:t>（十八）加强VOCs综合治理。鼓励储罐使用低泄漏的呼吸阀、紧急泄压阀。汽车罐车推广使用密封式快速接头。污水处理场所高浓度有机废气单独收集处理；含VOCs有机废水储罐、装置区集水井（池）有机废气密闭收集处理。石化、化工行业集中的城市和重点工业园区，2024年底前建立统一的泄漏检测与修复信息管理平台。企业开停工、检维修期间，及时收集处理退料、清洗、吹扫等作业产生的VOCs废气，不得将火炬燃烧装置作为日常大气污染处理设施。</w:t>
                  </w:r>
                </w:p>
              </w:tc>
              <w:tc>
                <w:tcPr>
                  <w:tcW w:w="2152" w:type="pct"/>
                  <w:shd w:val="clear" w:color="auto" w:fill="auto"/>
                  <w:vAlign w:val="center"/>
                </w:tcPr>
                <w:p w14:paraId="4CFA8CA9">
                  <w:pPr>
                    <w:pStyle w:val="85"/>
                    <w:rPr>
                      <w:color w:val="auto"/>
                    </w:rPr>
                  </w:pPr>
                  <w:r>
                    <w:rPr>
                      <w:rFonts w:hint="eastAsia"/>
                      <w:color w:val="auto"/>
                    </w:rPr>
                    <w:t>本项目生产废气经集气管道和集气罩收集后，通过“过滤棉+二级活性炭吸附装置”处理后由2</w:t>
                  </w:r>
                  <w:r>
                    <w:rPr>
                      <w:rFonts w:hint="eastAsia"/>
                      <w:color w:val="auto"/>
                      <w:lang w:val="en-US" w:eastAsia="zh-CN"/>
                    </w:rPr>
                    <w:t>5</w:t>
                  </w:r>
                  <w:r>
                    <w:rPr>
                      <w:rFonts w:hint="eastAsia"/>
                      <w:color w:val="auto"/>
                    </w:rPr>
                    <w:t>m高排气筒DA001排放，污染物排放量较小，均能实现达标排放。</w:t>
                  </w:r>
                </w:p>
              </w:tc>
              <w:tc>
                <w:tcPr>
                  <w:tcW w:w="514" w:type="pct"/>
                  <w:shd w:val="clear" w:color="auto" w:fill="auto"/>
                  <w:vAlign w:val="center"/>
                </w:tcPr>
                <w:p w14:paraId="67A253D4">
                  <w:pPr>
                    <w:pStyle w:val="85"/>
                    <w:rPr>
                      <w:color w:val="auto"/>
                    </w:rPr>
                  </w:pPr>
                  <w:r>
                    <w:rPr>
                      <w:rFonts w:hint="eastAsia"/>
                      <w:color w:val="auto"/>
                    </w:rPr>
                    <w:t>符合</w:t>
                  </w:r>
                </w:p>
              </w:tc>
            </w:tr>
            <w:tr w14:paraId="7C0D9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81" w:type="pct"/>
                  <w:shd w:val="clear" w:color="auto" w:fill="auto"/>
                  <w:vAlign w:val="center"/>
                </w:tcPr>
                <w:p w14:paraId="5442ABA1">
                  <w:pPr>
                    <w:pStyle w:val="85"/>
                    <w:rPr>
                      <w:color w:val="auto"/>
                    </w:rPr>
                  </w:pPr>
                  <w:r>
                    <w:rPr>
                      <w:rFonts w:hint="eastAsia"/>
                      <w:color w:val="auto"/>
                    </w:rPr>
                    <w:t>5</w:t>
                  </w:r>
                </w:p>
              </w:tc>
              <w:tc>
                <w:tcPr>
                  <w:tcW w:w="1951" w:type="pct"/>
                  <w:shd w:val="clear" w:color="auto" w:fill="auto"/>
                  <w:vAlign w:val="center"/>
                </w:tcPr>
                <w:p w14:paraId="39AC33B6">
                  <w:pPr>
                    <w:pStyle w:val="85"/>
                    <w:rPr>
                      <w:color w:val="auto"/>
                    </w:rPr>
                  </w:pPr>
                  <w:r>
                    <w:rPr>
                      <w:rFonts w:hint="eastAsia"/>
                      <w:color w:val="auto"/>
                    </w:rPr>
                    <w:t>（十九）加快低（无）VOCs原辅材料替代。严格控制生产和使用高VOCs含量涂料、油墨、胶粘剂、清洗剂等建设项目。推动现有高VOCs含量产品生产企业加快产品升级转型，提高低（无）VOCs含量产品比重。加大工业涂装行业、包装印刷行业及电子行业低（无）VOCs含量原辅材料替代力度。室外构筑物防护和城市道路交通标志推广使用低（无）VOCs含量涂料。严格执行VOCs含量限值标准，确保生产、销售、进口、使用符合标准的产品。</w:t>
                  </w:r>
                </w:p>
              </w:tc>
              <w:tc>
                <w:tcPr>
                  <w:tcW w:w="2152" w:type="pct"/>
                  <w:shd w:val="clear" w:color="auto" w:fill="auto"/>
                  <w:vAlign w:val="center"/>
                </w:tcPr>
                <w:p w14:paraId="4FAA24FC">
                  <w:pPr>
                    <w:pStyle w:val="85"/>
                    <w:rPr>
                      <w:color w:val="auto"/>
                    </w:rPr>
                  </w:pPr>
                  <w:r>
                    <w:rPr>
                      <w:rFonts w:hint="eastAsia"/>
                      <w:color w:val="auto"/>
                    </w:rPr>
                    <w:t>本项目不使用高VOCs含量涂料、油墨、胶粘剂、清洗剂</w:t>
                  </w:r>
                </w:p>
              </w:tc>
              <w:tc>
                <w:tcPr>
                  <w:tcW w:w="514" w:type="pct"/>
                  <w:shd w:val="clear" w:color="auto" w:fill="auto"/>
                  <w:vAlign w:val="center"/>
                </w:tcPr>
                <w:p w14:paraId="2433320C">
                  <w:pPr>
                    <w:pStyle w:val="85"/>
                    <w:rPr>
                      <w:color w:val="auto"/>
                    </w:rPr>
                  </w:pPr>
                  <w:r>
                    <w:rPr>
                      <w:rFonts w:hint="eastAsia"/>
                      <w:color w:val="auto"/>
                    </w:rPr>
                    <w:t>符合</w:t>
                  </w:r>
                </w:p>
              </w:tc>
            </w:tr>
          </w:tbl>
          <w:p w14:paraId="18D1E888">
            <w:pPr>
              <w:pStyle w:val="51"/>
              <w:ind w:firstLine="480"/>
              <w:rPr>
                <w:rFonts w:hint="eastAsia"/>
              </w:rPr>
            </w:pPr>
            <w:r>
              <w:rPr>
                <w:bCs/>
                <w:color w:val="auto"/>
                <w:szCs w:val="22"/>
              </w:rPr>
              <w:t>综上，</w:t>
            </w:r>
            <w:r>
              <w:rPr>
                <w:rFonts w:hint="eastAsia"/>
                <w:bCs/>
                <w:color w:val="auto"/>
                <w:szCs w:val="22"/>
              </w:rPr>
              <w:t>项目符合《安徽省空气质量持续改善行动方案》要求。</w:t>
            </w:r>
          </w:p>
          <w:p w14:paraId="22A4CBBE">
            <w:pPr>
              <w:pStyle w:val="4"/>
              <w:suppressLineNumbers w:val="0"/>
              <w:spacing w:before="0" w:beforeAutospacing="0" w:after="0" w:afterAutospacing="0" w:line="360" w:lineRule="auto"/>
              <w:ind w:left="0" w:right="0" w:firstLine="482" w:firstLineChars="200"/>
              <w:rPr>
                <w:rFonts w:hint="default"/>
                <w:sz w:val="24"/>
                <w:szCs w:val="22"/>
                <w:highlight w:val="yellow"/>
              </w:rPr>
            </w:pPr>
            <w:r>
              <w:rPr>
                <w:rFonts w:hint="eastAsia"/>
                <w:sz w:val="24"/>
                <w:szCs w:val="22"/>
                <w:lang w:val="en-US" w:eastAsia="zh-CN"/>
              </w:rPr>
              <w:t>13</w:t>
            </w:r>
            <w:r>
              <w:rPr>
                <w:rFonts w:hint="eastAsia"/>
                <w:sz w:val="24"/>
                <w:szCs w:val="22"/>
              </w:rPr>
              <w:t>、与《安徽省低挥发性有机物含量原辅材料替代工作方案》（皖环发﹝2024﹞1号）符合性分析</w:t>
            </w:r>
          </w:p>
          <w:p w14:paraId="4568A121">
            <w:pPr>
              <w:keepNext w:val="0"/>
              <w:keepLines w:val="0"/>
              <w:suppressLineNumbers w:val="0"/>
              <w:spacing w:before="0" w:beforeAutospacing="0" w:after="0" w:afterAutospacing="0" w:line="360" w:lineRule="auto"/>
              <w:ind w:left="0" w:right="0" w:firstLine="480" w:firstLineChars="200"/>
              <w:rPr>
                <w:rFonts w:hint="eastAsia"/>
                <w:kern w:val="0"/>
                <w:sz w:val="24"/>
              </w:rPr>
            </w:pPr>
            <w:r>
              <w:rPr>
                <w:rFonts w:hint="eastAsia"/>
                <w:kern w:val="0"/>
                <w:sz w:val="24"/>
              </w:rPr>
              <w:t>2024年1月9日，为助力深入打好全省臭氧污染防治攻坚战，扎实推进含挥发性有机物原辅材料源头替代行动，促进重点行业企业绿色转型发展，省生态环境厅发布《安徽省低挥发性有机物含量原辅材料替代工作方案》，拟建项目与《安徽省低挥发性有机物含量原辅材料替代工作方案》符合性分析见下表。</w:t>
            </w:r>
          </w:p>
          <w:p w14:paraId="3C96FAB5">
            <w:pPr>
              <w:keepNext w:val="0"/>
              <w:keepLines w:val="0"/>
              <w:widowControl/>
              <w:suppressLineNumbers w:val="0"/>
              <w:spacing w:before="0" w:beforeAutospacing="0" w:after="0" w:afterAutospacing="0" w:line="360" w:lineRule="auto"/>
              <w:ind w:left="0" w:right="0"/>
              <w:jc w:val="center"/>
              <w:rPr>
                <w:rFonts w:hint="default" w:eastAsia="黑体"/>
                <w:sz w:val="24"/>
              </w:rPr>
            </w:pPr>
            <w:r>
              <w:rPr>
                <w:rFonts w:hint="default"/>
                <w:b/>
                <w:bCs/>
                <w:szCs w:val="21"/>
              </w:rPr>
              <w:t>表1-</w:t>
            </w:r>
            <w:r>
              <w:rPr>
                <w:rFonts w:hint="eastAsia"/>
                <w:b/>
                <w:bCs/>
                <w:szCs w:val="21"/>
                <w:lang w:val="en-US" w:eastAsia="zh-CN"/>
              </w:rPr>
              <w:t>13</w:t>
            </w:r>
            <w:r>
              <w:rPr>
                <w:rFonts w:hint="default"/>
                <w:b/>
                <w:bCs/>
                <w:szCs w:val="21"/>
              </w:rPr>
              <w:t xml:space="preserve"> 项目与</w:t>
            </w:r>
            <w:r>
              <w:rPr>
                <w:rFonts w:hint="eastAsia"/>
                <w:b/>
                <w:bCs/>
                <w:szCs w:val="21"/>
              </w:rPr>
              <w:t>皖环发﹝2024﹞1号</w:t>
            </w:r>
            <w:r>
              <w:rPr>
                <w:rFonts w:hint="default"/>
                <w:b/>
                <w:bCs/>
                <w:szCs w:val="21"/>
              </w:rPr>
              <w:t>文件的符合性分析</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650"/>
              <w:gridCol w:w="3526"/>
              <w:gridCol w:w="2684"/>
              <w:gridCol w:w="940"/>
            </w:tblGrid>
            <w:tr w14:paraId="71590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416" w:type="pct"/>
                  <w:vAlign w:val="center"/>
                </w:tcPr>
                <w:p w14:paraId="4F1040C9">
                  <w:pPr>
                    <w:keepNext w:val="0"/>
                    <w:keepLines w:val="0"/>
                    <w:suppressLineNumbers w:val="0"/>
                    <w:spacing w:before="0" w:beforeAutospacing="0" w:after="0" w:afterAutospacing="0"/>
                    <w:ind w:left="0" w:right="0"/>
                    <w:jc w:val="center"/>
                    <w:rPr>
                      <w:rFonts w:hint="default"/>
                      <w:b/>
                      <w:bCs/>
                      <w:szCs w:val="21"/>
                    </w:rPr>
                  </w:pPr>
                  <w:r>
                    <w:rPr>
                      <w:rFonts w:hint="default"/>
                      <w:b/>
                      <w:bCs/>
                      <w:szCs w:val="21"/>
                    </w:rPr>
                    <w:t>序号</w:t>
                  </w:r>
                </w:p>
              </w:tc>
              <w:tc>
                <w:tcPr>
                  <w:tcW w:w="2260" w:type="pct"/>
                  <w:vAlign w:val="center"/>
                </w:tcPr>
                <w:p w14:paraId="3E9AC813">
                  <w:pPr>
                    <w:keepNext w:val="0"/>
                    <w:keepLines w:val="0"/>
                    <w:suppressLineNumbers w:val="0"/>
                    <w:spacing w:before="0" w:beforeAutospacing="0" w:after="0" w:afterAutospacing="0" w:line="260" w:lineRule="exact"/>
                    <w:ind w:left="0" w:right="0"/>
                    <w:jc w:val="center"/>
                    <w:rPr>
                      <w:rFonts w:hint="default"/>
                      <w:b/>
                      <w:bCs/>
                      <w:szCs w:val="21"/>
                    </w:rPr>
                  </w:pPr>
                  <w:r>
                    <w:rPr>
                      <w:rFonts w:hint="eastAsia"/>
                      <w:b/>
                      <w:bCs/>
                      <w:szCs w:val="21"/>
                    </w:rPr>
                    <w:t>相关</w:t>
                  </w:r>
                  <w:r>
                    <w:rPr>
                      <w:rFonts w:hint="default"/>
                      <w:b/>
                      <w:bCs/>
                      <w:szCs w:val="21"/>
                    </w:rPr>
                    <w:t>要求</w:t>
                  </w:r>
                </w:p>
              </w:tc>
              <w:tc>
                <w:tcPr>
                  <w:tcW w:w="1720" w:type="pct"/>
                  <w:vAlign w:val="center"/>
                </w:tcPr>
                <w:p w14:paraId="13583FDF">
                  <w:pPr>
                    <w:keepNext w:val="0"/>
                    <w:keepLines w:val="0"/>
                    <w:suppressLineNumbers w:val="0"/>
                    <w:spacing w:before="0" w:beforeAutospacing="0" w:after="0" w:afterAutospacing="0"/>
                    <w:ind w:left="0" w:right="0"/>
                    <w:jc w:val="center"/>
                    <w:rPr>
                      <w:rFonts w:hint="default"/>
                      <w:b/>
                      <w:bCs/>
                      <w:szCs w:val="21"/>
                    </w:rPr>
                  </w:pPr>
                  <w:r>
                    <w:rPr>
                      <w:rFonts w:hint="default"/>
                      <w:b/>
                      <w:bCs/>
                      <w:szCs w:val="21"/>
                    </w:rPr>
                    <w:t>本项目</w:t>
                  </w:r>
                  <w:r>
                    <w:rPr>
                      <w:rFonts w:hint="eastAsia"/>
                      <w:b/>
                      <w:bCs/>
                      <w:szCs w:val="21"/>
                    </w:rPr>
                    <w:t>情况</w:t>
                  </w:r>
                </w:p>
              </w:tc>
              <w:tc>
                <w:tcPr>
                  <w:tcW w:w="602" w:type="pct"/>
                  <w:vAlign w:val="center"/>
                </w:tcPr>
                <w:p w14:paraId="5242BEDF">
                  <w:pPr>
                    <w:keepNext w:val="0"/>
                    <w:keepLines w:val="0"/>
                    <w:suppressLineNumbers w:val="0"/>
                    <w:spacing w:before="0" w:beforeAutospacing="0" w:after="0" w:afterAutospacing="0"/>
                    <w:ind w:left="0" w:right="0"/>
                    <w:jc w:val="center"/>
                    <w:rPr>
                      <w:rFonts w:hint="default"/>
                      <w:b/>
                      <w:bCs/>
                      <w:szCs w:val="21"/>
                    </w:rPr>
                  </w:pPr>
                  <w:r>
                    <w:rPr>
                      <w:rFonts w:hint="default"/>
                      <w:b/>
                      <w:bCs/>
                      <w:szCs w:val="21"/>
                    </w:rPr>
                    <w:t>相符性</w:t>
                  </w:r>
                </w:p>
              </w:tc>
            </w:tr>
            <w:tr w14:paraId="5ED41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416" w:type="pct"/>
                  <w:vAlign w:val="center"/>
                </w:tcPr>
                <w:p w14:paraId="4B1D5512">
                  <w:pPr>
                    <w:keepNext w:val="0"/>
                    <w:keepLines w:val="0"/>
                    <w:suppressLineNumbers w:val="0"/>
                    <w:spacing w:before="0" w:beforeAutospacing="0" w:after="0" w:afterAutospacing="0" w:line="260" w:lineRule="exact"/>
                    <w:ind w:left="0" w:right="0"/>
                    <w:jc w:val="center"/>
                    <w:rPr>
                      <w:rFonts w:hint="default"/>
                      <w:szCs w:val="21"/>
                    </w:rPr>
                  </w:pPr>
                  <w:r>
                    <w:rPr>
                      <w:rFonts w:hint="eastAsia"/>
                      <w:szCs w:val="21"/>
                    </w:rPr>
                    <w:t>1</w:t>
                  </w:r>
                </w:p>
              </w:tc>
              <w:tc>
                <w:tcPr>
                  <w:tcW w:w="2260" w:type="pct"/>
                  <w:vAlign w:val="center"/>
                </w:tcPr>
                <w:p w14:paraId="0E7EF56B">
                  <w:pPr>
                    <w:keepNext w:val="0"/>
                    <w:keepLines w:val="0"/>
                    <w:suppressLineNumbers w:val="0"/>
                    <w:spacing w:before="0" w:beforeAutospacing="0" w:after="0" w:afterAutospacing="0" w:line="260" w:lineRule="exact"/>
                    <w:ind w:left="0" w:right="0"/>
                    <w:jc w:val="left"/>
                    <w:rPr>
                      <w:rFonts w:hint="default"/>
                      <w:szCs w:val="21"/>
                    </w:rPr>
                  </w:pPr>
                  <w:r>
                    <w:rPr>
                      <w:rFonts w:hint="eastAsia"/>
                      <w:szCs w:val="21"/>
                    </w:rPr>
                    <w:t>三、重点任务</w:t>
                  </w:r>
                </w:p>
                <w:p w14:paraId="671DC3F3">
                  <w:pPr>
                    <w:keepNext w:val="0"/>
                    <w:keepLines w:val="0"/>
                    <w:suppressLineNumbers w:val="0"/>
                    <w:spacing w:before="0" w:beforeAutospacing="0" w:after="0" w:afterAutospacing="0" w:line="260" w:lineRule="exact"/>
                    <w:ind w:left="0" w:right="0"/>
                    <w:jc w:val="left"/>
                    <w:rPr>
                      <w:rFonts w:hint="default"/>
                      <w:szCs w:val="21"/>
                    </w:rPr>
                  </w:pPr>
                  <w:r>
                    <w:rPr>
                      <w:rFonts w:hint="eastAsia"/>
                      <w:szCs w:val="21"/>
                    </w:rPr>
                    <w:t>（一）加强替代管理。工业涂装、包装印刷、竹木加工、家具制造、汽车修理与维护、鞋和皮革制品制造等重点行业企业、要按照《低挥发性有机物含量原辅材料源头替代技术指引（试行）》（附件3）要求，开展低VOCs原辅材料和生产方式替代，优化管控台账及档案管理，持续提升环境管理水平。各地要根据《关于深入开展挥发性有机物污染治理工作的通知》（皖大气办﹝2021﹞4号）要求，在认真梳理2021至2023年度VOCs源头削减治理项目清单基础上，对涉VOCs重点行业和使用溶剂型涂料、油墨、胶粘剂、清洗剂以及涉及有机化工生产的产业集群进行再排查，将含VOCs原辅材料使用企业全面纳入源头替代企业排查台账（附件2），对具备替代条件的，加强调度指导；对无法替代的，要开展论证核实，严格把关并逐一说明。</w:t>
                  </w:r>
                </w:p>
              </w:tc>
              <w:tc>
                <w:tcPr>
                  <w:tcW w:w="1720" w:type="pct"/>
                  <w:vAlign w:val="center"/>
                </w:tcPr>
                <w:p w14:paraId="10743F96">
                  <w:pPr>
                    <w:keepNext w:val="0"/>
                    <w:keepLines w:val="0"/>
                    <w:suppressLineNumbers w:val="0"/>
                    <w:spacing w:before="0" w:beforeAutospacing="0" w:after="0" w:afterAutospacing="0" w:line="260" w:lineRule="exact"/>
                    <w:ind w:left="0" w:right="0"/>
                    <w:jc w:val="center"/>
                    <w:rPr>
                      <w:rFonts w:hint="default"/>
                      <w:b/>
                      <w:bCs/>
                      <w:szCs w:val="21"/>
                    </w:rPr>
                  </w:pPr>
                  <w:r>
                    <w:rPr>
                      <w:rFonts w:hint="eastAsia"/>
                      <w:szCs w:val="21"/>
                    </w:rPr>
                    <w:t>本项目</w:t>
                  </w:r>
                  <w:r>
                    <w:rPr>
                      <w:rFonts w:hint="eastAsia"/>
                      <w:szCs w:val="21"/>
                      <w:lang w:val="en-US" w:eastAsia="zh-CN"/>
                    </w:rPr>
                    <w:t>使用的硅胶</w:t>
                  </w:r>
                  <w:r>
                    <w:rPr>
                      <w:rFonts w:hint="eastAsia"/>
                      <w:szCs w:val="21"/>
                    </w:rPr>
                    <w:t>不属于溶剂型胶黏剂。</w:t>
                  </w:r>
                </w:p>
              </w:tc>
              <w:tc>
                <w:tcPr>
                  <w:tcW w:w="602" w:type="pct"/>
                  <w:vAlign w:val="center"/>
                </w:tcPr>
                <w:p w14:paraId="1E24714A">
                  <w:pPr>
                    <w:keepNext w:val="0"/>
                    <w:keepLines w:val="0"/>
                    <w:suppressLineNumbers w:val="0"/>
                    <w:spacing w:before="0" w:beforeAutospacing="0" w:after="0" w:afterAutospacing="0" w:line="260" w:lineRule="exact"/>
                    <w:ind w:left="0" w:right="0"/>
                    <w:jc w:val="center"/>
                    <w:rPr>
                      <w:rFonts w:hint="default"/>
                      <w:szCs w:val="21"/>
                    </w:rPr>
                  </w:pPr>
                  <w:r>
                    <w:rPr>
                      <w:rFonts w:hint="default"/>
                      <w:szCs w:val="21"/>
                    </w:rPr>
                    <w:t>符合</w:t>
                  </w:r>
                </w:p>
              </w:tc>
            </w:tr>
          </w:tbl>
          <w:p w14:paraId="19B957C1">
            <w:pPr>
              <w:pStyle w:val="51"/>
              <w:ind w:firstLine="482"/>
              <w:rPr>
                <w:rFonts w:hint="default" w:eastAsia="宋体"/>
                <w:b/>
                <w:bCs/>
                <w:lang w:val="en-US" w:eastAsia="zh-CN"/>
              </w:rPr>
            </w:pPr>
            <w:r>
              <w:rPr>
                <w:rFonts w:hint="eastAsia"/>
                <w:b w:val="0"/>
                <w:bCs w:val="0"/>
                <w:lang w:val="en-US" w:eastAsia="zh-CN"/>
              </w:rPr>
              <w:t>本项目使用的硅胶属于本体型胶粘剂，根据《安徽省低挥发性有机物含量原辅材料替代工作方案》附录A重点行业低VOCs含量原辅材料含量限值要求中</w:t>
            </w:r>
            <w:r>
              <w:rPr>
                <w:rFonts w:hint="eastAsia"/>
                <w:b w:val="0"/>
                <w:bCs w:val="0"/>
                <w:color w:val="FF0000"/>
                <w:lang w:val="en-US" w:eastAsia="zh-CN"/>
              </w:rPr>
              <w:t>A.5其他企业要求：其他涉VOCs涂装企业，要使用符合《胶粘剂挥发性有机化合物限量》(GB 33372-2020)规定的水基型、本体型胶粘剂产品。</w:t>
            </w:r>
            <w:r>
              <w:rPr>
                <w:rFonts w:hint="eastAsia"/>
                <w:b w:val="0"/>
                <w:bCs w:val="0"/>
                <w:lang w:val="en-US" w:eastAsia="zh-CN"/>
              </w:rPr>
              <w:t>本项目硅胶VOC含量与《胶粘剂挥发性有机化合物限量》(GB 33372-2020)对比情况见下表。</w:t>
            </w:r>
          </w:p>
          <w:p w14:paraId="1809E6A4">
            <w:pPr>
              <w:keepNext w:val="0"/>
              <w:keepLines w:val="0"/>
              <w:suppressLineNumbers w:val="0"/>
              <w:adjustRightInd w:val="0"/>
              <w:snapToGrid w:val="0"/>
              <w:spacing w:before="120" w:beforeLines="50" w:beforeAutospacing="0" w:after="0" w:afterAutospacing="0" w:line="360" w:lineRule="auto"/>
              <w:ind w:left="0" w:right="0"/>
              <w:jc w:val="center"/>
              <w:rPr>
                <w:rFonts w:hint="default"/>
                <w:b/>
                <w:color w:val="000000" w:themeColor="text1"/>
                <w:sz w:val="24"/>
                <w14:textFill>
                  <w14:solidFill>
                    <w14:schemeClr w14:val="tx1"/>
                  </w14:solidFill>
                </w14:textFill>
              </w:rPr>
            </w:pPr>
            <w:r>
              <w:rPr>
                <w:rFonts w:hint="eastAsia"/>
                <w:b/>
                <w:bCs/>
                <w:color w:val="000000" w:themeColor="text1"/>
                <w:kern w:val="0"/>
                <w:szCs w:val="21"/>
                <w14:textFill>
                  <w14:solidFill>
                    <w14:schemeClr w14:val="tx1"/>
                  </w14:solidFill>
                </w14:textFill>
              </w:rPr>
              <w:t>表</w:t>
            </w:r>
            <w:r>
              <w:rPr>
                <w:rFonts w:hint="eastAsia"/>
                <w:b/>
                <w:bCs/>
                <w:color w:val="000000" w:themeColor="text1"/>
                <w:kern w:val="0"/>
                <w:szCs w:val="21"/>
                <w:lang w:val="en-US" w:eastAsia="zh-CN"/>
                <w14:textFill>
                  <w14:solidFill>
                    <w14:schemeClr w14:val="tx1"/>
                  </w14:solidFill>
                </w14:textFill>
              </w:rPr>
              <w:t>1-14</w:t>
            </w:r>
            <w:r>
              <w:rPr>
                <w:rFonts w:hint="eastAsia"/>
                <w:b/>
                <w:bCs/>
                <w:color w:val="000000" w:themeColor="text1"/>
                <w:kern w:val="0"/>
                <w:szCs w:val="21"/>
                <w14:textFill>
                  <w14:solidFill>
                    <w14:schemeClr w14:val="tx1"/>
                  </w14:solidFill>
                </w14:textFill>
              </w:rPr>
              <w:t xml:space="preserve"> 项目</w:t>
            </w:r>
            <w:r>
              <w:rPr>
                <w:rFonts w:hint="eastAsia"/>
                <w:b/>
                <w:bCs/>
                <w:color w:val="000000" w:themeColor="text1"/>
                <w:kern w:val="0"/>
                <w:szCs w:val="21"/>
                <w:lang w:val="en-US" w:eastAsia="zh-CN"/>
                <w14:textFill>
                  <w14:solidFill>
                    <w14:schemeClr w14:val="tx1"/>
                  </w14:solidFill>
                </w14:textFill>
              </w:rPr>
              <w:t>硅胶</w:t>
            </w:r>
            <w:r>
              <w:rPr>
                <w:rFonts w:hint="eastAsia"/>
                <w:b/>
                <w:bCs/>
                <w:color w:val="000000" w:themeColor="text1"/>
                <w:kern w:val="0"/>
                <w:szCs w:val="21"/>
                <w14:textFill>
                  <w14:solidFill>
                    <w14:schemeClr w14:val="tx1"/>
                  </w14:solidFill>
                </w14:textFill>
              </w:rPr>
              <w:t>与相关标准要求对比情况一览表</w:t>
            </w:r>
          </w:p>
          <w:tbl>
            <w:tblPr>
              <w:tblStyle w:val="2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6"/>
              <w:gridCol w:w="1449"/>
              <w:gridCol w:w="1417"/>
              <w:gridCol w:w="3612"/>
            </w:tblGrid>
            <w:tr w14:paraId="03107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4" w:type="pct"/>
                  <w:vAlign w:val="center"/>
                </w:tcPr>
                <w:p w14:paraId="03FFC04B">
                  <w:pPr>
                    <w:keepNext w:val="0"/>
                    <w:keepLines w:val="0"/>
                    <w:suppressLineNumbers w:val="0"/>
                    <w:adjustRightInd w:val="0"/>
                    <w:snapToGrid w:val="0"/>
                    <w:spacing w:before="0" w:beforeAutospacing="0" w:after="0" w:afterAutospacing="0"/>
                    <w:ind w:left="0" w:right="0"/>
                    <w:jc w:val="center"/>
                    <w:rPr>
                      <w:rFonts w:hint="default"/>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名称</w:t>
                  </w:r>
                </w:p>
              </w:tc>
              <w:tc>
                <w:tcPr>
                  <w:tcW w:w="929" w:type="pct"/>
                  <w:vAlign w:val="center"/>
                </w:tcPr>
                <w:p w14:paraId="797F0735">
                  <w:pPr>
                    <w:keepNext w:val="0"/>
                    <w:keepLines w:val="0"/>
                    <w:suppressLineNumbers w:val="0"/>
                    <w:adjustRightInd w:val="0"/>
                    <w:snapToGrid w:val="0"/>
                    <w:spacing w:before="0" w:beforeAutospacing="0" w:after="0" w:afterAutospacing="0"/>
                    <w:ind w:left="0" w:right="0"/>
                    <w:jc w:val="center"/>
                    <w:rPr>
                      <w:rFonts w:hint="default"/>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VOC含量</w:t>
                  </w:r>
                </w:p>
              </w:tc>
              <w:tc>
                <w:tcPr>
                  <w:tcW w:w="909" w:type="pct"/>
                  <w:vAlign w:val="center"/>
                </w:tcPr>
                <w:p w14:paraId="1AC08D06">
                  <w:pPr>
                    <w:keepNext w:val="0"/>
                    <w:keepLines w:val="0"/>
                    <w:suppressLineNumbers w:val="0"/>
                    <w:adjustRightInd w:val="0"/>
                    <w:snapToGrid w:val="0"/>
                    <w:spacing w:before="0" w:beforeAutospacing="0" w:after="0" w:afterAutospacing="0"/>
                    <w:ind w:left="0" w:right="0"/>
                    <w:jc w:val="center"/>
                    <w:rPr>
                      <w:rFonts w:hint="default"/>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VOC限量值</w:t>
                  </w:r>
                </w:p>
              </w:tc>
              <w:tc>
                <w:tcPr>
                  <w:tcW w:w="2316" w:type="pct"/>
                  <w:vAlign w:val="center"/>
                </w:tcPr>
                <w:p w14:paraId="417B237D">
                  <w:pPr>
                    <w:keepNext w:val="0"/>
                    <w:keepLines w:val="0"/>
                    <w:suppressLineNumbers w:val="0"/>
                    <w:adjustRightInd w:val="0"/>
                    <w:snapToGrid w:val="0"/>
                    <w:spacing w:before="0" w:beforeAutospacing="0" w:after="0" w:afterAutospacing="0"/>
                    <w:ind w:left="0" w:right="0"/>
                    <w:jc w:val="center"/>
                    <w:rPr>
                      <w:rFonts w:hint="default"/>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标准</w:t>
                  </w:r>
                </w:p>
              </w:tc>
            </w:tr>
            <w:tr w14:paraId="4D64A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4" w:type="pct"/>
                  <w:vAlign w:val="center"/>
                </w:tcPr>
                <w:p w14:paraId="3D38FBA3">
                  <w:pPr>
                    <w:keepNext w:val="0"/>
                    <w:keepLines w:val="0"/>
                    <w:suppressLineNumbers w:val="0"/>
                    <w:adjustRightInd w:val="0"/>
                    <w:snapToGrid w:val="0"/>
                    <w:spacing w:before="0" w:beforeAutospacing="0" w:after="0" w:afterAutospacing="0"/>
                    <w:ind w:left="0" w:right="0"/>
                    <w:jc w:val="center"/>
                    <w:rPr>
                      <w:rFonts w:hint="eastAsia" w:eastAsia="宋体"/>
                      <w:bCs/>
                      <w:color w:val="000000" w:themeColor="text1"/>
                      <w:szCs w:val="21"/>
                      <w:lang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硅胶</w:t>
                  </w:r>
                </w:p>
              </w:tc>
              <w:tc>
                <w:tcPr>
                  <w:tcW w:w="929" w:type="pct"/>
                  <w:vAlign w:val="center"/>
                </w:tcPr>
                <w:p w14:paraId="453DEB44">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lang w:val="en-US" w:eastAsia="zh-CN"/>
                      <w14:textFill>
                        <w14:solidFill>
                          <w14:schemeClr w14:val="tx1"/>
                        </w14:solidFill>
                      </w14:textFill>
                    </w:rPr>
                    <w:t>12</w:t>
                  </w:r>
                  <w:r>
                    <w:rPr>
                      <w:rFonts w:hint="eastAsia"/>
                      <w:bCs/>
                      <w:color w:val="000000" w:themeColor="text1"/>
                      <w:szCs w:val="21"/>
                      <w14:textFill>
                        <w14:solidFill>
                          <w14:schemeClr w14:val="tx1"/>
                        </w14:solidFill>
                      </w14:textFill>
                    </w:rPr>
                    <w:t>g/kg</w:t>
                  </w:r>
                </w:p>
              </w:tc>
              <w:tc>
                <w:tcPr>
                  <w:tcW w:w="909" w:type="pct"/>
                  <w:vAlign w:val="center"/>
                </w:tcPr>
                <w:p w14:paraId="6430A2F7">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lang w:val="en-US" w:eastAsia="zh-CN"/>
                      <w14:textFill>
                        <w14:solidFill>
                          <w14:schemeClr w14:val="tx1"/>
                        </w14:solidFill>
                      </w14:textFill>
                    </w:rPr>
                    <w:t>10</w:t>
                  </w:r>
                  <w:r>
                    <w:rPr>
                      <w:rFonts w:hint="eastAsia"/>
                      <w:bCs/>
                      <w:color w:val="000000" w:themeColor="text1"/>
                      <w:szCs w:val="21"/>
                      <w14:textFill>
                        <w14:solidFill>
                          <w14:schemeClr w14:val="tx1"/>
                        </w14:solidFill>
                      </w14:textFill>
                    </w:rPr>
                    <w:t>0g/kg</w:t>
                  </w:r>
                </w:p>
              </w:tc>
              <w:tc>
                <w:tcPr>
                  <w:tcW w:w="2316" w:type="pct"/>
                  <w:vAlign w:val="center"/>
                </w:tcPr>
                <w:p w14:paraId="49341680">
                  <w:pPr>
                    <w:keepNext w:val="0"/>
                    <w:keepLines w:val="0"/>
                    <w:suppressLineNumbers w:val="0"/>
                    <w:adjustRightInd w:val="0"/>
                    <w:snapToGrid w:val="0"/>
                    <w:spacing w:before="0" w:beforeAutospacing="0" w:after="0" w:afterAutospacing="0"/>
                    <w:ind w:left="0" w:right="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14:textFill>
                        <w14:solidFill>
                          <w14:schemeClr w14:val="tx1"/>
                        </w14:solidFill>
                      </w14:textFill>
                    </w:rPr>
                    <w:t>《胶粘剂挥发性有机化合物限量》（GB33372-2020）中表3本体型胶黏剂VOC含量限值-</w:t>
                  </w:r>
                  <w:r>
                    <w:rPr>
                      <w:rFonts w:hint="eastAsia"/>
                      <w:bCs/>
                      <w:color w:val="000000" w:themeColor="text1"/>
                      <w:szCs w:val="21"/>
                      <w:lang w:val="en-US" w:eastAsia="zh-CN"/>
                      <w14:textFill>
                        <w14:solidFill>
                          <w14:schemeClr w14:val="tx1"/>
                        </w14:solidFill>
                      </w14:textFill>
                    </w:rPr>
                    <w:t>有机硅</w:t>
                  </w:r>
                  <w:r>
                    <w:rPr>
                      <w:rFonts w:hint="eastAsia"/>
                      <w:bCs/>
                      <w:color w:val="000000" w:themeColor="text1"/>
                      <w:szCs w:val="21"/>
                      <w14:textFill>
                        <w14:solidFill>
                          <w14:schemeClr w14:val="tx1"/>
                        </w14:solidFill>
                      </w14:textFill>
                    </w:rPr>
                    <w:t>类</w:t>
                  </w:r>
                  <w:r>
                    <w:rPr>
                      <w:rFonts w:hint="eastAsia"/>
                      <w:bCs/>
                      <w:color w:val="000000" w:themeColor="text1"/>
                      <w:szCs w:val="21"/>
                      <w:lang w:val="en-US" w:eastAsia="zh-CN"/>
                      <w14:textFill>
                        <w14:solidFill>
                          <w14:schemeClr w14:val="tx1"/>
                        </w14:solidFill>
                      </w14:textFill>
                    </w:rPr>
                    <w:t>-装配业</w:t>
                  </w:r>
                </w:p>
              </w:tc>
            </w:tr>
          </w:tbl>
          <w:p w14:paraId="3B007DF0">
            <w:pPr>
              <w:pStyle w:val="51"/>
              <w:keepNext w:val="0"/>
              <w:keepLines w:val="0"/>
              <w:suppressLineNumbers w:val="0"/>
              <w:spacing w:before="120" w:beforeLines="50" w:beforeAutospacing="0" w:after="0" w:afterAutospacing="0"/>
              <w:ind w:left="0" w:right="0"/>
              <w:rPr>
                <w:rFonts w:hint="eastAsia"/>
                <w:bCs/>
                <w:color w:val="FF0000"/>
                <w:szCs w:val="22"/>
                <w:lang w:val="en-US" w:eastAsia="zh-CN"/>
              </w:rPr>
            </w:pPr>
            <w:r>
              <w:rPr>
                <w:rFonts w:hint="eastAsia"/>
                <w:b w:val="0"/>
                <w:bCs w:val="0"/>
                <w:color w:val="000000" w:themeColor="text1"/>
                <w:lang w:val="en-US" w:eastAsia="zh-CN"/>
                <w14:textFill>
                  <w14:solidFill>
                    <w14:schemeClr w14:val="tx1"/>
                  </w14:solidFill>
                </w14:textFill>
              </w:rPr>
              <w:t>综上，本项目使用硅胶的VOC含量符合《安徽省低挥发性有机物含量原辅材料替代工作方案》中的要求。</w:t>
            </w:r>
          </w:p>
          <w:p w14:paraId="29573202">
            <w:pPr>
              <w:pStyle w:val="4"/>
              <w:suppressLineNumbers w:val="0"/>
              <w:spacing w:before="0" w:beforeAutospacing="0" w:after="0" w:afterAutospacing="0" w:line="360" w:lineRule="auto"/>
              <w:ind w:left="0" w:right="0" w:firstLine="482" w:firstLineChars="200"/>
              <w:rPr>
                <w:rFonts w:hint="default"/>
                <w:color w:val="FF0000"/>
                <w:sz w:val="24"/>
                <w:szCs w:val="22"/>
                <w:highlight w:val="yellow"/>
              </w:rPr>
            </w:pPr>
            <w:r>
              <w:rPr>
                <w:rFonts w:hint="eastAsia"/>
                <w:color w:val="FF0000"/>
                <w:sz w:val="24"/>
                <w:szCs w:val="22"/>
                <w:lang w:val="en-US" w:eastAsia="zh-CN"/>
              </w:rPr>
              <w:t>14</w:t>
            </w:r>
            <w:r>
              <w:rPr>
                <w:rFonts w:hint="eastAsia"/>
                <w:color w:val="FF0000"/>
                <w:sz w:val="24"/>
                <w:szCs w:val="22"/>
              </w:rPr>
              <w:t>、与《工业炉窑大气污染综合治理方案》</w:t>
            </w:r>
            <w:r>
              <w:rPr>
                <w:rFonts w:hint="eastAsia"/>
                <w:color w:val="FF0000"/>
                <w:sz w:val="24"/>
                <w:szCs w:val="22"/>
                <w:lang w:eastAsia="zh-CN"/>
              </w:rPr>
              <w:t>（</w:t>
            </w:r>
            <w:r>
              <w:rPr>
                <w:rFonts w:hint="eastAsia"/>
                <w:color w:val="FF0000"/>
                <w:sz w:val="24"/>
                <w:szCs w:val="22"/>
              </w:rPr>
              <w:t>环大气</w:t>
            </w:r>
            <w:r>
              <w:rPr>
                <w:rFonts w:hint="eastAsia"/>
                <w:color w:val="FF0000"/>
                <w:sz w:val="24"/>
                <w:szCs w:val="22"/>
                <w:lang w:eastAsia="zh-CN"/>
              </w:rPr>
              <w:t>（</w:t>
            </w:r>
            <w:r>
              <w:rPr>
                <w:rFonts w:hint="eastAsia"/>
                <w:color w:val="FF0000"/>
                <w:sz w:val="24"/>
                <w:szCs w:val="22"/>
              </w:rPr>
              <w:t>2019</w:t>
            </w:r>
            <w:r>
              <w:rPr>
                <w:rFonts w:hint="eastAsia"/>
                <w:color w:val="FF0000"/>
                <w:sz w:val="24"/>
                <w:szCs w:val="22"/>
                <w:lang w:eastAsia="zh-CN"/>
              </w:rPr>
              <w:t>）</w:t>
            </w:r>
            <w:r>
              <w:rPr>
                <w:rFonts w:hint="eastAsia"/>
                <w:color w:val="FF0000"/>
                <w:sz w:val="24"/>
                <w:szCs w:val="22"/>
              </w:rPr>
              <w:t>56号</w:t>
            </w:r>
            <w:r>
              <w:rPr>
                <w:rFonts w:hint="eastAsia"/>
                <w:color w:val="FF0000"/>
                <w:sz w:val="24"/>
                <w:szCs w:val="22"/>
                <w:lang w:eastAsia="zh-CN"/>
              </w:rPr>
              <w:t>）</w:t>
            </w:r>
            <w:r>
              <w:rPr>
                <w:rFonts w:hint="eastAsia"/>
                <w:color w:val="FF0000"/>
                <w:sz w:val="24"/>
                <w:szCs w:val="22"/>
              </w:rPr>
              <w:t>的符合性分析</w:t>
            </w:r>
          </w:p>
          <w:p w14:paraId="7964759B">
            <w:pPr>
              <w:pStyle w:val="51"/>
              <w:ind w:firstLine="482"/>
              <w:rPr>
                <w:rFonts w:hint="eastAsia" w:eastAsia="宋体"/>
                <w:b w:val="0"/>
                <w:bCs w:val="0"/>
                <w:color w:val="FF0000"/>
                <w:sz w:val="24"/>
                <w:szCs w:val="24"/>
                <w:lang w:eastAsia="zh-CN"/>
              </w:rPr>
            </w:pPr>
            <w:r>
              <w:rPr>
                <w:rFonts w:hint="eastAsia"/>
                <w:b w:val="0"/>
                <w:bCs w:val="0"/>
                <w:color w:val="FF0000"/>
                <w:sz w:val="24"/>
                <w:szCs w:val="24"/>
              </w:rPr>
              <w:t>2019年7月1日，由生态环境部、发改委、工信部和财政部联合发布了《关于印发工业炉窑大气污染综合治理方案的通知》(环大气(2019)56号)。根据该通知后附件1工业炉窑分类表可知，本项目</w:t>
            </w:r>
            <w:r>
              <w:rPr>
                <w:rFonts w:hint="eastAsia"/>
                <w:b w:val="0"/>
                <w:bCs w:val="0"/>
                <w:color w:val="FF0000"/>
                <w:sz w:val="24"/>
                <w:szCs w:val="24"/>
                <w:lang w:val="en-US" w:eastAsia="zh-CN"/>
              </w:rPr>
              <w:t>隧道炉</w:t>
            </w:r>
            <w:r>
              <w:rPr>
                <w:rFonts w:hint="eastAsia"/>
                <w:b w:val="0"/>
                <w:bCs w:val="0"/>
                <w:color w:val="FF0000"/>
                <w:sz w:val="24"/>
                <w:szCs w:val="24"/>
              </w:rPr>
              <w:t>属于该通知中工业炉窑的热处理炉范围。项目与工业炉窑大气污染综合治理方案符合性分析见下表</w:t>
            </w:r>
            <w:r>
              <w:rPr>
                <w:rFonts w:hint="eastAsia"/>
                <w:b w:val="0"/>
                <w:bCs w:val="0"/>
                <w:color w:val="FF0000"/>
                <w:sz w:val="24"/>
                <w:szCs w:val="24"/>
                <w:lang w:eastAsia="zh-CN"/>
              </w:rPr>
              <w:t>。</w:t>
            </w:r>
          </w:p>
          <w:p w14:paraId="14E32E1D">
            <w:pPr>
              <w:keepNext w:val="0"/>
              <w:keepLines w:val="0"/>
              <w:widowControl/>
              <w:suppressLineNumbers w:val="0"/>
              <w:spacing w:before="0" w:beforeAutospacing="0" w:after="0" w:afterAutospacing="0" w:line="360" w:lineRule="auto"/>
              <w:ind w:left="0" w:right="0"/>
              <w:jc w:val="center"/>
              <w:rPr>
                <w:rFonts w:hint="default" w:eastAsia="黑体"/>
                <w:color w:val="FF0000"/>
                <w:sz w:val="24"/>
              </w:rPr>
            </w:pPr>
            <w:r>
              <w:rPr>
                <w:rFonts w:hint="default"/>
                <w:b/>
                <w:bCs/>
                <w:color w:val="FF0000"/>
                <w:szCs w:val="21"/>
              </w:rPr>
              <w:t>表1-</w:t>
            </w:r>
            <w:r>
              <w:rPr>
                <w:rFonts w:hint="eastAsia"/>
                <w:b/>
                <w:bCs/>
                <w:color w:val="FF0000"/>
                <w:szCs w:val="21"/>
                <w:lang w:val="en-US" w:eastAsia="zh-CN"/>
              </w:rPr>
              <w:t xml:space="preserve">15 </w:t>
            </w:r>
            <w:r>
              <w:rPr>
                <w:rFonts w:hint="default"/>
                <w:b/>
                <w:bCs/>
                <w:color w:val="FF0000"/>
                <w:szCs w:val="21"/>
              </w:rPr>
              <w:t xml:space="preserve"> 项目与</w:t>
            </w:r>
            <w:r>
              <w:rPr>
                <w:rFonts w:hint="eastAsia"/>
                <w:b/>
                <w:bCs/>
                <w:color w:val="FF0000"/>
                <w:szCs w:val="21"/>
              </w:rPr>
              <w:t>环大气(2019)56号</w:t>
            </w:r>
            <w:r>
              <w:rPr>
                <w:rFonts w:hint="default"/>
                <w:b/>
                <w:bCs/>
                <w:color w:val="FF0000"/>
                <w:szCs w:val="21"/>
              </w:rPr>
              <w:t>的符合性分析</w:t>
            </w:r>
          </w:p>
          <w:tbl>
            <w:tblPr>
              <w:tblStyle w:val="2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811"/>
              <w:gridCol w:w="2972"/>
              <w:gridCol w:w="3476"/>
              <w:gridCol w:w="542"/>
            </w:tblGrid>
            <w:tr w14:paraId="5F588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520" w:type="pct"/>
                  <w:vAlign w:val="center"/>
                </w:tcPr>
                <w:p w14:paraId="26E180B4">
                  <w:pPr>
                    <w:keepNext w:val="0"/>
                    <w:keepLines w:val="0"/>
                    <w:suppressLineNumbers w:val="0"/>
                    <w:spacing w:before="0" w:beforeAutospacing="0" w:after="0" w:afterAutospacing="0" w:line="260" w:lineRule="exact"/>
                    <w:ind w:left="0" w:right="0"/>
                    <w:jc w:val="center"/>
                    <w:rPr>
                      <w:rFonts w:hint="default"/>
                      <w:b/>
                      <w:bCs/>
                      <w:color w:val="FF0000"/>
                      <w:szCs w:val="21"/>
                    </w:rPr>
                  </w:pPr>
                  <w:r>
                    <w:rPr>
                      <w:rFonts w:hint="eastAsia"/>
                      <w:b/>
                      <w:bCs/>
                      <w:color w:val="FF0000"/>
                      <w:szCs w:val="21"/>
                    </w:rPr>
                    <w:t>序号</w:t>
                  </w:r>
                </w:p>
              </w:tc>
              <w:tc>
                <w:tcPr>
                  <w:tcW w:w="1904" w:type="pct"/>
                  <w:vAlign w:val="center"/>
                </w:tcPr>
                <w:p w14:paraId="116A5127">
                  <w:pPr>
                    <w:keepNext w:val="0"/>
                    <w:keepLines w:val="0"/>
                    <w:suppressLineNumbers w:val="0"/>
                    <w:spacing w:before="0" w:beforeAutospacing="0" w:after="0" w:afterAutospacing="0" w:line="260" w:lineRule="exact"/>
                    <w:ind w:left="0" w:right="0"/>
                    <w:jc w:val="center"/>
                    <w:rPr>
                      <w:rFonts w:hint="default"/>
                      <w:b/>
                      <w:bCs/>
                      <w:color w:val="FF0000"/>
                      <w:szCs w:val="21"/>
                    </w:rPr>
                  </w:pPr>
                  <w:r>
                    <w:rPr>
                      <w:rFonts w:hint="eastAsia"/>
                      <w:b/>
                      <w:bCs/>
                      <w:color w:val="FF0000"/>
                      <w:szCs w:val="21"/>
                    </w:rPr>
                    <w:t>相关</w:t>
                  </w:r>
                  <w:r>
                    <w:rPr>
                      <w:rFonts w:hint="default"/>
                      <w:b/>
                      <w:bCs/>
                      <w:color w:val="FF0000"/>
                      <w:szCs w:val="21"/>
                    </w:rPr>
                    <w:t>要求</w:t>
                  </w:r>
                </w:p>
              </w:tc>
              <w:tc>
                <w:tcPr>
                  <w:tcW w:w="2227" w:type="pct"/>
                  <w:vAlign w:val="center"/>
                </w:tcPr>
                <w:p w14:paraId="75D631CD">
                  <w:pPr>
                    <w:keepNext w:val="0"/>
                    <w:keepLines w:val="0"/>
                    <w:suppressLineNumbers w:val="0"/>
                    <w:spacing w:before="0" w:beforeAutospacing="0" w:after="0" w:afterAutospacing="0"/>
                    <w:ind w:left="0" w:right="0"/>
                    <w:jc w:val="center"/>
                    <w:rPr>
                      <w:rFonts w:hint="default"/>
                      <w:b/>
                      <w:bCs/>
                      <w:color w:val="FF0000"/>
                      <w:szCs w:val="21"/>
                    </w:rPr>
                  </w:pPr>
                  <w:r>
                    <w:rPr>
                      <w:rFonts w:hint="default"/>
                      <w:b/>
                      <w:bCs/>
                      <w:color w:val="FF0000"/>
                      <w:szCs w:val="21"/>
                    </w:rPr>
                    <w:t>本项目</w:t>
                  </w:r>
                  <w:r>
                    <w:rPr>
                      <w:rFonts w:hint="eastAsia"/>
                      <w:b/>
                      <w:bCs/>
                      <w:color w:val="FF0000"/>
                      <w:szCs w:val="21"/>
                    </w:rPr>
                    <w:t>情况</w:t>
                  </w:r>
                </w:p>
              </w:tc>
              <w:tc>
                <w:tcPr>
                  <w:tcW w:w="347" w:type="pct"/>
                  <w:vAlign w:val="center"/>
                </w:tcPr>
                <w:p w14:paraId="3719AA69">
                  <w:pPr>
                    <w:keepNext w:val="0"/>
                    <w:keepLines w:val="0"/>
                    <w:suppressLineNumbers w:val="0"/>
                    <w:spacing w:before="0" w:beforeAutospacing="0" w:after="0" w:afterAutospacing="0"/>
                    <w:ind w:left="0" w:right="0"/>
                    <w:jc w:val="center"/>
                    <w:rPr>
                      <w:rFonts w:hint="default"/>
                      <w:b/>
                      <w:bCs/>
                      <w:color w:val="FF0000"/>
                      <w:szCs w:val="21"/>
                    </w:rPr>
                  </w:pPr>
                  <w:r>
                    <w:rPr>
                      <w:rFonts w:hint="default"/>
                      <w:b/>
                      <w:bCs/>
                      <w:color w:val="FF0000"/>
                      <w:szCs w:val="21"/>
                    </w:rPr>
                    <w:t>相符性</w:t>
                  </w:r>
                </w:p>
              </w:tc>
            </w:tr>
            <w:tr w14:paraId="64734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520" w:type="pct"/>
                  <w:vAlign w:val="center"/>
                </w:tcPr>
                <w:p w14:paraId="60CDDBDD">
                  <w:pPr>
                    <w:keepNext w:val="0"/>
                    <w:keepLines w:val="0"/>
                    <w:suppressLineNumbers w:val="0"/>
                    <w:spacing w:before="0" w:beforeAutospacing="0" w:after="0" w:afterAutospacing="0" w:line="260" w:lineRule="exact"/>
                    <w:ind w:left="0" w:right="0"/>
                    <w:jc w:val="center"/>
                    <w:rPr>
                      <w:rFonts w:hint="default"/>
                      <w:color w:val="FF0000"/>
                      <w:szCs w:val="21"/>
                    </w:rPr>
                  </w:pPr>
                  <w:r>
                    <w:rPr>
                      <w:rFonts w:hint="eastAsia"/>
                      <w:color w:val="FF0000"/>
                      <w:szCs w:val="21"/>
                    </w:rPr>
                    <w:t>1</w:t>
                  </w:r>
                </w:p>
              </w:tc>
              <w:tc>
                <w:tcPr>
                  <w:tcW w:w="1904" w:type="pct"/>
                  <w:shd w:val="clear" w:color="auto" w:fill="auto"/>
                  <w:vAlign w:val="center"/>
                </w:tcPr>
                <w:p w14:paraId="18C7D4AA">
                  <w:pPr>
                    <w:keepNext w:val="0"/>
                    <w:keepLines w:val="0"/>
                    <w:widowControl/>
                    <w:suppressLineNumbers w:val="0"/>
                    <w:jc w:val="center"/>
                    <w:rPr>
                      <w:rFonts w:hint="default" w:ascii="Times New Roman" w:hAnsi="Times New Roman" w:eastAsia="宋体" w:cs="Times New Roman"/>
                      <w:snapToGrid/>
                      <w:color w:val="FF0000"/>
                      <w:kern w:val="2"/>
                      <w:sz w:val="21"/>
                      <w:szCs w:val="21"/>
                      <w:highlight w:val="none"/>
                      <w:lang w:val="en-US" w:eastAsia="zh-CN" w:bidi="ar-SA"/>
                    </w:rPr>
                  </w:pPr>
                  <w:r>
                    <w:rPr>
                      <w:rFonts w:hint="default" w:ascii="Times New Roman" w:hAnsi="Times New Roman" w:eastAsia="宋体" w:cs="Times New Roman"/>
                      <w:snapToGrid w:val="0"/>
                      <w:color w:val="FF0000"/>
                      <w:kern w:val="0"/>
                      <w:sz w:val="21"/>
                      <w:szCs w:val="21"/>
                      <w:highlight w:val="none"/>
                      <w:lang w:val="en-US" w:eastAsia="zh-CN" w:bidi="ar"/>
                    </w:rPr>
                    <w:t>（一）加大产业结构调整力度。严格建设项目环境准入。新建涉工业炉窑的建设项目，原则上要入园区，配套建设高效环保治理设施。重点区域严格控制涉工业炉窑建设项目，严禁新增钢铁、焦化、电解铝、铸造、水泥和平板玻璃等产能；严格执行钢铁、水泥、平板玻璃等行业产能置换实施办法；原则上禁止新建燃料类煤气发生炉（园区现有企业统一建设的清洁煤制气中心除外）。加大落后产能和不达标工业炉窑淘汰力度。分行业清理《产业结构调整指导目录》淘汰类工业炉窑。天津、河北、山西、江苏、山东等地要按时完成各地已出台的钢铁、焦化、化工等行业产业结构调整任务。鼓励各地制定更加严格的环保标准，进一步促进产业结构调整。对热效率低下、敞开未封闭，装备简易落后、自动化程度低，无组织排放突出，以及无治理设施或治理设施工艺落后等严重污染环境的工业炉窑，依法责令停业关闭。</w:t>
                  </w:r>
                </w:p>
              </w:tc>
              <w:tc>
                <w:tcPr>
                  <w:tcW w:w="2227" w:type="pct"/>
                  <w:vAlign w:val="center"/>
                </w:tcPr>
                <w:p w14:paraId="73CD449A">
                  <w:pPr>
                    <w:keepNext w:val="0"/>
                    <w:keepLines w:val="0"/>
                    <w:suppressLineNumbers w:val="0"/>
                    <w:spacing w:before="0" w:beforeAutospacing="0" w:after="0" w:afterAutospacing="0" w:line="260" w:lineRule="exact"/>
                    <w:ind w:left="0" w:right="0"/>
                    <w:jc w:val="center"/>
                    <w:rPr>
                      <w:rFonts w:hint="default" w:eastAsia="宋体"/>
                      <w:b/>
                      <w:bCs/>
                      <w:color w:val="FF0000"/>
                      <w:szCs w:val="21"/>
                      <w:lang w:val="en-US" w:eastAsia="zh-CN"/>
                    </w:rPr>
                  </w:pPr>
                  <w:r>
                    <w:rPr>
                      <w:rFonts w:hint="eastAsia"/>
                      <w:color w:val="FF0000"/>
                      <w:szCs w:val="21"/>
                    </w:rPr>
                    <w:t>本项目位于池州市皖江江南新兴产业集中区众飞产业园，本项目属于显示器件制造</w:t>
                  </w:r>
                  <w:r>
                    <w:rPr>
                      <w:rFonts w:hint="eastAsia"/>
                      <w:color w:val="FF0000"/>
                      <w:szCs w:val="21"/>
                      <w:lang w:val="en-US" w:eastAsia="zh-CN"/>
                    </w:rPr>
                    <w:t>和电光源制造</w:t>
                  </w:r>
                  <w:r>
                    <w:rPr>
                      <w:rFonts w:hint="eastAsia"/>
                      <w:color w:val="FF0000"/>
                      <w:szCs w:val="21"/>
                    </w:rPr>
                    <w:t>，不属于新增钢铁、焦化、电解铝、铸造、水泥和平板玻璃等产能。</w:t>
                  </w:r>
                </w:p>
              </w:tc>
              <w:tc>
                <w:tcPr>
                  <w:tcW w:w="347" w:type="pct"/>
                  <w:vAlign w:val="center"/>
                </w:tcPr>
                <w:p w14:paraId="30B31DF0">
                  <w:pPr>
                    <w:keepNext w:val="0"/>
                    <w:keepLines w:val="0"/>
                    <w:suppressLineNumbers w:val="0"/>
                    <w:spacing w:before="0" w:beforeAutospacing="0" w:after="0" w:afterAutospacing="0" w:line="260" w:lineRule="exact"/>
                    <w:ind w:left="0" w:right="0"/>
                    <w:jc w:val="center"/>
                    <w:rPr>
                      <w:rFonts w:hint="default"/>
                      <w:color w:val="FF0000"/>
                      <w:szCs w:val="21"/>
                    </w:rPr>
                  </w:pPr>
                  <w:r>
                    <w:rPr>
                      <w:rFonts w:hint="default"/>
                      <w:color w:val="FF0000"/>
                      <w:szCs w:val="21"/>
                    </w:rPr>
                    <w:t>符合</w:t>
                  </w:r>
                </w:p>
              </w:tc>
            </w:tr>
            <w:tr w14:paraId="51217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520" w:type="pct"/>
                  <w:vAlign w:val="center"/>
                </w:tcPr>
                <w:p w14:paraId="3E97B917">
                  <w:pPr>
                    <w:keepNext w:val="0"/>
                    <w:keepLines w:val="0"/>
                    <w:suppressLineNumbers w:val="0"/>
                    <w:spacing w:before="0" w:beforeAutospacing="0" w:after="0" w:afterAutospacing="0" w:line="260" w:lineRule="exact"/>
                    <w:ind w:left="0" w:right="0"/>
                    <w:jc w:val="center"/>
                    <w:rPr>
                      <w:rFonts w:hint="eastAsia" w:eastAsia="宋体"/>
                      <w:color w:val="FF0000"/>
                      <w:szCs w:val="21"/>
                      <w:lang w:val="en-US" w:eastAsia="zh-CN"/>
                    </w:rPr>
                  </w:pPr>
                  <w:r>
                    <w:rPr>
                      <w:rFonts w:hint="eastAsia"/>
                      <w:color w:val="FF0000"/>
                      <w:szCs w:val="21"/>
                      <w:lang w:val="en-US" w:eastAsia="zh-CN"/>
                    </w:rPr>
                    <w:t>2</w:t>
                  </w:r>
                </w:p>
              </w:tc>
              <w:tc>
                <w:tcPr>
                  <w:tcW w:w="1904" w:type="pct"/>
                  <w:shd w:val="clear" w:color="auto" w:fill="auto"/>
                  <w:vAlign w:val="center"/>
                </w:tcPr>
                <w:p w14:paraId="22E38C25">
                  <w:pPr>
                    <w:keepNext w:val="0"/>
                    <w:keepLines w:val="0"/>
                    <w:widowControl/>
                    <w:suppressLineNumbers w:val="0"/>
                    <w:jc w:val="left"/>
                    <w:rPr>
                      <w:rFonts w:hint="eastAsia" w:ascii="Times New Roman" w:hAnsi="Times New Roman" w:eastAsia="宋体" w:cs="Times New Roman"/>
                      <w:snapToGrid/>
                      <w:color w:val="FF0000"/>
                      <w:kern w:val="2"/>
                      <w:sz w:val="21"/>
                      <w:szCs w:val="21"/>
                      <w:highlight w:val="none"/>
                      <w:lang w:val="en-US" w:eastAsia="zh-CN" w:bidi="ar-SA"/>
                    </w:rPr>
                  </w:pPr>
                  <w:r>
                    <w:rPr>
                      <w:rFonts w:hint="default" w:ascii="Times New Roman" w:hAnsi="Times New Roman" w:eastAsia="宋体" w:cs="Times New Roman"/>
                      <w:snapToGrid w:val="0"/>
                      <w:color w:val="FF0000"/>
                      <w:kern w:val="0"/>
                      <w:sz w:val="21"/>
                      <w:szCs w:val="21"/>
                      <w:highlight w:val="none"/>
                      <w:lang w:val="en-US" w:eastAsia="zh-CN" w:bidi="ar"/>
                    </w:rPr>
                    <w:t>（二）加快燃料清洁低碳化替代。对以煤、石油焦、渣油、重油等为燃料的工业炉窑，加快使用清洁低碳能源以及利用工厂余热、电厂热力等进行替代。重点区域禁止掺烧高硫石油焦（硫含量大于3%）。玻璃行业全面禁止掺烧高硫石油焦。加大煤气发生炉淘汰力度。2020年年底前，重点区域淘汰炉膛直径3米以下燃料类煤气发生炉；集中使用煤气发生炉的工业园区，暂不具备改用天然气条件的，原则上应建设统一的清洁煤制气中心。加快淘汰燃煤工业炉窑。重点区域取缔燃煤热风炉，基本淘汰热电联产供热管网覆盖范围内的燃煤加热、烘干炉（窑）。加快推动铸造（10 吨/小时及以下）、岩棉等行业冲天炉改为电炉。</w:t>
                  </w:r>
                </w:p>
              </w:tc>
              <w:tc>
                <w:tcPr>
                  <w:tcW w:w="2227" w:type="pct"/>
                  <w:vAlign w:val="center"/>
                </w:tcPr>
                <w:p w14:paraId="6EA54733">
                  <w:pPr>
                    <w:keepNext w:val="0"/>
                    <w:keepLines w:val="0"/>
                    <w:suppressLineNumbers w:val="0"/>
                    <w:spacing w:before="0" w:beforeAutospacing="0" w:after="0" w:afterAutospacing="0" w:line="260" w:lineRule="exact"/>
                    <w:ind w:left="0" w:right="0"/>
                    <w:jc w:val="center"/>
                    <w:rPr>
                      <w:rFonts w:hint="eastAsia"/>
                      <w:color w:val="FF0000"/>
                      <w:szCs w:val="21"/>
                    </w:rPr>
                  </w:pPr>
                  <w:r>
                    <w:rPr>
                      <w:rFonts w:hint="eastAsia"/>
                      <w:color w:val="FF0000"/>
                      <w:szCs w:val="21"/>
                    </w:rPr>
                    <w:t>项目</w:t>
                  </w:r>
                  <w:r>
                    <w:rPr>
                      <w:rFonts w:hint="eastAsia"/>
                      <w:color w:val="FF0000"/>
                      <w:szCs w:val="21"/>
                      <w:lang w:val="en-US" w:eastAsia="zh-CN"/>
                    </w:rPr>
                    <w:t>隧道炉</w:t>
                  </w:r>
                  <w:r>
                    <w:rPr>
                      <w:rFonts w:hint="eastAsia"/>
                      <w:color w:val="FF0000"/>
                      <w:szCs w:val="21"/>
                    </w:rPr>
                    <w:t>采用电</w:t>
                  </w:r>
                  <w:r>
                    <w:rPr>
                      <w:rFonts w:hint="eastAsia"/>
                      <w:color w:val="FF0000"/>
                      <w:szCs w:val="21"/>
                      <w:lang w:val="en-US" w:eastAsia="zh-CN"/>
                    </w:rPr>
                    <w:t>能</w:t>
                  </w:r>
                  <w:r>
                    <w:rPr>
                      <w:rFonts w:hint="eastAsia"/>
                      <w:color w:val="FF0000"/>
                      <w:szCs w:val="21"/>
                    </w:rPr>
                    <w:t>，</w:t>
                  </w:r>
                  <w:r>
                    <w:rPr>
                      <w:rFonts w:hint="eastAsia"/>
                      <w:color w:val="FF0000"/>
                      <w:szCs w:val="21"/>
                      <w:lang w:val="en-US" w:eastAsia="zh-CN"/>
                    </w:rPr>
                    <w:t>属于</w:t>
                  </w:r>
                  <w:r>
                    <w:rPr>
                      <w:rFonts w:hint="eastAsia"/>
                      <w:color w:val="FF0000"/>
                      <w:szCs w:val="21"/>
                    </w:rPr>
                    <w:t>清洁能源。</w:t>
                  </w:r>
                </w:p>
              </w:tc>
              <w:tc>
                <w:tcPr>
                  <w:tcW w:w="347" w:type="pct"/>
                  <w:vAlign w:val="center"/>
                </w:tcPr>
                <w:p w14:paraId="798D82FB">
                  <w:pPr>
                    <w:keepNext w:val="0"/>
                    <w:keepLines w:val="0"/>
                    <w:suppressLineNumbers w:val="0"/>
                    <w:spacing w:before="0" w:beforeAutospacing="0" w:after="0" w:afterAutospacing="0" w:line="260" w:lineRule="exact"/>
                    <w:ind w:left="0" w:right="0"/>
                    <w:jc w:val="center"/>
                    <w:rPr>
                      <w:rFonts w:hint="eastAsia" w:eastAsia="宋体"/>
                      <w:color w:val="FF0000"/>
                      <w:szCs w:val="21"/>
                      <w:lang w:val="en-US" w:eastAsia="zh-CN"/>
                    </w:rPr>
                  </w:pPr>
                  <w:r>
                    <w:rPr>
                      <w:rFonts w:hint="eastAsia"/>
                      <w:color w:val="FF0000"/>
                      <w:szCs w:val="21"/>
                      <w:lang w:val="en-US" w:eastAsia="zh-CN"/>
                    </w:rPr>
                    <w:t>符合</w:t>
                  </w:r>
                </w:p>
              </w:tc>
            </w:tr>
            <w:tr w14:paraId="60326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1" w:type="dxa"/>
                  <w:bottom w:w="0" w:type="dxa"/>
                  <w:right w:w="51" w:type="dxa"/>
                </w:tblCellMar>
              </w:tblPrEx>
              <w:trPr>
                <w:trHeight w:val="23" w:hRule="atLeast"/>
                <w:jc w:val="center"/>
              </w:trPr>
              <w:tc>
                <w:tcPr>
                  <w:tcW w:w="520" w:type="pct"/>
                  <w:vAlign w:val="center"/>
                </w:tcPr>
                <w:p w14:paraId="274DEFAA">
                  <w:pPr>
                    <w:keepNext w:val="0"/>
                    <w:keepLines w:val="0"/>
                    <w:suppressLineNumbers w:val="0"/>
                    <w:spacing w:before="0" w:beforeAutospacing="0" w:after="0" w:afterAutospacing="0" w:line="260" w:lineRule="exact"/>
                    <w:ind w:left="0" w:right="0"/>
                    <w:jc w:val="center"/>
                    <w:rPr>
                      <w:rFonts w:hint="default"/>
                      <w:color w:val="FF0000"/>
                      <w:szCs w:val="21"/>
                      <w:lang w:val="en-US" w:eastAsia="zh-CN"/>
                    </w:rPr>
                  </w:pPr>
                  <w:r>
                    <w:rPr>
                      <w:rFonts w:hint="eastAsia"/>
                      <w:color w:val="FF0000"/>
                      <w:szCs w:val="21"/>
                      <w:lang w:val="en-US" w:eastAsia="zh-CN"/>
                    </w:rPr>
                    <w:t>3</w:t>
                  </w:r>
                </w:p>
              </w:tc>
              <w:tc>
                <w:tcPr>
                  <w:tcW w:w="1904" w:type="pct"/>
                  <w:shd w:val="clear" w:color="auto" w:fill="auto"/>
                  <w:vAlign w:val="center"/>
                </w:tcPr>
                <w:p w14:paraId="0E58C4B9">
                  <w:pPr>
                    <w:keepNext w:val="0"/>
                    <w:keepLines w:val="0"/>
                    <w:widowControl/>
                    <w:suppressLineNumbers w:val="0"/>
                    <w:jc w:val="left"/>
                    <w:rPr>
                      <w:rFonts w:hint="eastAsia" w:ascii="Times New Roman" w:hAnsi="Times New Roman" w:eastAsia="宋体" w:cs="Times New Roman"/>
                      <w:snapToGrid/>
                      <w:color w:val="FF0000"/>
                      <w:kern w:val="2"/>
                      <w:sz w:val="21"/>
                      <w:szCs w:val="21"/>
                      <w:highlight w:val="none"/>
                      <w:lang w:val="en-US" w:eastAsia="zh-CN" w:bidi="ar-SA"/>
                    </w:rPr>
                  </w:pPr>
                  <w:r>
                    <w:rPr>
                      <w:rFonts w:hint="default" w:ascii="Times New Roman" w:hAnsi="Times New Roman" w:eastAsia="宋体" w:cs="Times New Roman"/>
                      <w:snapToGrid w:val="0"/>
                      <w:color w:val="FF0000"/>
                      <w:kern w:val="0"/>
                      <w:sz w:val="21"/>
                      <w:szCs w:val="21"/>
                      <w:highlight w:val="none"/>
                      <w:lang w:val="en-US" w:eastAsia="zh-CN" w:bidi="ar"/>
                    </w:rPr>
                    <w:t>（三）实施污染深度治理。推进工业炉窑全面达标排放。已有行业排放标准的工业炉窑，严格执行行业排放标准相关规定，配套建设高效脱硫脱硝除尘设施，确保稳定达标排放。已制定更严格地方排放标准的，按地方标准执行。重点区域钢铁、水泥、焦化、石化、化工、有色等行业，二氧化硫、氮氧化物、颗粒物、挥发性有机物（VOCs）排放全面执行大气污染物特别排放限值。已核发排污许可证的，应严格执行许可要求。</w:t>
                  </w:r>
                </w:p>
              </w:tc>
              <w:tc>
                <w:tcPr>
                  <w:tcW w:w="2227" w:type="pct"/>
                  <w:vAlign w:val="center"/>
                </w:tcPr>
                <w:p w14:paraId="3BC2D845">
                  <w:pPr>
                    <w:keepNext w:val="0"/>
                    <w:keepLines w:val="0"/>
                    <w:suppressLineNumbers w:val="0"/>
                    <w:spacing w:before="0" w:beforeAutospacing="0" w:after="0" w:afterAutospacing="0" w:line="260" w:lineRule="exact"/>
                    <w:ind w:left="0" w:right="0"/>
                    <w:jc w:val="center"/>
                    <w:rPr>
                      <w:rFonts w:hint="eastAsia"/>
                      <w:color w:val="FF0000"/>
                      <w:szCs w:val="21"/>
                    </w:rPr>
                  </w:pPr>
                  <w:r>
                    <w:rPr>
                      <w:rFonts w:hint="eastAsia"/>
                      <w:color w:val="FF0000"/>
                      <w:szCs w:val="21"/>
                    </w:rPr>
                    <w:t>本项目生产废气经集气管道和集气罩收集后，通过“过滤棉+二级活性炭吸附装置”处理后由25m高排气筒DA001排放，污染物排放量较小，均能实现达标排放。</w:t>
                  </w:r>
                </w:p>
              </w:tc>
              <w:tc>
                <w:tcPr>
                  <w:tcW w:w="347" w:type="pct"/>
                  <w:vAlign w:val="center"/>
                </w:tcPr>
                <w:p w14:paraId="0F289F3C">
                  <w:pPr>
                    <w:keepNext w:val="0"/>
                    <w:keepLines w:val="0"/>
                    <w:suppressLineNumbers w:val="0"/>
                    <w:spacing w:before="0" w:beforeAutospacing="0" w:after="0" w:afterAutospacing="0" w:line="260" w:lineRule="exact"/>
                    <w:ind w:left="0" w:right="0"/>
                    <w:jc w:val="center"/>
                    <w:rPr>
                      <w:rFonts w:hint="default"/>
                      <w:color w:val="FF0000"/>
                      <w:szCs w:val="21"/>
                      <w:lang w:val="en-US" w:eastAsia="zh-CN"/>
                    </w:rPr>
                  </w:pPr>
                  <w:r>
                    <w:rPr>
                      <w:rFonts w:hint="eastAsia"/>
                      <w:color w:val="FF0000"/>
                      <w:szCs w:val="21"/>
                      <w:lang w:val="en-US" w:eastAsia="zh-CN"/>
                    </w:rPr>
                    <w:t>符合</w:t>
                  </w:r>
                </w:p>
              </w:tc>
            </w:tr>
          </w:tbl>
          <w:p w14:paraId="7DE9766A">
            <w:pPr>
              <w:pStyle w:val="51"/>
              <w:ind w:firstLine="480"/>
              <w:rPr>
                <w:color w:val="FF0000"/>
              </w:rPr>
            </w:pPr>
            <w:r>
              <w:rPr>
                <w:rFonts w:hint="eastAsia"/>
                <w:b w:val="0"/>
                <w:bCs w:val="0"/>
                <w:color w:val="FF0000"/>
                <w:sz w:val="24"/>
                <w:szCs w:val="24"/>
                <w:lang w:val="en-US" w:eastAsia="zh-CN"/>
              </w:rPr>
              <w:t>综上，项目符合《工业炉窑大气污染综合治理方案》（环大气(2019)56号）要求。</w:t>
            </w:r>
          </w:p>
          <w:p w14:paraId="6EF4A962">
            <w:pPr>
              <w:pStyle w:val="51"/>
              <w:ind w:firstLine="480"/>
            </w:pPr>
          </w:p>
          <w:p w14:paraId="44A1E41E">
            <w:pPr>
              <w:pStyle w:val="51"/>
              <w:ind w:firstLine="480"/>
            </w:pPr>
          </w:p>
          <w:p w14:paraId="2ADB25B6">
            <w:pPr>
              <w:pStyle w:val="51"/>
              <w:ind w:firstLine="480"/>
            </w:pPr>
          </w:p>
          <w:p w14:paraId="3AC5AE09">
            <w:pPr>
              <w:pStyle w:val="51"/>
              <w:ind w:firstLine="480"/>
            </w:pPr>
          </w:p>
          <w:p w14:paraId="535281B5">
            <w:pPr>
              <w:pStyle w:val="51"/>
              <w:ind w:left="0" w:leftChars="0" w:firstLine="0" w:firstLineChars="0"/>
            </w:pPr>
          </w:p>
        </w:tc>
      </w:tr>
    </w:tbl>
    <w:p w14:paraId="2F2A4E4E">
      <w:pPr>
        <w:spacing w:line="360" w:lineRule="auto"/>
        <w:outlineLvl w:val="0"/>
        <w:rPr>
          <w:rFonts w:eastAsia="黑体"/>
          <w:sz w:val="30"/>
        </w:rPr>
        <w:sectPr>
          <w:footerReference r:id="rId7" w:type="default"/>
          <w:pgSz w:w="11906" w:h="16838"/>
          <w:pgMar w:top="1418" w:right="1440" w:bottom="1418" w:left="1440" w:header="851" w:footer="1077" w:gutter="0"/>
          <w:pgBorders>
            <w:top w:val="none" w:sz="0" w:space="0"/>
            <w:left w:val="none" w:sz="0" w:space="0"/>
            <w:bottom w:val="none" w:sz="0" w:space="0"/>
            <w:right w:val="none" w:sz="0" w:space="0"/>
          </w:pgBorders>
          <w:pgNumType w:start="1"/>
          <w:cols w:space="720" w:num="1"/>
          <w:docGrid w:linePitch="312" w:charSpace="0"/>
        </w:sectPr>
      </w:pPr>
    </w:p>
    <w:p w14:paraId="050AD910">
      <w:pPr>
        <w:pStyle w:val="20"/>
        <w:jc w:val="center"/>
        <w:outlineLvl w:val="0"/>
        <w:rPr>
          <w:rFonts w:hint="eastAsia" w:ascii="黑体" w:hAnsi="黑体" w:eastAsia="黑体"/>
          <w:snapToGrid w:val="0"/>
          <w:sz w:val="30"/>
          <w:szCs w:val="30"/>
        </w:rPr>
      </w:pPr>
      <w:r>
        <w:rPr>
          <w:rFonts w:hint="eastAsia" w:ascii="黑体" w:hAnsi="黑体" w:eastAsia="黑体"/>
          <w:snapToGrid w:val="0"/>
          <w:sz w:val="30"/>
          <w:szCs w:val="30"/>
        </w:rPr>
        <w:t>二、建设项目工程分析</w:t>
      </w:r>
    </w:p>
    <w:tbl>
      <w:tblPr>
        <w:tblStyle w:val="2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08"/>
        <w:gridCol w:w="8534"/>
      </w:tblGrid>
      <w:tr w14:paraId="164C01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8" w:type="dxa"/>
            <w:vAlign w:val="center"/>
          </w:tcPr>
          <w:p w14:paraId="0C35DC4F">
            <w:pPr>
              <w:pStyle w:val="20"/>
              <w:adjustRightInd w:val="0"/>
              <w:snapToGrid w:val="0"/>
              <w:spacing w:before="0" w:beforeAutospacing="0" w:after="0" w:afterAutospacing="0"/>
              <w:jc w:val="center"/>
              <w:rPr>
                <w:rFonts w:hint="eastAsia" w:cs="宋体"/>
                <w:szCs w:val="24"/>
              </w:rPr>
            </w:pPr>
            <w:r>
              <w:rPr>
                <w:rFonts w:hint="eastAsia" w:cs="宋体"/>
                <w:szCs w:val="24"/>
              </w:rPr>
              <w:t>建设内容</w:t>
            </w:r>
          </w:p>
        </w:tc>
        <w:tc>
          <w:tcPr>
            <w:tcW w:w="8534" w:type="dxa"/>
          </w:tcPr>
          <w:p w14:paraId="0D10C104">
            <w:pPr>
              <w:pStyle w:val="51"/>
              <w:ind w:firstLine="482"/>
              <w:rPr>
                <w:b/>
                <w:bCs/>
              </w:rPr>
            </w:pPr>
            <w:r>
              <w:rPr>
                <w:rFonts w:hint="eastAsia"/>
                <w:b/>
                <w:bCs/>
              </w:rPr>
              <w:t>1、项目建设背景</w:t>
            </w:r>
          </w:p>
          <w:p w14:paraId="705780FB">
            <w:pPr>
              <w:pStyle w:val="51"/>
              <w:ind w:firstLine="480"/>
            </w:pPr>
            <w:r>
              <w:rPr>
                <w:rFonts w:hint="eastAsia"/>
                <w:lang w:val="en-US" w:eastAsia="zh-CN"/>
              </w:rPr>
              <w:t>安徽芯锐半导体科技有限公司</w:t>
            </w:r>
            <w:r>
              <w:rPr>
                <w:rFonts w:hint="eastAsia"/>
              </w:rPr>
              <w:t>成立于2</w:t>
            </w:r>
            <w:r>
              <w:t>02</w:t>
            </w:r>
            <w:r>
              <w:rPr>
                <w:rFonts w:hint="eastAsia"/>
                <w:lang w:val="en-US" w:eastAsia="zh-CN"/>
              </w:rPr>
              <w:t>5</w:t>
            </w:r>
            <w:r>
              <w:rPr>
                <w:rFonts w:hint="eastAsia"/>
              </w:rPr>
              <w:t>年</w:t>
            </w:r>
            <w:r>
              <w:rPr>
                <w:rFonts w:hint="eastAsia"/>
                <w:lang w:val="en-US" w:eastAsia="zh-CN"/>
              </w:rPr>
              <w:t>8</w:t>
            </w:r>
            <w:r>
              <w:rPr>
                <w:rFonts w:hint="eastAsia"/>
              </w:rPr>
              <w:t>月</w:t>
            </w:r>
            <w:r>
              <w:rPr>
                <w:rFonts w:hint="eastAsia"/>
                <w:lang w:val="en-US" w:eastAsia="zh-CN"/>
              </w:rPr>
              <w:t>27日</w:t>
            </w:r>
            <w:r>
              <w:rPr>
                <w:rFonts w:hint="eastAsia"/>
              </w:rPr>
              <w:t>，</w:t>
            </w:r>
            <w:r>
              <w:rPr>
                <w:rFonts w:hint="eastAsia"/>
                <w:lang w:val="en-US" w:eastAsia="zh-CN"/>
              </w:rPr>
              <w:t>公司主要经营范围为显示器件制造和半导体照明器件制造。公司拟投资35000万元在池州市皖江江南新兴产业集中区建设“年产700万件LED显示模组产品、COB灯带产品项目”，项目租用皖江</w:t>
            </w:r>
            <w:r>
              <w:rPr>
                <w:rFonts w:hint="eastAsia" w:cs="Times New Roman"/>
                <w:color w:val="auto"/>
                <w:sz w:val="24"/>
                <w:szCs w:val="32"/>
                <w:highlight w:val="none"/>
                <w:lang w:eastAsia="zh-CN"/>
              </w:rPr>
              <w:t>江南</w:t>
            </w:r>
            <w:r>
              <w:rPr>
                <w:rFonts w:hint="eastAsia" w:cs="Times New Roman"/>
                <w:color w:val="auto"/>
                <w:sz w:val="24"/>
                <w:szCs w:val="32"/>
                <w:highlight w:val="none"/>
                <w:lang w:val="en-US" w:eastAsia="zh-CN"/>
              </w:rPr>
              <w:t>新兴</w:t>
            </w:r>
            <w:r>
              <w:rPr>
                <w:rFonts w:hint="eastAsia" w:cs="Times New Roman"/>
                <w:color w:val="auto"/>
                <w:sz w:val="24"/>
                <w:szCs w:val="32"/>
                <w:highlight w:val="none"/>
                <w:lang w:eastAsia="zh-CN"/>
              </w:rPr>
              <w:t>产业集中区</w:t>
            </w:r>
            <w:r>
              <w:rPr>
                <w:rFonts w:hint="eastAsia" w:cs="Times New Roman"/>
                <w:color w:val="auto"/>
                <w:sz w:val="24"/>
                <w:szCs w:val="32"/>
                <w:highlight w:val="none"/>
                <w:lang w:val="en-US" w:eastAsia="zh-CN"/>
              </w:rPr>
              <w:t>众飞产业园C3号厂房一层</w:t>
            </w:r>
            <w:r>
              <w:rPr>
                <w:rFonts w:hint="eastAsia" w:cs="Times New Roman"/>
                <w:color w:val="auto"/>
                <w:sz w:val="24"/>
                <w:szCs w:val="32"/>
                <w:highlight w:val="none"/>
                <w:lang w:eastAsia="zh-CN"/>
              </w:rPr>
              <w:t>，建筑面积约</w:t>
            </w:r>
            <w:r>
              <w:rPr>
                <w:rFonts w:hint="eastAsia" w:cs="Times New Roman"/>
                <w:color w:val="auto"/>
                <w:sz w:val="24"/>
                <w:szCs w:val="24"/>
                <w:highlight w:val="none"/>
                <w:lang w:val="en-US" w:eastAsia="zh-CN"/>
              </w:rPr>
              <w:t>4400</w:t>
            </w:r>
            <w:r>
              <w:rPr>
                <w:rFonts w:hint="eastAsia" w:cs="Times New Roman"/>
                <w:color w:val="auto"/>
                <w:sz w:val="24"/>
                <w:szCs w:val="32"/>
                <w:highlight w:val="none"/>
                <w:lang w:eastAsia="zh-CN"/>
              </w:rPr>
              <w:t>平方米。</w:t>
            </w:r>
            <w:r>
              <w:rPr>
                <w:rFonts w:hint="eastAsia" w:cs="Times New Roman"/>
                <w:color w:val="auto"/>
                <w:sz w:val="24"/>
                <w:szCs w:val="32"/>
                <w:highlight w:val="none"/>
                <w:lang w:val="en-US" w:eastAsia="zh-CN"/>
              </w:rPr>
              <w:t>购置贴片、回流焊、固晶、拉胶、隧道炉、分光、焊线、编带等加工设备，项目建成后可形成年产</w:t>
            </w:r>
            <w:r>
              <w:rPr>
                <w:rFonts w:hint="eastAsia"/>
                <w:lang w:val="en-US" w:eastAsia="zh-CN"/>
              </w:rPr>
              <w:t>700万件LED显示模组产品和COB灯带产品。</w:t>
            </w:r>
            <w:r>
              <w:rPr>
                <w:rFonts w:hint="eastAsia" w:ascii="Times New Roman" w:hAnsi="Times New Roman" w:cs="Times New Roman"/>
                <w:color w:val="auto"/>
                <w:sz w:val="24"/>
                <w:szCs w:val="32"/>
                <w:highlight w:val="none"/>
                <w:lang w:eastAsia="zh-CN"/>
              </w:rPr>
              <w:t>项目已于202</w:t>
            </w:r>
            <w:r>
              <w:rPr>
                <w:rFonts w:hint="eastAsia" w:cs="Times New Roman"/>
                <w:color w:val="auto"/>
                <w:sz w:val="24"/>
                <w:szCs w:val="32"/>
                <w:highlight w:val="none"/>
                <w:lang w:val="en-US" w:eastAsia="zh-CN"/>
              </w:rPr>
              <w:t>5</w:t>
            </w:r>
            <w:r>
              <w:rPr>
                <w:rFonts w:hint="eastAsia" w:ascii="Times New Roman" w:hAnsi="Times New Roman" w:cs="Times New Roman"/>
                <w:color w:val="auto"/>
                <w:sz w:val="24"/>
                <w:szCs w:val="32"/>
                <w:highlight w:val="none"/>
                <w:lang w:eastAsia="zh-CN"/>
              </w:rPr>
              <w:t>年</w:t>
            </w:r>
            <w:r>
              <w:rPr>
                <w:rFonts w:hint="eastAsia" w:cs="Times New Roman"/>
                <w:color w:val="auto"/>
                <w:sz w:val="24"/>
                <w:szCs w:val="32"/>
                <w:highlight w:val="none"/>
                <w:lang w:val="en-US" w:eastAsia="zh-CN"/>
              </w:rPr>
              <w:t>11月21日</w:t>
            </w:r>
            <w:r>
              <w:rPr>
                <w:rFonts w:hint="eastAsia" w:ascii="Times New Roman" w:hAnsi="Times New Roman" w:cs="Times New Roman"/>
                <w:color w:val="auto"/>
                <w:sz w:val="24"/>
                <w:szCs w:val="32"/>
                <w:highlight w:val="none"/>
                <w:lang w:eastAsia="zh-CN"/>
              </w:rPr>
              <w:t>通过</w:t>
            </w:r>
            <w:r>
              <w:rPr>
                <w:rFonts w:hint="eastAsia" w:ascii="Times New Roman" w:hAnsi="Times New Roman" w:eastAsia="宋体" w:cs="Times New Roman"/>
                <w:color w:val="auto"/>
                <w:sz w:val="24"/>
                <w:szCs w:val="24"/>
                <w:highlight w:val="none"/>
                <w:lang w:eastAsia="zh-CN"/>
              </w:rPr>
              <w:t>皖江江南产业集中区产业发展部</w:t>
            </w:r>
            <w:r>
              <w:rPr>
                <w:rFonts w:hint="eastAsia" w:ascii="Times New Roman" w:hAnsi="Times New Roman" w:cs="Times New Roman"/>
                <w:color w:val="auto"/>
                <w:sz w:val="24"/>
                <w:szCs w:val="32"/>
                <w:highlight w:val="none"/>
                <w:lang w:eastAsia="zh-CN"/>
              </w:rPr>
              <w:t>备案，备案代码为</w:t>
            </w:r>
            <w:r>
              <w:rPr>
                <w:rFonts w:hint="eastAsia" w:cs="Times New Roman"/>
                <w:color w:val="auto"/>
                <w:sz w:val="24"/>
                <w:szCs w:val="24"/>
                <w:highlight w:val="none"/>
                <w:lang w:val="en-US" w:eastAsia="zh-CN"/>
              </w:rPr>
              <w:t>2510-341763-04-01-777695</w:t>
            </w:r>
            <w:r>
              <w:rPr>
                <w:rFonts w:hint="eastAsia" w:ascii="Times New Roman" w:hAnsi="Times New Roman" w:cs="Times New Roman"/>
                <w:color w:val="auto"/>
                <w:sz w:val="24"/>
                <w:szCs w:val="32"/>
                <w:highlight w:val="none"/>
                <w:lang w:eastAsia="zh-CN"/>
              </w:rPr>
              <w:t>。</w:t>
            </w:r>
          </w:p>
          <w:p w14:paraId="5A821C07">
            <w:pPr>
              <w:pStyle w:val="51"/>
              <w:ind w:firstLine="480"/>
            </w:pPr>
            <w:r>
              <w:rPr>
                <w:rFonts w:hint="eastAsia"/>
              </w:rPr>
              <w:t>根据《国民经济行业分类》（GB/T4754-2017），本项目属于“C3974显示器件制造</w:t>
            </w:r>
            <w:r>
              <w:rPr>
                <w:rFonts w:hint="eastAsia"/>
                <w:lang w:eastAsia="zh-CN"/>
              </w:rPr>
              <w:t>”</w:t>
            </w:r>
            <w:r>
              <w:rPr>
                <w:rFonts w:hint="eastAsia"/>
                <w:lang w:val="en-US" w:eastAsia="zh-CN"/>
              </w:rPr>
              <w:t>和“</w:t>
            </w:r>
            <w:r>
              <w:rPr>
                <w:rFonts w:hint="eastAsia"/>
              </w:rPr>
              <w:t>C3</w:t>
            </w:r>
            <w:r>
              <w:rPr>
                <w:rFonts w:hint="eastAsia"/>
                <w:lang w:val="en-US" w:eastAsia="zh-CN"/>
              </w:rPr>
              <w:t>871电光源</w:t>
            </w:r>
            <w:r>
              <w:rPr>
                <w:rFonts w:hint="eastAsia"/>
              </w:rPr>
              <w:t>制造”类别。</w:t>
            </w:r>
          </w:p>
          <w:p w14:paraId="66D988DE">
            <w:pPr>
              <w:pStyle w:val="51"/>
              <w:ind w:firstLine="480"/>
              <w:rPr>
                <w:rFonts w:hint="eastAsia"/>
                <w:b/>
                <w:bCs/>
                <w:sz w:val="18"/>
                <w:szCs w:val="18"/>
              </w:rPr>
            </w:pPr>
            <w:r>
              <w:rPr>
                <w:rFonts w:hint="eastAsia"/>
              </w:rPr>
              <w:t>根据《中华人民共和国环境保护法》、《中华人民共和国环境影响评价法》和《建设项目环境保护管理条例》（国务院第682号令）等文件的有关规定，本项目应履行环评手续。对照《建设项目环境影响评价分类管理名录》（2021版）和《固定污染源排污许可证许可分类管理名录》(2019年版），本项目对应环评和排污许可类别见下表。</w:t>
            </w:r>
          </w:p>
          <w:p w14:paraId="11D653C7">
            <w:pPr>
              <w:pStyle w:val="52"/>
            </w:pPr>
            <w:r>
              <w:rPr>
                <w:rFonts w:hint="eastAsia"/>
              </w:rPr>
              <w:t>表2</w:t>
            </w:r>
            <w:r>
              <w:t xml:space="preserve">-1  </w:t>
            </w:r>
            <w:r>
              <w:rPr>
                <w:rFonts w:hint="eastAsia"/>
              </w:rPr>
              <w:t>项目环评类别判定表</w:t>
            </w:r>
          </w:p>
          <w:tbl>
            <w:tblPr>
              <w:tblStyle w:val="23"/>
              <w:tblW w:w="8230" w:type="dxa"/>
              <w:jc w:val="center"/>
              <w:tblLayout w:type="fixed"/>
              <w:tblCellMar>
                <w:top w:w="0" w:type="dxa"/>
                <w:left w:w="108" w:type="dxa"/>
                <w:bottom w:w="0" w:type="dxa"/>
                <w:right w:w="108" w:type="dxa"/>
              </w:tblCellMar>
            </w:tblPr>
            <w:tblGrid>
              <w:gridCol w:w="2608"/>
              <w:gridCol w:w="2109"/>
              <w:gridCol w:w="2502"/>
              <w:gridCol w:w="1011"/>
            </w:tblGrid>
            <w:tr w14:paraId="40BA6AE1">
              <w:tblPrEx>
                <w:tblCellMar>
                  <w:top w:w="0" w:type="dxa"/>
                  <w:left w:w="108" w:type="dxa"/>
                  <w:bottom w:w="0" w:type="dxa"/>
                  <w:right w:w="108" w:type="dxa"/>
                </w:tblCellMar>
              </w:tblPrEx>
              <w:trPr>
                <w:trHeight w:val="0" w:hRule="atLeast"/>
                <w:jc w:val="center"/>
              </w:trPr>
              <w:tc>
                <w:tcPr>
                  <w:tcW w:w="1585" w:type="pct"/>
                  <w:tcBorders>
                    <w:top w:val="single" w:color="auto" w:sz="4" w:space="0"/>
                    <w:left w:val="single" w:color="auto" w:sz="4" w:space="0"/>
                    <w:bottom w:val="single" w:color="auto" w:sz="4" w:space="0"/>
                    <w:right w:val="single" w:color="auto" w:sz="4" w:space="0"/>
                  </w:tcBorders>
                  <w:shd w:val="clear" w:color="auto" w:fill="auto"/>
                  <w:vAlign w:val="center"/>
                </w:tcPr>
                <w:p w14:paraId="50B414BE">
                  <w:pPr>
                    <w:widowControl/>
                    <w:jc w:val="center"/>
                    <w:rPr>
                      <w:rFonts w:hint="default" w:eastAsia="宋体"/>
                      <w:b/>
                      <w:bCs/>
                      <w:kern w:val="0"/>
                      <w:szCs w:val="21"/>
                      <w:lang w:val="en-US" w:eastAsia="zh-CN"/>
                    </w:rPr>
                  </w:pPr>
                  <w:r>
                    <w:rPr>
                      <w:rFonts w:hint="eastAsia"/>
                      <w:b/>
                      <w:bCs/>
                      <w:kern w:val="0"/>
                      <w:szCs w:val="21"/>
                      <w:lang w:val="en-US" w:eastAsia="zh-CN"/>
                    </w:rPr>
                    <w:t>行业类别</w:t>
                  </w:r>
                </w:p>
              </w:tc>
              <w:tc>
                <w:tcPr>
                  <w:tcW w:w="1281" w:type="pct"/>
                  <w:tcBorders>
                    <w:top w:val="single" w:color="auto" w:sz="4" w:space="0"/>
                    <w:left w:val="nil"/>
                    <w:bottom w:val="single" w:color="auto" w:sz="4" w:space="0"/>
                    <w:right w:val="single" w:color="auto" w:sz="4" w:space="0"/>
                  </w:tcBorders>
                  <w:shd w:val="clear" w:color="auto" w:fill="auto"/>
                  <w:vAlign w:val="center"/>
                </w:tcPr>
                <w:p w14:paraId="601F34F5">
                  <w:pPr>
                    <w:widowControl/>
                    <w:jc w:val="center"/>
                    <w:rPr>
                      <w:rFonts w:hint="eastAsia" w:eastAsia="宋体"/>
                      <w:b/>
                      <w:bCs/>
                      <w:kern w:val="0"/>
                      <w:szCs w:val="21"/>
                      <w:lang w:eastAsia="zh-CN"/>
                    </w:rPr>
                  </w:pPr>
                  <w:r>
                    <w:rPr>
                      <w:rFonts w:hint="eastAsia"/>
                      <w:b/>
                      <w:bCs/>
                      <w:kern w:val="0"/>
                      <w:szCs w:val="21"/>
                      <w:lang w:val="en-US" w:eastAsia="zh-CN"/>
                    </w:rPr>
                    <w:t>报告书</w:t>
                  </w:r>
                </w:p>
              </w:tc>
              <w:tc>
                <w:tcPr>
                  <w:tcW w:w="1520"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6DED00F0">
                  <w:pPr>
                    <w:widowControl/>
                    <w:jc w:val="center"/>
                    <w:rPr>
                      <w:rFonts w:hint="eastAsia" w:eastAsia="宋体"/>
                      <w:b/>
                      <w:bCs/>
                      <w:kern w:val="0"/>
                      <w:szCs w:val="21"/>
                      <w:lang w:eastAsia="zh-CN"/>
                    </w:rPr>
                  </w:pPr>
                  <w:r>
                    <w:rPr>
                      <w:rFonts w:hint="eastAsia"/>
                      <w:b/>
                      <w:bCs/>
                      <w:kern w:val="0"/>
                      <w:szCs w:val="21"/>
                      <w:lang w:val="en-US" w:eastAsia="zh-CN"/>
                    </w:rPr>
                    <w:t>报告表</w:t>
                  </w:r>
                </w:p>
              </w:tc>
              <w:tc>
                <w:tcPr>
                  <w:tcW w:w="613" w:type="pct"/>
                  <w:tcBorders>
                    <w:top w:val="single" w:color="auto" w:sz="4" w:space="0"/>
                    <w:left w:val="nil"/>
                    <w:bottom w:val="single" w:color="auto" w:sz="4" w:space="0"/>
                    <w:right w:val="single" w:color="auto" w:sz="4" w:space="0"/>
                  </w:tcBorders>
                  <w:shd w:val="clear" w:color="auto" w:fill="auto"/>
                  <w:vAlign w:val="center"/>
                </w:tcPr>
                <w:p w14:paraId="2C44AB3A">
                  <w:pPr>
                    <w:widowControl/>
                    <w:jc w:val="center"/>
                    <w:rPr>
                      <w:rFonts w:hint="eastAsia" w:eastAsia="宋体"/>
                      <w:b/>
                      <w:bCs/>
                      <w:kern w:val="0"/>
                      <w:szCs w:val="21"/>
                      <w:lang w:eastAsia="zh-CN"/>
                    </w:rPr>
                  </w:pPr>
                  <w:r>
                    <w:rPr>
                      <w:rFonts w:hint="eastAsia"/>
                      <w:b/>
                      <w:bCs/>
                      <w:kern w:val="0"/>
                      <w:szCs w:val="21"/>
                      <w:lang w:val="en-US" w:eastAsia="zh-CN"/>
                    </w:rPr>
                    <w:t>登记表</w:t>
                  </w:r>
                </w:p>
              </w:tc>
            </w:tr>
            <w:tr w14:paraId="0CE352BC">
              <w:tblPrEx>
                <w:tblCellMar>
                  <w:top w:w="0" w:type="dxa"/>
                  <w:left w:w="108" w:type="dxa"/>
                  <w:bottom w:w="0" w:type="dxa"/>
                  <w:right w:w="108" w:type="dxa"/>
                </w:tblCellMar>
              </w:tblPrEx>
              <w:trPr>
                <w:trHeight w:val="0" w:hRule="atLeast"/>
                <w:jc w:val="center"/>
              </w:trPr>
              <w:tc>
                <w:tcPr>
                  <w:tcW w:w="5000" w:type="pct"/>
                  <w:gridSpan w:val="4"/>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46803F83">
                  <w:pPr>
                    <w:jc w:val="both"/>
                    <w:rPr>
                      <w:kern w:val="0"/>
                      <w:szCs w:val="21"/>
                    </w:rPr>
                  </w:pPr>
                  <w:r>
                    <w:rPr>
                      <w:rFonts w:hint="eastAsia"/>
                      <w:b w:val="0"/>
                      <w:bCs w:val="0"/>
                      <w:kern w:val="0"/>
                      <w:szCs w:val="21"/>
                    </w:rPr>
                    <w:t>三十六、计算机、通信和其他电子设备制造业39</w:t>
                  </w:r>
                </w:p>
              </w:tc>
            </w:tr>
            <w:tr w14:paraId="036CB8B3">
              <w:tblPrEx>
                <w:tblCellMar>
                  <w:top w:w="0" w:type="dxa"/>
                  <w:left w:w="108" w:type="dxa"/>
                  <w:bottom w:w="0" w:type="dxa"/>
                  <w:right w:w="108" w:type="dxa"/>
                </w:tblCellMar>
              </w:tblPrEx>
              <w:trPr>
                <w:trHeight w:val="0" w:hRule="atLeast"/>
                <w:jc w:val="center"/>
              </w:trPr>
              <w:tc>
                <w:tcPr>
                  <w:tcW w:w="1585" w:type="pct"/>
                  <w:tcBorders>
                    <w:top w:val="single" w:color="auto" w:sz="4" w:space="0"/>
                    <w:left w:val="single" w:color="auto" w:sz="4" w:space="0"/>
                    <w:bottom w:val="single" w:color="auto" w:sz="4" w:space="0"/>
                    <w:right w:val="single" w:color="000000" w:sz="4" w:space="0"/>
                  </w:tcBorders>
                  <w:shd w:val="clear" w:color="auto" w:fill="auto"/>
                  <w:vAlign w:val="center"/>
                </w:tcPr>
                <w:p w14:paraId="70845501">
                  <w:pPr>
                    <w:widowControl/>
                    <w:jc w:val="center"/>
                    <w:rPr>
                      <w:rFonts w:hint="eastAsia" w:eastAsia="宋体"/>
                      <w:b/>
                      <w:bCs/>
                      <w:kern w:val="0"/>
                      <w:szCs w:val="21"/>
                      <w:lang w:val="en-US" w:eastAsia="zh-CN"/>
                    </w:rPr>
                  </w:pPr>
                  <w:r>
                    <w:rPr>
                      <w:rFonts w:hint="eastAsia"/>
                      <w:b w:val="0"/>
                      <w:bCs w:val="0"/>
                      <w:kern w:val="0"/>
                      <w:szCs w:val="21"/>
                      <w:lang w:val="en-US" w:eastAsia="zh-CN"/>
                    </w:rPr>
                    <w:t>80.电子器件制造397</w:t>
                  </w:r>
                </w:p>
              </w:tc>
              <w:tc>
                <w:tcPr>
                  <w:tcW w:w="1281" w:type="pct"/>
                  <w:tcBorders>
                    <w:top w:val="nil"/>
                    <w:left w:val="nil"/>
                    <w:bottom w:val="single" w:color="auto" w:sz="4" w:space="0"/>
                    <w:right w:val="single" w:color="auto" w:sz="4" w:space="0"/>
                  </w:tcBorders>
                  <w:shd w:val="clear" w:color="auto" w:fill="auto"/>
                  <w:vAlign w:val="center"/>
                </w:tcPr>
                <w:p w14:paraId="78F2E2CF">
                  <w:pPr>
                    <w:widowControl/>
                    <w:jc w:val="center"/>
                    <w:rPr>
                      <w:rFonts w:hint="eastAsia" w:eastAsia="宋体"/>
                      <w:kern w:val="0"/>
                      <w:szCs w:val="21"/>
                      <w:lang w:eastAsia="zh-CN"/>
                    </w:rPr>
                  </w:pPr>
                  <w:r>
                    <w:rPr>
                      <w:rFonts w:hint="eastAsia"/>
                      <w:kern w:val="0"/>
                      <w:szCs w:val="21"/>
                      <w:lang w:val="en-US" w:eastAsia="zh-CN"/>
                    </w:rPr>
                    <w:t>/</w:t>
                  </w:r>
                </w:p>
              </w:tc>
              <w:tc>
                <w:tcPr>
                  <w:tcW w:w="1520" w:type="pct"/>
                  <w:tcBorders>
                    <w:top w:val="nil"/>
                    <w:left w:val="nil"/>
                    <w:bottom w:val="single" w:color="auto" w:sz="4" w:space="0"/>
                    <w:right w:val="single" w:color="auto" w:sz="4" w:space="0"/>
                  </w:tcBorders>
                  <w:shd w:val="clear" w:color="auto" w:fill="D7D7D7" w:themeFill="background1" w:themeFillShade="D8"/>
                  <w:vAlign w:val="center"/>
                </w:tcPr>
                <w:p w14:paraId="4A9C6ECF">
                  <w:pPr>
                    <w:widowControl/>
                    <w:jc w:val="center"/>
                    <w:rPr>
                      <w:kern w:val="0"/>
                      <w:szCs w:val="21"/>
                    </w:rPr>
                  </w:pPr>
                  <w:r>
                    <w:rPr>
                      <w:rFonts w:hint="eastAsia"/>
                      <w:kern w:val="0"/>
                      <w:szCs w:val="21"/>
                    </w:rPr>
                    <w:t>显示器件制造；集成电路制造；使用有机溶剂的；有酸洗的 以上均不含仅分割、焊接、组装的</w:t>
                  </w:r>
                </w:p>
              </w:tc>
              <w:tc>
                <w:tcPr>
                  <w:tcW w:w="613" w:type="pct"/>
                  <w:tcBorders>
                    <w:top w:val="single" w:color="auto" w:sz="4" w:space="0"/>
                    <w:left w:val="single" w:color="auto" w:sz="4" w:space="0"/>
                    <w:bottom w:val="single" w:color="auto" w:sz="4" w:space="0"/>
                    <w:right w:val="single" w:color="auto" w:sz="4" w:space="0"/>
                  </w:tcBorders>
                  <w:shd w:val="clear" w:color="auto" w:fill="auto"/>
                  <w:vAlign w:val="center"/>
                </w:tcPr>
                <w:p w14:paraId="563C884B">
                  <w:pPr>
                    <w:jc w:val="center"/>
                    <w:rPr>
                      <w:rFonts w:hint="eastAsia" w:eastAsia="宋体"/>
                      <w:kern w:val="0"/>
                      <w:szCs w:val="21"/>
                      <w:lang w:eastAsia="zh-CN"/>
                    </w:rPr>
                  </w:pPr>
                  <w:r>
                    <w:rPr>
                      <w:rFonts w:hint="eastAsia"/>
                      <w:kern w:val="0"/>
                      <w:szCs w:val="21"/>
                      <w:lang w:val="en-US" w:eastAsia="zh-CN"/>
                    </w:rPr>
                    <w:t>/</w:t>
                  </w:r>
                </w:p>
              </w:tc>
            </w:tr>
            <w:tr w14:paraId="5B34E6EA">
              <w:tblPrEx>
                <w:tblCellMar>
                  <w:top w:w="0" w:type="dxa"/>
                  <w:left w:w="108" w:type="dxa"/>
                  <w:bottom w:w="0" w:type="dxa"/>
                  <w:right w:w="108" w:type="dxa"/>
                </w:tblCellMar>
              </w:tblPrEx>
              <w:trPr>
                <w:trHeight w:val="0" w:hRule="atLeast"/>
                <w:jc w:val="center"/>
              </w:trPr>
              <w:tc>
                <w:tcPr>
                  <w:tcW w:w="5000" w:type="pct"/>
                  <w:gridSpan w:val="4"/>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21EF8606">
                  <w:pPr>
                    <w:jc w:val="both"/>
                    <w:rPr>
                      <w:rFonts w:hint="eastAsia"/>
                      <w:kern w:val="0"/>
                      <w:szCs w:val="21"/>
                      <w:lang w:val="en-US" w:eastAsia="zh-CN"/>
                    </w:rPr>
                  </w:pPr>
                  <w:r>
                    <w:rPr>
                      <w:rFonts w:hint="eastAsia"/>
                      <w:kern w:val="0"/>
                      <w:szCs w:val="21"/>
                      <w:lang w:val="en-US" w:eastAsia="zh-CN"/>
                    </w:rPr>
                    <w:t>三十五、电气机械和器材制造业38</w:t>
                  </w:r>
                </w:p>
              </w:tc>
            </w:tr>
            <w:tr w14:paraId="721E6A89">
              <w:tblPrEx>
                <w:tblCellMar>
                  <w:top w:w="0" w:type="dxa"/>
                  <w:left w:w="108" w:type="dxa"/>
                  <w:bottom w:w="0" w:type="dxa"/>
                  <w:right w:w="108" w:type="dxa"/>
                </w:tblCellMar>
              </w:tblPrEx>
              <w:trPr>
                <w:trHeight w:val="0" w:hRule="atLeast"/>
                <w:jc w:val="center"/>
              </w:trPr>
              <w:tc>
                <w:tcPr>
                  <w:tcW w:w="1585" w:type="pct"/>
                  <w:tcBorders>
                    <w:top w:val="single" w:color="auto" w:sz="4" w:space="0"/>
                    <w:left w:val="single" w:color="auto" w:sz="4" w:space="0"/>
                    <w:bottom w:val="single" w:color="auto" w:sz="4" w:space="0"/>
                    <w:right w:val="single" w:color="000000" w:sz="4" w:space="0"/>
                  </w:tcBorders>
                  <w:shd w:val="clear" w:color="auto" w:fill="auto"/>
                  <w:vAlign w:val="center"/>
                </w:tcPr>
                <w:p w14:paraId="40119EB4">
                  <w:pPr>
                    <w:widowControl/>
                    <w:jc w:val="center"/>
                    <w:rPr>
                      <w:rFonts w:hint="eastAsia"/>
                      <w:b w:val="0"/>
                      <w:bCs w:val="0"/>
                      <w:kern w:val="0"/>
                      <w:szCs w:val="21"/>
                      <w:lang w:val="en-US" w:eastAsia="zh-CN"/>
                    </w:rPr>
                  </w:pPr>
                  <w:r>
                    <w:rPr>
                      <w:rFonts w:hint="eastAsia"/>
                      <w:b w:val="0"/>
                      <w:bCs w:val="0"/>
                      <w:kern w:val="0"/>
                      <w:szCs w:val="21"/>
                      <w:lang w:val="en-US" w:eastAsia="zh-CN"/>
                    </w:rPr>
                    <w:t>77.照明器具制造387</w:t>
                  </w:r>
                </w:p>
              </w:tc>
              <w:tc>
                <w:tcPr>
                  <w:tcW w:w="1281" w:type="pct"/>
                  <w:tcBorders>
                    <w:top w:val="single" w:color="auto" w:sz="4" w:space="0"/>
                    <w:left w:val="nil"/>
                    <w:bottom w:val="single" w:color="auto" w:sz="4" w:space="0"/>
                    <w:right w:val="single" w:color="auto" w:sz="4" w:space="0"/>
                  </w:tcBorders>
                  <w:shd w:val="clear" w:color="auto" w:fill="auto"/>
                  <w:vAlign w:val="center"/>
                </w:tcPr>
                <w:p w14:paraId="5A6127AF">
                  <w:pPr>
                    <w:widowControl/>
                    <w:jc w:val="center"/>
                    <w:rPr>
                      <w:rFonts w:hint="eastAsia"/>
                      <w:kern w:val="0"/>
                      <w:szCs w:val="21"/>
                      <w:lang w:val="en-US" w:eastAsia="zh-CN"/>
                    </w:rPr>
                  </w:pPr>
                  <w:r>
                    <w:rPr>
                      <w:rFonts w:hint="eastAsia"/>
                      <w:kern w:val="0"/>
                      <w:szCs w:val="21"/>
                      <w:lang w:val="en-US" w:eastAsia="zh-CN"/>
                    </w:rPr>
                    <w:t>铅蓄电池制造；太阳能电池片生产；有电镀工艺的；年用溶剂型涂料（含稀释剂）10吨及以上的</w:t>
                  </w:r>
                </w:p>
              </w:tc>
              <w:tc>
                <w:tcPr>
                  <w:tcW w:w="1520"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2EFDBE3E">
                  <w:pPr>
                    <w:widowControl/>
                    <w:jc w:val="center"/>
                    <w:rPr>
                      <w:rFonts w:hint="eastAsia"/>
                      <w:kern w:val="0"/>
                      <w:szCs w:val="21"/>
                    </w:rPr>
                  </w:pPr>
                  <w:r>
                    <w:rPr>
                      <w:rFonts w:hint="eastAsia"/>
                      <w:kern w:val="0"/>
                      <w:szCs w:val="21"/>
                    </w:rPr>
                    <w:t>其他（仅分割、焊接、组装的除外；年用非溶剂型低VOCs含量涂料10吨以下的除外）</w:t>
                  </w:r>
                </w:p>
              </w:tc>
              <w:tc>
                <w:tcPr>
                  <w:tcW w:w="613" w:type="pct"/>
                  <w:tcBorders>
                    <w:top w:val="single" w:color="auto" w:sz="4" w:space="0"/>
                    <w:left w:val="single" w:color="auto" w:sz="4" w:space="0"/>
                    <w:bottom w:val="single" w:color="auto" w:sz="4" w:space="0"/>
                    <w:right w:val="single" w:color="auto" w:sz="4" w:space="0"/>
                  </w:tcBorders>
                  <w:shd w:val="clear" w:color="auto" w:fill="auto"/>
                  <w:vAlign w:val="center"/>
                </w:tcPr>
                <w:p w14:paraId="1A63EFE1">
                  <w:pPr>
                    <w:jc w:val="center"/>
                    <w:rPr>
                      <w:rFonts w:hint="default"/>
                      <w:kern w:val="0"/>
                      <w:szCs w:val="21"/>
                      <w:lang w:val="en-US" w:eastAsia="zh-CN"/>
                    </w:rPr>
                  </w:pPr>
                  <w:r>
                    <w:rPr>
                      <w:rFonts w:hint="eastAsia"/>
                      <w:kern w:val="0"/>
                      <w:szCs w:val="21"/>
                      <w:lang w:val="en-US" w:eastAsia="zh-CN"/>
                    </w:rPr>
                    <w:t>/</w:t>
                  </w:r>
                </w:p>
              </w:tc>
            </w:tr>
          </w:tbl>
          <w:p w14:paraId="45C33B89">
            <w:pPr>
              <w:pStyle w:val="52"/>
            </w:pPr>
            <w:r>
              <w:rPr>
                <w:rFonts w:hint="eastAsia"/>
              </w:rPr>
              <w:t>表2</w:t>
            </w:r>
            <w:r>
              <w:t>-</w:t>
            </w:r>
            <w:r>
              <w:rPr>
                <w:rFonts w:hint="eastAsia"/>
                <w:lang w:val="en-US" w:eastAsia="zh-CN"/>
              </w:rPr>
              <w:t>2</w:t>
            </w:r>
            <w:r>
              <w:t xml:space="preserve">  </w:t>
            </w:r>
            <w:r>
              <w:rPr>
                <w:rFonts w:hint="eastAsia"/>
              </w:rPr>
              <w:t>项目排污许可类别判定表</w:t>
            </w:r>
          </w:p>
          <w:tbl>
            <w:tblPr>
              <w:tblStyle w:val="23"/>
              <w:tblW w:w="8230" w:type="dxa"/>
              <w:jc w:val="center"/>
              <w:tblLayout w:type="fixed"/>
              <w:tblCellMar>
                <w:top w:w="0" w:type="dxa"/>
                <w:left w:w="108" w:type="dxa"/>
                <w:bottom w:w="0" w:type="dxa"/>
                <w:right w:w="108" w:type="dxa"/>
              </w:tblCellMar>
            </w:tblPr>
            <w:tblGrid>
              <w:gridCol w:w="2229"/>
              <w:gridCol w:w="1792"/>
              <w:gridCol w:w="2512"/>
              <w:gridCol w:w="1697"/>
            </w:tblGrid>
            <w:tr w14:paraId="18EB77E5">
              <w:tblPrEx>
                <w:tblCellMar>
                  <w:top w:w="0" w:type="dxa"/>
                  <w:left w:w="108" w:type="dxa"/>
                  <w:bottom w:w="0" w:type="dxa"/>
                  <w:right w:w="108" w:type="dxa"/>
                </w:tblCellMar>
              </w:tblPrEx>
              <w:trPr>
                <w:trHeight w:val="0" w:hRule="atLeast"/>
                <w:tblHeader/>
                <w:jc w:val="center"/>
              </w:trPr>
              <w:tc>
                <w:tcPr>
                  <w:tcW w:w="1354" w:type="pct"/>
                  <w:tcBorders>
                    <w:top w:val="single" w:color="auto" w:sz="4" w:space="0"/>
                    <w:left w:val="single" w:color="auto" w:sz="4" w:space="0"/>
                    <w:bottom w:val="single" w:color="auto" w:sz="4" w:space="0"/>
                    <w:right w:val="single" w:color="auto" w:sz="4" w:space="0"/>
                  </w:tcBorders>
                  <w:shd w:val="clear" w:color="auto" w:fill="auto"/>
                  <w:vAlign w:val="center"/>
                </w:tcPr>
                <w:p w14:paraId="57045A61">
                  <w:pPr>
                    <w:widowControl/>
                    <w:jc w:val="center"/>
                    <w:rPr>
                      <w:rFonts w:hint="default" w:eastAsia="宋体"/>
                      <w:b/>
                      <w:bCs/>
                      <w:kern w:val="0"/>
                      <w:szCs w:val="21"/>
                      <w:lang w:val="en-US" w:eastAsia="zh-CN"/>
                    </w:rPr>
                  </w:pPr>
                  <w:r>
                    <w:rPr>
                      <w:rFonts w:hint="eastAsia"/>
                      <w:b/>
                      <w:bCs/>
                      <w:kern w:val="0"/>
                      <w:szCs w:val="21"/>
                      <w:lang w:val="en-US" w:eastAsia="zh-CN"/>
                    </w:rPr>
                    <w:t>行业类别</w:t>
                  </w:r>
                </w:p>
              </w:tc>
              <w:tc>
                <w:tcPr>
                  <w:tcW w:w="1089" w:type="pct"/>
                  <w:tcBorders>
                    <w:top w:val="single" w:color="auto" w:sz="4" w:space="0"/>
                    <w:left w:val="nil"/>
                    <w:bottom w:val="single" w:color="auto" w:sz="4" w:space="0"/>
                    <w:right w:val="single" w:color="auto" w:sz="4" w:space="0"/>
                  </w:tcBorders>
                  <w:shd w:val="clear" w:color="auto" w:fill="auto"/>
                  <w:vAlign w:val="center"/>
                </w:tcPr>
                <w:p w14:paraId="17D19F51">
                  <w:pPr>
                    <w:widowControl/>
                    <w:jc w:val="center"/>
                    <w:rPr>
                      <w:rFonts w:hint="default" w:eastAsia="宋体"/>
                      <w:b/>
                      <w:bCs/>
                      <w:kern w:val="0"/>
                      <w:szCs w:val="21"/>
                      <w:lang w:val="en-US" w:eastAsia="zh-CN"/>
                    </w:rPr>
                  </w:pPr>
                  <w:r>
                    <w:rPr>
                      <w:rFonts w:hint="eastAsia"/>
                      <w:b/>
                      <w:bCs/>
                      <w:kern w:val="0"/>
                      <w:szCs w:val="21"/>
                      <w:lang w:val="en-US" w:eastAsia="zh-CN"/>
                    </w:rPr>
                    <w:t>重点管理</w:t>
                  </w:r>
                </w:p>
              </w:tc>
              <w:tc>
                <w:tcPr>
                  <w:tcW w:w="1526" w:type="pct"/>
                  <w:tcBorders>
                    <w:top w:val="single" w:color="auto" w:sz="4" w:space="0"/>
                    <w:left w:val="nil"/>
                    <w:bottom w:val="single" w:color="auto" w:sz="4" w:space="0"/>
                    <w:right w:val="single" w:color="auto" w:sz="4" w:space="0"/>
                  </w:tcBorders>
                  <w:shd w:val="clear" w:color="auto" w:fill="auto"/>
                  <w:vAlign w:val="center"/>
                </w:tcPr>
                <w:p w14:paraId="13FFCF85">
                  <w:pPr>
                    <w:widowControl/>
                    <w:jc w:val="center"/>
                    <w:rPr>
                      <w:rFonts w:hint="default" w:eastAsia="宋体"/>
                      <w:b/>
                      <w:bCs/>
                      <w:kern w:val="0"/>
                      <w:szCs w:val="21"/>
                      <w:lang w:val="en-US" w:eastAsia="zh-CN"/>
                    </w:rPr>
                  </w:pPr>
                  <w:r>
                    <w:rPr>
                      <w:rFonts w:hint="eastAsia"/>
                      <w:b/>
                      <w:bCs/>
                      <w:kern w:val="0"/>
                      <w:szCs w:val="21"/>
                      <w:lang w:val="en-US" w:eastAsia="zh-CN"/>
                    </w:rPr>
                    <w:t>简化管理</w:t>
                  </w:r>
                </w:p>
              </w:tc>
              <w:tc>
                <w:tcPr>
                  <w:tcW w:w="1029" w:type="pct"/>
                  <w:tcBorders>
                    <w:top w:val="single" w:color="auto" w:sz="4" w:space="0"/>
                    <w:left w:val="nil"/>
                    <w:bottom w:val="single" w:color="auto" w:sz="4" w:space="0"/>
                    <w:right w:val="single" w:color="auto" w:sz="4" w:space="0"/>
                  </w:tcBorders>
                  <w:shd w:val="clear" w:color="auto" w:fill="D7D7D7" w:themeFill="background1" w:themeFillShade="D8"/>
                  <w:vAlign w:val="center"/>
                </w:tcPr>
                <w:p w14:paraId="64A68F7F">
                  <w:pPr>
                    <w:widowControl/>
                    <w:jc w:val="center"/>
                    <w:rPr>
                      <w:rFonts w:hint="eastAsia" w:eastAsia="宋体"/>
                      <w:b/>
                      <w:bCs/>
                      <w:kern w:val="0"/>
                      <w:szCs w:val="21"/>
                      <w:lang w:eastAsia="zh-CN"/>
                    </w:rPr>
                  </w:pPr>
                  <w:r>
                    <w:rPr>
                      <w:rFonts w:hint="eastAsia"/>
                      <w:b/>
                      <w:bCs/>
                      <w:kern w:val="0"/>
                      <w:szCs w:val="21"/>
                      <w:lang w:val="en-US" w:eastAsia="zh-CN"/>
                    </w:rPr>
                    <w:t>登记管理</w:t>
                  </w:r>
                </w:p>
              </w:tc>
            </w:tr>
            <w:tr w14:paraId="357AB56A">
              <w:tblPrEx>
                <w:tblCellMar>
                  <w:top w:w="0" w:type="dxa"/>
                  <w:left w:w="108" w:type="dxa"/>
                  <w:bottom w:w="0" w:type="dxa"/>
                  <w:right w:w="108" w:type="dxa"/>
                </w:tblCellMar>
              </w:tblPrEx>
              <w:trPr>
                <w:trHeight w:val="0" w:hRule="atLeast"/>
                <w:jc w:val="center"/>
              </w:trPr>
              <w:tc>
                <w:tcPr>
                  <w:tcW w:w="5000" w:type="pct"/>
                  <w:gridSpan w:val="4"/>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7ACF4332">
                  <w:pPr>
                    <w:jc w:val="both"/>
                    <w:rPr>
                      <w:rFonts w:hint="eastAsia"/>
                      <w:b w:val="0"/>
                      <w:bCs w:val="0"/>
                      <w:kern w:val="0"/>
                      <w:szCs w:val="21"/>
                    </w:rPr>
                  </w:pPr>
                  <w:r>
                    <w:rPr>
                      <w:rFonts w:hint="eastAsia"/>
                      <w:b w:val="0"/>
                      <w:bCs w:val="0"/>
                      <w:kern w:val="0"/>
                      <w:szCs w:val="21"/>
                    </w:rPr>
                    <w:t>三十四、计算机、通信和其他电子设备制造业 39</w:t>
                  </w:r>
                </w:p>
              </w:tc>
            </w:tr>
            <w:tr w14:paraId="1ED4B404">
              <w:tblPrEx>
                <w:tblCellMar>
                  <w:top w:w="0" w:type="dxa"/>
                  <w:left w:w="108" w:type="dxa"/>
                  <w:bottom w:w="0" w:type="dxa"/>
                  <w:right w:w="108" w:type="dxa"/>
                </w:tblCellMar>
              </w:tblPrEx>
              <w:trPr>
                <w:trHeight w:val="0" w:hRule="atLeast"/>
                <w:jc w:val="center"/>
              </w:trPr>
              <w:tc>
                <w:tcPr>
                  <w:tcW w:w="1354" w:type="pct"/>
                  <w:tcBorders>
                    <w:top w:val="single" w:color="auto" w:sz="4" w:space="0"/>
                    <w:left w:val="single" w:color="auto" w:sz="4" w:space="0"/>
                    <w:bottom w:val="single" w:color="auto" w:sz="4" w:space="0"/>
                    <w:right w:val="single" w:color="000000" w:sz="4" w:space="0"/>
                  </w:tcBorders>
                  <w:shd w:val="clear" w:color="auto" w:fill="auto"/>
                  <w:vAlign w:val="center"/>
                </w:tcPr>
                <w:p w14:paraId="1108A09D">
                  <w:pPr>
                    <w:widowControl/>
                    <w:jc w:val="center"/>
                    <w:rPr>
                      <w:rFonts w:hint="eastAsia" w:eastAsia="宋体"/>
                      <w:b/>
                      <w:bCs/>
                      <w:kern w:val="0"/>
                      <w:szCs w:val="21"/>
                      <w:lang w:val="en-US" w:eastAsia="zh-CN"/>
                    </w:rPr>
                  </w:pPr>
                  <w:r>
                    <w:rPr>
                      <w:rFonts w:hint="eastAsia"/>
                      <w:b w:val="0"/>
                      <w:bCs w:val="0"/>
                      <w:kern w:val="0"/>
                      <w:szCs w:val="21"/>
                      <w:lang w:val="en-US" w:eastAsia="zh-CN"/>
                    </w:rPr>
                    <w:t>89.电子器件制造397</w:t>
                  </w:r>
                </w:p>
              </w:tc>
              <w:tc>
                <w:tcPr>
                  <w:tcW w:w="1089" w:type="pct"/>
                  <w:tcBorders>
                    <w:top w:val="nil"/>
                    <w:left w:val="nil"/>
                    <w:bottom w:val="single" w:color="auto" w:sz="4" w:space="0"/>
                    <w:right w:val="single" w:color="auto" w:sz="4" w:space="0"/>
                  </w:tcBorders>
                  <w:shd w:val="clear" w:color="auto" w:fill="auto"/>
                  <w:vAlign w:val="center"/>
                </w:tcPr>
                <w:p w14:paraId="5C0A7D12">
                  <w:pPr>
                    <w:widowControl/>
                    <w:jc w:val="center"/>
                    <w:rPr>
                      <w:kern w:val="0"/>
                      <w:szCs w:val="21"/>
                    </w:rPr>
                  </w:pPr>
                  <w:r>
                    <w:rPr>
                      <w:rFonts w:hint="eastAsia"/>
                      <w:kern w:val="0"/>
                      <w:szCs w:val="21"/>
                    </w:rPr>
                    <w:t>纳入重点排污单位名录的</w:t>
                  </w:r>
                </w:p>
              </w:tc>
              <w:tc>
                <w:tcPr>
                  <w:tcW w:w="1526" w:type="pct"/>
                  <w:tcBorders>
                    <w:top w:val="nil"/>
                    <w:left w:val="nil"/>
                    <w:bottom w:val="single" w:color="auto" w:sz="4" w:space="0"/>
                    <w:right w:val="single" w:color="auto" w:sz="4" w:space="0"/>
                  </w:tcBorders>
                  <w:shd w:val="clear" w:color="auto" w:fill="auto"/>
                  <w:vAlign w:val="center"/>
                </w:tcPr>
                <w:p w14:paraId="2F2AABE2">
                  <w:pPr>
                    <w:widowControl/>
                    <w:jc w:val="center"/>
                    <w:rPr>
                      <w:kern w:val="0"/>
                      <w:szCs w:val="21"/>
                    </w:rPr>
                  </w:pPr>
                  <w:r>
                    <w:rPr>
                      <w:rFonts w:hint="eastAsia"/>
                      <w:kern w:val="0"/>
                      <w:szCs w:val="21"/>
                    </w:rPr>
                    <w:t>除重点管理以外的年使用10吨及以上溶剂型涂料（含稀释剂）的</w:t>
                  </w:r>
                </w:p>
              </w:tc>
              <w:tc>
                <w:tcPr>
                  <w:tcW w:w="1029" w:type="pct"/>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7A8F8346">
                  <w:pPr>
                    <w:jc w:val="center"/>
                    <w:rPr>
                      <w:rFonts w:hint="default" w:eastAsia="宋体"/>
                      <w:kern w:val="0"/>
                      <w:szCs w:val="21"/>
                      <w:lang w:val="en-US" w:eastAsia="zh-CN"/>
                    </w:rPr>
                  </w:pPr>
                  <w:r>
                    <w:rPr>
                      <w:rFonts w:hint="eastAsia" w:eastAsia="宋体"/>
                      <w:kern w:val="0"/>
                      <w:szCs w:val="21"/>
                      <w:lang w:val="en-US" w:eastAsia="zh-CN"/>
                    </w:rPr>
                    <w:t>/</w:t>
                  </w:r>
                </w:p>
              </w:tc>
            </w:tr>
            <w:tr w14:paraId="5A587C30">
              <w:tblPrEx>
                <w:tblCellMar>
                  <w:top w:w="0" w:type="dxa"/>
                  <w:left w:w="108" w:type="dxa"/>
                  <w:bottom w:w="0" w:type="dxa"/>
                  <w:right w:w="108" w:type="dxa"/>
                </w:tblCellMar>
              </w:tblPrEx>
              <w:trPr>
                <w:trHeight w:val="0" w:hRule="atLeast"/>
                <w:jc w:val="center"/>
              </w:trPr>
              <w:tc>
                <w:tcPr>
                  <w:tcW w:w="5000" w:type="pct"/>
                  <w:gridSpan w:val="4"/>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521C7DE1">
                  <w:pPr>
                    <w:jc w:val="both"/>
                    <w:rPr>
                      <w:rFonts w:hint="eastAsia" w:eastAsia="宋体"/>
                      <w:kern w:val="0"/>
                      <w:szCs w:val="21"/>
                      <w:lang w:val="en-US" w:eastAsia="zh-CN"/>
                    </w:rPr>
                  </w:pPr>
                  <w:r>
                    <w:rPr>
                      <w:rFonts w:hint="eastAsia" w:eastAsia="宋体"/>
                      <w:kern w:val="0"/>
                      <w:szCs w:val="21"/>
                      <w:lang w:val="en-US" w:eastAsia="zh-CN"/>
                    </w:rPr>
                    <w:t>三十三、电气机械和器材制造业38</w:t>
                  </w:r>
                </w:p>
              </w:tc>
            </w:tr>
            <w:tr w14:paraId="08C2140A">
              <w:tblPrEx>
                <w:tblCellMar>
                  <w:top w:w="0" w:type="dxa"/>
                  <w:left w:w="108" w:type="dxa"/>
                  <w:bottom w:w="0" w:type="dxa"/>
                  <w:right w:w="108" w:type="dxa"/>
                </w:tblCellMar>
              </w:tblPrEx>
              <w:trPr>
                <w:trHeight w:val="0" w:hRule="atLeast"/>
                <w:jc w:val="center"/>
              </w:trPr>
              <w:tc>
                <w:tcPr>
                  <w:tcW w:w="1354" w:type="pct"/>
                  <w:tcBorders>
                    <w:top w:val="single" w:color="auto" w:sz="4" w:space="0"/>
                    <w:left w:val="single" w:color="auto" w:sz="4" w:space="0"/>
                    <w:bottom w:val="single" w:color="auto" w:sz="4" w:space="0"/>
                    <w:right w:val="single" w:color="000000" w:sz="4" w:space="0"/>
                  </w:tcBorders>
                  <w:shd w:val="clear" w:color="auto" w:fill="auto"/>
                  <w:vAlign w:val="center"/>
                </w:tcPr>
                <w:p w14:paraId="383E7372">
                  <w:pPr>
                    <w:widowControl/>
                    <w:jc w:val="center"/>
                    <w:rPr>
                      <w:rFonts w:hint="eastAsia"/>
                      <w:b w:val="0"/>
                      <w:bCs w:val="0"/>
                      <w:kern w:val="0"/>
                      <w:szCs w:val="21"/>
                      <w:lang w:val="en-US" w:eastAsia="zh-CN"/>
                    </w:rPr>
                  </w:pPr>
                  <w:r>
                    <w:rPr>
                      <w:rFonts w:hint="eastAsia"/>
                      <w:b w:val="0"/>
                      <w:bCs w:val="0"/>
                      <w:kern w:val="0"/>
                      <w:szCs w:val="21"/>
                      <w:lang w:val="en-US" w:eastAsia="zh-CN"/>
                    </w:rPr>
                    <w:t>87.照明器具制造387</w:t>
                  </w:r>
                </w:p>
              </w:tc>
              <w:tc>
                <w:tcPr>
                  <w:tcW w:w="1089" w:type="pct"/>
                  <w:tcBorders>
                    <w:top w:val="single" w:color="auto" w:sz="4" w:space="0"/>
                    <w:left w:val="nil"/>
                    <w:bottom w:val="single" w:color="auto" w:sz="4" w:space="0"/>
                    <w:right w:val="single" w:color="auto" w:sz="4" w:space="0"/>
                  </w:tcBorders>
                  <w:shd w:val="clear" w:color="auto" w:fill="auto"/>
                  <w:vAlign w:val="center"/>
                </w:tcPr>
                <w:p w14:paraId="3F947C83">
                  <w:pPr>
                    <w:widowControl/>
                    <w:jc w:val="center"/>
                    <w:rPr>
                      <w:rFonts w:hint="eastAsia"/>
                      <w:kern w:val="0"/>
                      <w:szCs w:val="21"/>
                    </w:rPr>
                  </w:pPr>
                  <w:r>
                    <w:rPr>
                      <w:rFonts w:hint="eastAsia"/>
                      <w:kern w:val="0"/>
                      <w:szCs w:val="21"/>
                    </w:rPr>
                    <w:t>涉及通用工序重点管理的</w:t>
                  </w:r>
                </w:p>
              </w:tc>
              <w:tc>
                <w:tcPr>
                  <w:tcW w:w="1526" w:type="pct"/>
                  <w:tcBorders>
                    <w:top w:val="single" w:color="auto" w:sz="4" w:space="0"/>
                    <w:left w:val="nil"/>
                    <w:bottom w:val="single" w:color="auto" w:sz="4" w:space="0"/>
                    <w:right w:val="single" w:color="auto" w:sz="4" w:space="0"/>
                  </w:tcBorders>
                  <w:shd w:val="clear" w:color="auto" w:fill="auto"/>
                  <w:vAlign w:val="center"/>
                </w:tcPr>
                <w:p w14:paraId="25F68B76">
                  <w:pPr>
                    <w:widowControl/>
                    <w:jc w:val="center"/>
                    <w:rPr>
                      <w:rFonts w:hint="eastAsia"/>
                      <w:kern w:val="0"/>
                      <w:szCs w:val="21"/>
                    </w:rPr>
                  </w:pPr>
                  <w:r>
                    <w:rPr>
                      <w:rFonts w:hint="eastAsia"/>
                      <w:kern w:val="0"/>
                      <w:szCs w:val="21"/>
                    </w:rPr>
                    <w:t>涉及通用工序简化管理的</w:t>
                  </w:r>
                </w:p>
              </w:tc>
              <w:tc>
                <w:tcPr>
                  <w:tcW w:w="1029" w:type="pct"/>
                  <w:tcBorders>
                    <w:top w:val="single" w:color="auto" w:sz="4" w:space="0"/>
                    <w:left w:val="single" w:color="auto" w:sz="4" w:space="0"/>
                    <w:bottom w:val="single" w:color="auto" w:sz="4" w:space="0"/>
                    <w:right w:val="single" w:color="auto" w:sz="4" w:space="0"/>
                  </w:tcBorders>
                  <w:shd w:val="clear" w:color="auto" w:fill="D7D7D7" w:themeFill="background1" w:themeFillShade="D8"/>
                  <w:vAlign w:val="center"/>
                </w:tcPr>
                <w:p w14:paraId="7C7EC82E">
                  <w:pPr>
                    <w:jc w:val="center"/>
                    <w:rPr>
                      <w:rFonts w:hint="eastAsia" w:eastAsia="宋体"/>
                      <w:kern w:val="0"/>
                      <w:szCs w:val="21"/>
                      <w:lang w:val="en-US" w:eastAsia="zh-CN"/>
                    </w:rPr>
                  </w:pPr>
                  <w:r>
                    <w:rPr>
                      <w:rFonts w:hint="eastAsia" w:eastAsia="宋体"/>
                      <w:kern w:val="0"/>
                      <w:szCs w:val="21"/>
                      <w:lang w:val="en-US" w:eastAsia="zh-CN"/>
                    </w:rPr>
                    <w:t>其他</w:t>
                  </w:r>
                </w:p>
              </w:tc>
            </w:tr>
          </w:tbl>
          <w:p w14:paraId="6AFB8824">
            <w:pPr>
              <w:pStyle w:val="51"/>
              <w:spacing w:line="240" w:lineRule="auto"/>
              <w:ind w:left="0" w:leftChars="0" w:firstLine="0" w:firstLineChars="0"/>
              <w:rPr>
                <w:b/>
                <w:bCs/>
                <w:sz w:val="18"/>
                <w:szCs w:val="18"/>
              </w:rPr>
            </w:pPr>
          </w:p>
          <w:p w14:paraId="1325BCC2">
            <w:pPr>
              <w:pStyle w:val="79"/>
            </w:pPr>
            <w:r>
              <w:rPr>
                <w:rFonts w:hint="eastAsia"/>
              </w:rPr>
              <w:t>2、项目概况</w:t>
            </w:r>
          </w:p>
          <w:p w14:paraId="69D925CB">
            <w:pPr>
              <w:pStyle w:val="51"/>
              <w:ind w:firstLine="480"/>
            </w:pPr>
            <w:r>
              <w:rPr>
                <w:rFonts w:hint="eastAsia"/>
              </w:rPr>
              <w:t>项目名称：年产700万件LED显示模组产品、COB灯带产品项目；</w:t>
            </w:r>
          </w:p>
          <w:p w14:paraId="4A8BD681">
            <w:pPr>
              <w:pStyle w:val="51"/>
              <w:ind w:firstLine="480"/>
            </w:pPr>
            <w:r>
              <w:rPr>
                <w:rFonts w:hint="eastAsia"/>
              </w:rPr>
              <w:t>建设单位：安徽芯锐半导体科技有限公司；</w:t>
            </w:r>
          </w:p>
          <w:p w14:paraId="5A99068E">
            <w:pPr>
              <w:pStyle w:val="51"/>
              <w:ind w:firstLine="480"/>
            </w:pPr>
            <w:r>
              <w:rPr>
                <w:rFonts w:hint="eastAsia"/>
              </w:rPr>
              <w:t>建设规模：700万件LED显示模组产品、COB灯带产品；</w:t>
            </w:r>
          </w:p>
          <w:p w14:paraId="2C69DC12">
            <w:pPr>
              <w:pStyle w:val="51"/>
              <w:ind w:firstLine="480"/>
            </w:pPr>
            <w:r>
              <w:rPr>
                <w:rFonts w:hint="eastAsia"/>
              </w:rPr>
              <w:t>项目性质：新建；</w:t>
            </w:r>
          </w:p>
          <w:p w14:paraId="742C72FB">
            <w:pPr>
              <w:pStyle w:val="51"/>
              <w:ind w:firstLine="480"/>
            </w:pPr>
            <w:r>
              <w:rPr>
                <w:rFonts w:hint="eastAsia"/>
              </w:rPr>
              <w:t>投资总额：项目总投资</w:t>
            </w:r>
            <w:r>
              <w:rPr>
                <w:rFonts w:hint="eastAsia"/>
                <w:lang w:val="en-US" w:eastAsia="zh-CN"/>
              </w:rPr>
              <w:t>3</w:t>
            </w:r>
            <w:r>
              <w:t>5000</w:t>
            </w:r>
            <w:r>
              <w:rPr>
                <w:rFonts w:hint="eastAsia"/>
              </w:rPr>
              <w:t>万元，其中环保投资</w:t>
            </w:r>
            <w:r>
              <w:rPr>
                <w:rFonts w:hint="eastAsia"/>
                <w:highlight w:val="none"/>
                <w:lang w:val="en-US" w:eastAsia="zh-CN"/>
              </w:rPr>
              <w:t>43</w:t>
            </w:r>
            <w:r>
              <w:rPr>
                <w:rFonts w:hint="eastAsia"/>
              </w:rPr>
              <w:t>万元，占总投资的</w:t>
            </w:r>
            <w:r>
              <w:rPr>
                <w:highlight w:val="none"/>
              </w:rPr>
              <w:t>0.</w:t>
            </w:r>
            <w:r>
              <w:rPr>
                <w:rFonts w:hint="eastAsia"/>
                <w:highlight w:val="none"/>
                <w:lang w:val="en-US" w:eastAsia="zh-CN"/>
              </w:rPr>
              <w:t>12</w:t>
            </w:r>
            <w:r>
              <w:rPr>
                <w:rFonts w:hint="eastAsia"/>
              </w:rPr>
              <w:t>%；</w:t>
            </w:r>
          </w:p>
          <w:p w14:paraId="6843FC38">
            <w:pPr>
              <w:pStyle w:val="51"/>
              <w:ind w:firstLine="480"/>
            </w:pPr>
            <w:r>
              <w:t>建设地点：</w:t>
            </w:r>
            <w:r>
              <w:rPr>
                <w:rFonts w:hint="eastAsia"/>
              </w:rPr>
              <w:t>安徽省池州市皖江江南新兴产业集中区众飞产业园3号厂房一层；</w:t>
            </w:r>
          </w:p>
          <w:p w14:paraId="132FE60F">
            <w:pPr>
              <w:pStyle w:val="51"/>
              <w:ind w:firstLine="480"/>
            </w:pPr>
            <w:r>
              <w:rPr>
                <w:rFonts w:hint="eastAsia"/>
              </w:rPr>
              <w:t>占地面积：</w:t>
            </w:r>
            <w:r>
              <w:t>项目总占地</w:t>
            </w:r>
            <w:r>
              <w:rPr>
                <w:rFonts w:hint="eastAsia"/>
                <w:lang w:val="en-US" w:eastAsia="zh-CN"/>
              </w:rPr>
              <w:t>4400</w:t>
            </w:r>
            <w:r>
              <w:t>m</w:t>
            </w:r>
            <w:r>
              <w:rPr>
                <w:vertAlign w:val="superscript"/>
              </w:rPr>
              <w:t>2</w:t>
            </w:r>
            <w:r>
              <w:t>，建筑面积</w:t>
            </w:r>
            <w:r>
              <w:rPr>
                <w:rFonts w:hint="eastAsia"/>
                <w:lang w:val="en-US" w:eastAsia="zh-CN"/>
              </w:rPr>
              <w:t>4400</w:t>
            </w:r>
            <w:r>
              <w:t>m</w:t>
            </w:r>
            <w:r>
              <w:rPr>
                <w:vertAlign w:val="superscript"/>
              </w:rPr>
              <w:t>2</w:t>
            </w:r>
            <w:r>
              <w:rPr>
                <w:rFonts w:hint="eastAsia"/>
              </w:rPr>
              <w:t>；</w:t>
            </w:r>
          </w:p>
          <w:p w14:paraId="2F998EA3">
            <w:pPr>
              <w:pStyle w:val="51"/>
              <w:ind w:firstLine="480"/>
            </w:pPr>
            <w:r>
              <w:t>劳动定员：</w:t>
            </w:r>
            <w:r>
              <w:rPr>
                <w:rFonts w:hint="eastAsia"/>
              </w:rPr>
              <w:t>项目劳动定员</w:t>
            </w:r>
            <w:r>
              <w:t>50人</w:t>
            </w:r>
            <w:r>
              <w:rPr>
                <w:rFonts w:hint="eastAsia"/>
              </w:rPr>
              <w:t>；厂区</w:t>
            </w:r>
            <w:r>
              <w:rPr>
                <w:rFonts w:hint="eastAsia"/>
                <w:lang w:val="en-US" w:eastAsia="zh-CN"/>
              </w:rPr>
              <w:t>不</w:t>
            </w:r>
            <w:r>
              <w:rPr>
                <w:rFonts w:hint="eastAsia"/>
              </w:rPr>
              <w:t>设食堂和宿舍</w:t>
            </w:r>
            <w:r>
              <w:t>；</w:t>
            </w:r>
          </w:p>
          <w:p w14:paraId="2B354FB1">
            <w:pPr>
              <w:pStyle w:val="51"/>
              <w:ind w:firstLine="480"/>
            </w:pPr>
            <w:r>
              <w:t>工作制度：</w:t>
            </w:r>
            <w:r>
              <w:rPr>
                <w:rFonts w:hint="eastAsia"/>
                <w:lang w:val="en-US" w:eastAsia="zh-CN"/>
              </w:rPr>
              <w:t>二</w:t>
            </w:r>
            <w:r>
              <w:rPr>
                <w:rFonts w:hint="eastAsia"/>
              </w:rPr>
              <w:t>班制，</w:t>
            </w:r>
            <w:r>
              <w:rPr>
                <w:rFonts w:hint="eastAsia"/>
                <w:color w:val="FF0000"/>
              </w:rPr>
              <w:t>每班工作</w:t>
            </w:r>
            <w:r>
              <w:rPr>
                <w:rFonts w:hint="eastAsia"/>
                <w:color w:val="FF0000"/>
                <w:lang w:val="en-US" w:eastAsia="zh-CN"/>
              </w:rPr>
              <w:t>12</w:t>
            </w:r>
            <w:r>
              <w:rPr>
                <w:color w:val="FF0000"/>
              </w:rPr>
              <w:t>小时，年工作3</w:t>
            </w:r>
            <w:r>
              <w:rPr>
                <w:rFonts w:hint="eastAsia"/>
                <w:color w:val="FF0000"/>
                <w:lang w:val="en-US" w:eastAsia="zh-CN"/>
              </w:rPr>
              <w:t>0</w:t>
            </w:r>
            <w:r>
              <w:rPr>
                <w:color w:val="FF0000"/>
              </w:rPr>
              <w:t>0天</w:t>
            </w:r>
            <w:r>
              <w:rPr>
                <w:rFonts w:hint="eastAsia"/>
                <w:color w:val="FF0000"/>
              </w:rPr>
              <w:t>，即</w:t>
            </w:r>
            <w:r>
              <w:rPr>
                <w:rFonts w:hint="eastAsia"/>
                <w:color w:val="FF0000"/>
                <w:lang w:val="en-US" w:eastAsia="zh-CN"/>
              </w:rPr>
              <w:t>7200</w:t>
            </w:r>
            <w:r>
              <w:rPr>
                <w:color w:val="FF0000"/>
              </w:rPr>
              <w:t>h/a</w:t>
            </w:r>
            <w:r>
              <w:rPr>
                <w:rFonts w:hint="eastAsia"/>
                <w:color w:val="FF0000"/>
              </w:rPr>
              <w:t>。</w:t>
            </w:r>
          </w:p>
          <w:p w14:paraId="4BB80B69">
            <w:pPr>
              <w:pStyle w:val="51"/>
              <w:ind w:firstLine="482"/>
              <w:rPr>
                <w:b/>
                <w:bCs/>
              </w:rPr>
            </w:pPr>
            <w:r>
              <w:rPr>
                <w:b/>
                <w:bCs/>
              </w:rPr>
              <w:t>3</w:t>
            </w:r>
            <w:r>
              <w:rPr>
                <w:rFonts w:hint="eastAsia"/>
                <w:b/>
                <w:bCs/>
              </w:rPr>
              <w:t>、</w:t>
            </w:r>
            <w:r>
              <w:rPr>
                <w:b/>
                <w:bCs/>
              </w:rPr>
              <w:t>项目建设内容</w:t>
            </w:r>
          </w:p>
          <w:p w14:paraId="01E03890">
            <w:pPr>
              <w:pStyle w:val="51"/>
              <w:ind w:firstLine="480"/>
            </w:pPr>
            <w:r>
              <w:rPr>
                <w:rFonts w:hint="eastAsia"/>
              </w:rPr>
              <w:t>本项目</w:t>
            </w:r>
            <w:r>
              <w:rPr>
                <w:rFonts w:hint="eastAsia"/>
                <w:lang w:val="en-US" w:eastAsia="zh-CN"/>
              </w:rPr>
              <w:t>租赁</w:t>
            </w:r>
            <w:r>
              <w:rPr>
                <w:rFonts w:hint="eastAsia"/>
              </w:rPr>
              <w:t>皖江江南新兴产业集中区众飞产业园3号厂房一层，建筑面积约</w:t>
            </w:r>
            <w:r>
              <w:rPr>
                <w:rFonts w:hint="eastAsia"/>
                <w:lang w:val="en-US" w:eastAsia="zh-CN"/>
              </w:rPr>
              <w:t>4400</w:t>
            </w:r>
            <w:r>
              <w:rPr>
                <w:rFonts w:hint="eastAsia"/>
              </w:rPr>
              <w:t>m</w:t>
            </w:r>
            <w:r>
              <w:rPr>
                <w:vertAlign w:val="superscript"/>
              </w:rPr>
              <w:t>2</w:t>
            </w:r>
            <w:r>
              <w:rPr>
                <w:rFonts w:hint="eastAsia"/>
                <w:lang w:eastAsia="zh-CN"/>
              </w:rPr>
              <w:t>。</w:t>
            </w:r>
            <w:r>
              <w:t>项目建设的主要工程内容及规模详见表</w:t>
            </w:r>
            <w:r>
              <w:rPr>
                <w:rFonts w:hint="eastAsia"/>
              </w:rPr>
              <w:t>2</w:t>
            </w:r>
            <w:r>
              <w:t>-</w:t>
            </w:r>
            <w:r>
              <w:rPr>
                <w:rFonts w:hint="eastAsia"/>
                <w:lang w:val="en-US" w:eastAsia="zh-CN"/>
              </w:rPr>
              <w:t>3</w:t>
            </w:r>
            <w:r>
              <w:t>。</w:t>
            </w:r>
          </w:p>
          <w:p w14:paraId="685EF8E3">
            <w:pPr>
              <w:pStyle w:val="52"/>
            </w:pPr>
            <w:r>
              <w:rPr>
                <w:rFonts w:hint="eastAsia"/>
              </w:rPr>
              <w:t>表</w:t>
            </w:r>
            <w:r>
              <w:t>2</w:t>
            </w:r>
            <w:r>
              <w:rPr>
                <w:rFonts w:hint="eastAsia"/>
              </w:rPr>
              <w:t>-</w:t>
            </w:r>
            <w:r>
              <w:rPr>
                <w:rFonts w:hint="eastAsia"/>
                <w:lang w:val="en-US" w:eastAsia="zh-CN"/>
              </w:rPr>
              <w:t>3</w:t>
            </w:r>
            <w:r>
              <w:rPr>
                <w:rFonts w:hint="eastAsia"/>
              </w:rPr>
              <w:t xml:space="preserve">  建设项目组成一览表</w:t>
            </w:r>
          </w:p>
          <w:tbl>
            <w:tblPr>
              <w:tblStyle w:val="23"/>
              <w:tblW w:w="499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28" w:type="dxa"/>
                <w:bottom w:w="0" w:type="dxa"/>
                <w:right w:w="28" w:type="dxa"/>
              </w:tblCellMar>
            </w:tblPr>
            <w:tblGrid>
              <w:gridCol w:w="556"/>
              <w:gridCol w:w="1217"/>
              <w:gridCol w:w="4589"/>
              <w:gridCol w:w="1937"/>
            </w:tblGrid>
            <w:tr w14:paraId="304D61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340" w:hRule="atLeast"/>
                <w:jc w:val="center"/>
              </w:trPr>
              <w:tc>
                <w:tcPr>
                  <w:tcW w:w="335" w:type="pct"/>
                  <w:vAlign w:val="center"/>
                </w:tcPr>
                <w:p w14:paraId="50985B82">
                  <w:pPr>
                    <w:jc w:val="center"/>
                    <w:rPr>
                      <w:b/>
                      <w:szCs w:val="21"/>
                    </w:rPr>
                  </w:pPr>
                  <w:r>
                    <w:rPr>
                      <w:b/>
                      <w:szCs w:val="21"/>
                    </w:rPr>
                    <w:t>项目名称</w:t>
                  </w:r>
                </w:p>
              </w:tc>
              <w:tc>
                <w:tcPr>
                  <w:tcW w:w="733" w:type="pct"/>
                  <w:vAlign w:val="center"/>
                </w:tcPr>
                <w:p w14:paraId="7FFB73A6">
                  <w:pPr>
                    <w:jc w:val="center"/>
                    <w:rPr>
                      <w:b/>
                      <w:szCs w:val="21"/>
                    </w:rPr>
                  </w:pPr>
                  <w:r>
                    <w:rPr>
                      <w:b/>
                      <w:szCs w:val="21"/>
                    </w:rPr>
                    <w:t>单项工程名称</w:t>
                  </w:r>
                </w:p>
              </w:tc>
              <w:tc>
                <w:tcPr>
                  <w:tcW w:w="2764" w:type="pct"/>
                  <w:vAlign w:val="center"/>
                </w:tcPr>
                <w:p w14:paraId="6C9096F2">
                  <w:pPr>
                    <w:jc w:val="center"/>
                    <w:rPr>
                      <w:b/>
                      <w:szCs w:val="21"/>
                    </w:rPr>
                  </w:pPr>
                  <w:r>
                    <w:rPr>
                      <w:b/>
                      <w:szCs w:val="21"/>
                    </w:rPr>
                    <w:t>工程内容</w:t>
                  </w:r>
                </w:p>
              </w:tc>
              <w:tc>
                <w:tcPr>
                  <w:tcW w:w="1165" w:type="pct"/>
                  <w:vAlign w:val="center"/>
                </w:tcPr>
                <w:p w14:paraId="01FBB4A2">
                  <w:pPr>
                    <w:jc w:val="center"/>
                    <w:rPr>
                      <w:b/>
                      <w:szCs w:val="21"/>
                    </w:rPr>
                  </w:pPr>
                  <w:r>
                    <w:rPr>
                      <w:rFonts w:hint="eastAsia"/>
                      <w:b/>
                      <w:szCs w:val="21"/>
                    </w:rPr>
                    <w:t>工程规模</w:t>
                  </w:r>
                </w:p>
              </w:tc>
            </w:tr>
            <w:tr w14:paraId="5E94F8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90" w:hRule="atLeast"/>
                <w:jc w:val="center"/>
              </w:trPr>
              <w:tc>
                <w:tcPr>
                  <w:tcW w:w="335" w:type="pct"/>
                  <w:vAlign w:val="center"/>
                </w:tcPr>
                <w:p w14:paraId="5BCB3A25">
                  <w:pPr>
                    <w:jc w:val="center"/>
                    <w:rPr>
                      <w:rFonts w:hint="default" w:eastAsia="宋体"/>
                      <w:bCs/>
                      <w:szCs w:val="21"/>
                      <w:lang w:val="en-US" w:eastAsia="zh-CN"/>
                    </w:rPr>
                  </w:pPr>
                  <w:r>
                    <w:rPr>
                      <w:rFonts w:hint="eastAsia"/>
                      <w:bCs/>
                      <w:szCs w:val="21"/>
                      <w:lang w:val="en-US" w:eastAsia="zh-CN"/>
                    </w:rPr>
                    <w:t>主体工程</w:t>
                  </w:r>
                </w:p>
              </w:tc>
              <w:tc>
                <w:tcPr>
                  <w:tcW w:w="733" w:type="pct"/>
                  <w:vAlign w:val="center"/>
                </w:tcPr>
                <w:p w14:paraId="249B0269">
                  <w:pPr>
                    <w:jc w:val="center"/>
                    <w:rPr>
                      <w:rFonts w:hint="default"/>
                      <w:bCs/>
                      <w:color w:val="FF0000"/>
                      <w:szCs w:val="21"/>
                      <w:lang w:val="en-US" w:eastAsia="zh-CN"/>
                    </w:rPr>
                  </w:pPr>
                  <w:r>
                    <w:rPr>
                      <w:rFonts w:hint="eastAsia"/>
                      <w:bCs/>
                      <w:color w:val="FF0000"/>
                      <w:szCs w:val="21"/>
                      <w:lang w:val="en-US" w:eastAsia="zh-CN"/>
                    </w:rPr>
                    <w:t>生产车间</w:t>
                  </w:r>
                </w:p>
              </w:tc>
              <w:tc>
                <w:tcPr>
                  <w:tcW w:w="2764" w:type="pct"/>
                  <w:vAlign w:val="center"/>
                </w:tcPr>
                <w:p w14:paraId="2E9F13B0">
                  <w:pPr>
                    <w:rPr>
                      <w:rFonts w:hint="default" w:eastAsia="宋体"/>
                      <w:bCs/>
                      <w:color w:val="FF0000"/>
                      <w:szCs w:val="21"/>
                      <w:lang w:val="en-US" w:eastAsia="zh-CN"/>
                    </w:rPr>
                  </w:pPr>
                  <w:r>
                    <w:rPr>
                      <w:rFonts w:hint="eastAsia"/>
                      <w:bCs/>
                      <w:color w:val="FF0000"/>
                      <w:szCs w:val="21"/>
                      <w:lang w:val="en-US" w:eastAsia="zh-CN"/>
                    </w:rPr>
                    <w:t>位于众飞产业园3号厂房一层，3号楼总高度23.9m，其中一层高6.5m。生产车间位于厂房中部，设置LED显示模组生产线和COB灯带生产线，购置</w:t>
                  </w:r>
                  <w:r>
                    <w:rPr>
                      <w:rFonts w:hint="eastAsia"/>
                      <w:bCs/>
                      <w:color w:val="FF0000"/>
                      <w:szCs w:val="21"/>
                    </w:rPr>
                    <w:t>主要包括</w:t>
                  </w:r>
                  <w:r>
                    <w:rPr>
                      <w:rFonts w:hint="eastAsia"/>
                      <w:bCs/>
                      <w:color w:val="FF0000"/>
                      <w:szCs w:val="21"/>
                      <w:lang w:val="en-US" w:eastAsia="zh-CN"/>
                    </w:rPr>
                    <w:t>上板机、锡膏涂覆</w:t>
                  </w:r>
                  <w:r>
                    <w:rPr>
                      <w:rFonts w:hint="eastAsia"/>
                      <w:bCs/>
                      <w:color w:val="FF0000"/>
                      <w:szCs w:val="21"/>
                    </w:rPr>
                    <w:t>机、</w:t>
                  </w:r>
                  <w:r>
                    <w:rPr>
                      <w:rFonts w:hint="eastAsia"/>
                      <w:bCs/>
                      <w:color w:val="FF0000"/>
                      <w:szCs w:val="21"/>
                      <w:lang w:val="en-US" w:eastAsia="zh-CN"/>
                    </w:rPr>
                    <w:t>贴片机、</w:t>
                  </w:r>
                  <w:r>
                    <w:rPr>
                      <w:rFonts w:hint="eastAsia"/>
                      <w:bCs/>
                      <w:color w:val="FF0000"/>
                      <w:szCs w:val="21"/>
                    </w:rPr>
                    <w:t>回流焊</w:t>
                  </w:r>
                  <w:r>
                    <w:rPr>
                      <w:rFonts w:hint="eastAsia"/>
                      <w:bCs/>
                      <w:color w:val="FF0000"/>
                      <w:szCs w:val="21"/>
                      <w:lang w:val="en-US" w:eastAsia="zh-CN"/>
                    </w:rPr>
                    <w:t>机、固晶机</w:t>
                  </w:r>
                  <w:r>
                    <w:rPr>
                      <w:rFonts w:hint="eastAsia"/>
                      <w:bCs/>
                      <w:color w:val="FF0000"/>
                      <w:szCs w:val="21"/>
                    </w:rPr>
                    <w:t>、</w:t>
                  </w:r>
                  <w:r>
                    <w:rPr>
                      <w:rFonts w:hint="eastAsia"/>
                      <w:bCs/>
                      <w:color w:val="FF0000"/>
                      <w:szCs w:val="21"/>
                      <w:lang w:val="en-US" w:eastAsia="zh-CN"/>
                    </w:rPr>
                    <w:t>拉胶机</w:t>
                  </w:r>
                  <w:r>
                    <w:rPr>
                      <w:rFonts w:hint="eastAsia"/>
                      <w:bCs/>
                      <w:color w:val="FF0000"/>
                      <w:szCs w:val="21"/>
                    </w:rPr>
                    <w:t>、</w:t>
                  </w:r>
                  <w:r>
                    <w:rPr>
                      <w:rFonts w:hint="eastAsia"/>
                      <w:bCs/>
                      <w:color w:val="FF0000"/>
                      <w:szCs w:val="21"/>
                      <w:lang w:val="en-US" w:eastAsia="zh-CN"/>
                    </w:rPr>
                    <w:t>隧道炉</w:t>
                  </w:r>
                  <w:r>
                    <w:rPr>
                      <w:rFonts w:hint="eastAsia"/>
                      <w:bCs/>
                      <w:color w:val="FF0000"/>
                      <w:szCs w:val="21"/>
                    </w:rPr>
                    <w:t>等生产设备。</w:t>
                  </w:r>
                </w:p>
              </w:tc>
              <w:tc>
                <w:tcPr>
                  <w:tcW w:w="1165" w:type="pct"/>
                  <w:vAlign w:val="center"/>
                </w:tcPr>
                <w:p w14:paraId="200F2A96">
                  <w:pPr>
                    <w:rPr>
                      <w:rFonts w:hint="eastAsia" w:eastAsia="宋体"/>
                      <w:bCs/>
                      <w:szCs w:val="21"/>
                      <w:lang w:val="en-US" w:eastAsia="zh-CN"/>
                    </w:rPr>
                  </w:pPr>
                  <w:r>
                    <w:rPr>
                      <w:rFonts w:hint="eastAsia"/>
                      <w:bCs/>
                      <w:color w:val="FF0000"/>
                      <w:szCs w:val="21"/>
                      <w:lang w:val="en-US" w:eastAsia="zh-CN"/>
                    </w:rPr>
                    <w:t>年生产3</w:t>
                  </w:r>
                  <w:r>
                    <w:rPr>
                      <w:rFonts w:hint="eastAsia"/>
                      <w:bCs/>
                      <w:color w:val="FF0000"/>
                      <w:szCs w:val="21"/>
                    </w:rPr>
                    <w:t>00万件LED显示模组</w:t>
                  </w:r>
                  <w:r>
                    <w:rPr>
                      <w:rFonts w:hint="eastAsia"/>
                      <w:bCs/>
                      <w:color w:val="FF0000"/>
                      <w:szCs w:val="21"/>
                      <w:lang w:eastAsia="zh-CN"/>
                    </w:rPr>
                    <w:t>、</w:t>
                  </w:r>
                  <w:r>
                    <w:rPr>
                      <w:rFonts w:hint="eastAsia"/>
                      <w:bCs/>
                      <w:color w:val="FF0000"/>
                      <w:szCs w:val="21"/>
                      <w:lang w:val="en-US" w:eastAsia="zh-CN"/>
                    </w:rPr>
                    <w:t>4</w:t>
                  </w:r>
                  <w:r>
                    <w:rPr>
                      <w:rFonts w:hint="eastAsia"/>
                      <w:bCs/>
                      <w:color w:val="FF0000"/>
                      <w:szCs w:val="21"/>
                    </w:rPr>
                    <w:t>00万件</w:t>
                  </w:r>
                  <w:r>
                    <w:rPr>
                      <w:rFonts w:hint="eastAsia"/>
                      <w:bCs/>
                      <w:color w:val="FF0000"/>
                      <w:szCs w:val="21"/>
                      <w:lang w:val="en-US" w:eastAsia="zh-CN"/>
                    </w:rPr>
                    <w:t>COB灯带</w:t>
                  </w:r>
                </w:p>
              </w:tc>
            </w:tr>
            <w:tr w14:paraId="430589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340" w:hRule="atLeast"/>
                <w:jc w:val="center"/>
              </w:trPr>
              <w:tc>
                <w:tcPr>
                  <w:tcW w:w="335" w:type="pct"/>
                  <w:vMerge w:val="restart"/>
                  <w:vAlign w:val="center"/>
                </w:tcPr>
                <w:p w14:paraId="7BCC9389">
                  <w:pPr>
                    <w:jc w:val="center"/>
                    <w:rPr>
                      <w:bCs/>
                      <w:szCs w:val="21"/>
                    </w:rPr>
                  </w:pPr>
                  <w:r>
                    <w:rPr>
                      <w:bCs/>
                      <w:szCs w:val="21"/>
                    </w:rPr>
                    <w:t>辅助工程</w:t>
                  </w:r>
                </w:p>
              </w:tc>
              <w:tc>
                <w:tcPr>
                  <w:tcW w:w="733" w:type="pct"/>
                  <w:vAlign w:val="center"/>
                </w:tcPr>
                <w:p w14:paraId="7244DBDD">
                  <w:pPr>
                    <w:jc w:val="center"/>
                    <w:rPr>
                      <w:rFonts w:hint="eastAsia" w:eastAsia="宋体"/>
                      <w:szCs w:val="21"/>
                      <w:lang w:eastAsia="zh-CN"/>
                    </w:rPr>
                  </w:pPr>
                  <w:r>
                    <w:rPr>
                      <w:rFonts w:hint="eastAsia"/>
                      <w:szCs w:val="21"/>
                      <w:lang w:val="en-US" w:eastAsia="zh-CN"/>
                    </w:rPr>
                    <w:t>办公区</w:t>
                  </w:r>
                </w:p>
              </w:tc>
              <w:tc>
                <w:tcPr>
                  <w:tcW w:w="3930" w:type="pct"/>
                  <w:gridSpan w:val="2"/>
                  <w:vAlign w:val="center"/>
                </w:tcPr>
                <w:p w14:paraId="56B3991B">
                  <w:pPr>
                    <w:rPr>
                      <w:rFonts w:hint="eastAsia" w:eastAsia="宋体"/>
                      <w:szCs w:val="21"/>
                      <w:lang w:eastAsia="zh-CN"/>
                    </w:rPr>
                  </w:pPr>
                  <w:r>
                    <w:rPr>
                      <w:rFonts w:hint="eastAsia"/>
                      <w:szCs w:val="21"/>
                      <w:lang w:val="en-US" w:eastAsia="zh-CN"/>
                    </w:rPr>
                    <w:t>位于厂房内西南角</w:t>
                  </w:r>
                  <w:r>
                    <w:rPr>
                      <w:rFonts w:hint="eastAsia"/>
                      <w:szCs w:val="21"/>
                    </w:rPr>
                    <w:t>，</w:t>
                  </w:r>
                  <w:r>
                    <w:rPr>
                      <w:rFonts w:hint="eastAsia"/>
                      <w:szCs w:val="21"/>
                      <w:lang w:val="en-US" w:eastAsia="zh-CN"/>
                    </w:rPr>
                    <w:t>建筑面积320m</w:t>
                  </w:r>
                  <w:r>
                    <w:rPr>
                      <w:rFonts w:hint="eastAsia"/>
                      <w:szCs w:val="21"/>
                      <w:vertAlign w:val="superscript"/>
                      <w:lang w:val="en-US" w:eastAsia="zh-CN"/>
                    </w:rPr>
                    <w:t>2</w:t>
                  </w:r>
                  <w:r>
                    <w:rPr>
                      <w:rFonts w:hint="eastAsia"/>
                      <w:szCs w:val="21"/>
                      <w:lang w:val="en-US" w:eastAsia="zh-CN"/>
                    </w:rPr>
                    <w:t>，</w:t>
                  </w:r>
                  <w:r>
                    <w:rPr>
                      <w:rFonts w:hint="eastAsia"/>
                      <w:szCs w:val="21"/>
                    </w:rPr>
                    <w:t>主要用于员工办公</w:t>
                  </w:r>
                  <w:r>
                    <w:rPr>
                      <w:rFonts w:hint="eastAsia"/>
                      <w:szCs w:val="21"/>
                      <w:lang w:eastAsia="zh-CN"/>
                    </w:rPr>
                    <w:t>。</w:t>
                  </w:r>
                </w:p>
              </w:tc>
            </w:tr>
            <w:tr w14:paraId="495AC4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340" w:hRule="atLeast"/>
                <w:jc w:val="center"/>
              </w:trPr>
              <w:tc>
                <w:tcPr>
                  <w:tcW w:w="335" w:type="pct"/>
                  <w:vMerge w:val="continue"/>
                  <w:vAlign w:val="center"/>
                </w:tcPr>
                <w:p w14:paraId="7B3A1FD1">
                  <w:pPr>
                    <w:jc w:val="center"/>
                    <w:rPr>
                      <w:bCs/>
                      <w:szCs w:val="21"/>
                    </w:rPr>
                  </w:pPr>
                </w:p>
              </w:tc>
              <w:tc>
                <w:tcPr>
                  <w:tcW w:w="733" w:type="pct"/>
                  <w:vAlign w:val="center"/>
                </w:tcPr>
                <w:p w14:paraId="06268D1A">
                  <w:pPr>
                    <w:jc w:val="center"/>
                    <w:rPr>
                      <w:rFonts w:hint="default" w:eastAsia="宋体"/>
                      <w:szCs w:val="21"/>
                      <w:lang w:val="en-US" w:eastAsia="zh-CN"/>
                    </w:rPr>
                  </w:pPr>
                  <w:r>
                    <w:rPr>
                      <w:rFonts w:hint="eastAsia"/>
                      <w:szCs w:val="21"/>
                      <w:lang w:val="en-US" w:eastAsia="zh-CN"/>
                    </w:rPr>
                    <w:t>更衣区</w:t>
                  </w:r>
                </w:p>
              </w:tc>
              <w:tc>
                <w:tcPr>
                  <w:tcW w:w="3930" w:type="pct"/>
                  <w:gridSpan w:val="2"/>
                  <w:vAlign w:val="center"/>
                </w:tcPr>
                <w:p w14:paraId="339C1D4B">
                  <w:pPr>
                    <w:rPr>
                      <w:rFonts w:hint="eastAsia" w:eastAsia="宋体"/>
                      <w:szCs w:val="21"/>
                      <w:lang w:eastAsia="zh-CN"/>
                    </w:rPr>
                  </w:pPr>
                  <w:r>
                    <w:rPr>
                      <w:rFonts w:hint="eastAsia"/>
                      <w:szCs w:val="21"/>
                      <w:lang w:val="en-US" w:eastAsia="zh-CN"/>
                    </w:rPr>
                    <w:t>位于厂房内东侧，建筑面积95m</w:t>
                  </w:r>
                  <w:r>
                    <w:rPr>
                      <w:rFonts w:hint="eastAsia"/>
                      <w:szCs w:val="21"/>
                      <w:vertAlign w:val="superscript"/>
                      <w:lang w:val="en-US" w:eastAsia="zh-CN"/>
                    </w:rPr>
                    <w:t>2</w:t>
                  </w:r>
                  <w:r>
                    <w:rPr>
                      <w:rFonts w:hint="eastAsia"/>
                      <w:szCs w:val="21"/>
                      <w:lang w:val="en-US" w:eastAsia="zh-CN"/>
                    </w:rPr>
                    <w:t>，</w:t>
                  </w:r>
                  <w:r>
                    <w:rPr>
                      <w:rFonts w:hint="eastAsia"/>
                      <w:szCs w:val="21"/>
                    </w:rPr>
                    <w:t>用于员工进生产车间前的衣物更换及清洁</w:t>
                  </w:r>
                  <w:r>
                    <w:rPr>
                      <w:rFonts w:hint="eastAsia"/>
                      <w:szCs w:val="21"/>
                      <w:lang w:eastAsia="zh-CN"/>
                    </w:rPr>
                    <w:t>。</w:t>
                  </w:r>
                </w:p>
              </w:tc>
            </w:tr>
            <w:tr w14:paraId="1F153B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340" w:hRule="atLeast"/>
                <w:jc w:val="center"/>
              </w:trPr>
              <w:tc>
                <w:tcPr>
                  <w:tcW w:w="335" w:type="pct"/>
                  <w:vMerge w:val="restart"/>
                  <w:vAlign w:val="center"/>
                </w:tcPr>
                <w:p w14:paraId="7C70B1F0">
                  <w:pPr>
                    <w:jc w:val="center"/>
                    <w:rPr>
                      <w:bCs/>
                      <w:szCs w:val="21"/>
                    </w:rPr>
                  </w:pPr>
                  <w:r>
                    <w:rPr>
                      <w:rFonts w:hint="eastAsia"/>
                      <w:bCs/>
                      <w:szCs w:val="21"/>
                    </w:rPr>
                    <w:t>储运工程</w:t>
                  </w:r>
                </w:p>
              </w:tc>
              <w:tc>
                <w:tcPr>
                  <w:tcW w:w="733" w:type="pct"/>
                  <w:vAlign w:val="center"/>
                </w:tcPr>
                <w:p w14:paraId="0A675208">
                  <w:pPr>
                    <w:jc w:val="center"/>
                    <w:rPr>
                      <w:rFonts w:hint="default" w:eastAsia="宋体"/>
                      <w:szCs w:val="21"/>
                      <w:lang w:val="en-US" w:eastAsia="zh-CN"/>
                    </w:rPr>
                  </w:pPr>
                  <w:r>
                    <w:rPr>
                      <w:rFonts w:hint="eastAsia"/>
                      <w:szCs w:val="21"/>
                      <w:lang w:val="en-US" w:eastAsia="zh-CN"/>
                    </w:rPr>
                    <w:t>原料库</w:t>
                  </w:r>
                </w:p>
              </w:tc>
              <w:tc>
                <w:tcPr>
                  <w:tcW w:w="3930" w:type="pct"/>
                  <w:gridSpan w:val="2"/>
                  <w:vAlign w:val="center"/>
                </w:tcPr>
                <w:p w14:paraId="38C2AA8A">
                  <w:pPr>
                    <w:rPr>
                      <w:szCs w:val="21"/>
                    </w:rPr>
                  </w:pPr>
                  <w:r>
                    <w:rPr>
                      <w:rFonts w:hint="eastAsia"/>
                      <w:szCs w:val="21"/>
                    </w:rPr>
                    <w:t>位于</w:t>
                  </w:r>
                  <w:r>
                    <w:rPr>
                      <w:rFonts w:hint="eastAsia"/>
                      <w:szCs w:val="21"/>
                      <w:lang w:val="en-US" w:eastAsia="zh-CN"/>
                    </w:rPr>
                    <w:t>厂房内东南</w:t>
                  </w:r>
                  <w:r>
                    <w:rPr>
                      <w:rFonts w:hint="eastAsia"/>
                      <w:szCs w:val="21"/>
                    </w:rPr>
                    <w:t>侧，建筑面积约</w:t>
                  </w:r>
                  <w:r>
                    <w:rPr>
                      <w:rFonts w:hint="eastAsia"/>
                      <w:szCs w:val="21"/>
                      <w:lang w:val="en-US" w:eastAsia="zh-CN"/>
                    </w:rPr>
                    <w:t>367</w:t>
                  </w:r>
                  <w:r>
                    <w:rPr>
                      <w:szCs w:val="21"/>
                    </w:rPr>
                    <w:t>m</w:t>
                  </w:r>
                  <w:r>
                    <w:rPr>
                      <w:szCs w:val="21"/>
                      <w:vertAlign w:val="superscript"/>
                    </w:rPr>
                    <w:t>2</w:t>
                  </w:r>
                  <w:r>
                    <w:rPr>
                      <w:rFonts w:hint="eastAsia"/>
                      <w:szCs w:val="21"/>
                    </w:rPr>
                    <w:t>，主要用于</w:t>
                  </w:r>
                  <w:r>
                    <w:rPr>
                      <w:rFonts w:hint="eastAsia"/>
                      <w:szCs w:val="21"/>
                      <w:lang w:val="en-US" w:eastAsia="zh-CN"/>
                    </w:rPr>
                    <w:t>PCB线路板</w:t>
                  </w:r>
                  <w:r>
                    <w:rPr>
                      <w:rFonts w:hint="eastAsia"/>
                      <w:szCs w:val="21"/>
                    </w:rPr>
                    <w:t>、</w:t>
                  </w:r>
                  <w:r>
                    <w:rPr>
                      <w:rFonts w:hint="eastAsia"/>
                      <w:szCs w:val="21"/>
                      <w:lang w:val="en-US" w:eastAsia="zh-CN"/>
                    </w:rPr>
                    <w:t>电子元器件、灯珠、无铅锡膏、硅胶</w:t>
                  </w:r>
                  <w:r>
                    <w:rPr>
                      <w:rFonts w:hint="eastAsia"/>
                      <w:szCs w:val="21"/>
                    </w:rPr>
                    <w:t>的存储。</w:t>
                  </w:r>
                </w:p>
              </w:tc>
            </w:tr>
            <w:tr w14:paraId="202717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340" w:hRule="atLeast"/>
                <w:jc w:val="center"/>
              </w:trPr>
              <w:tc>
                <w:tcPr>
                  <w:tcW w:w="335" w:type="pct"/>
                  <w:vMerge w:val="continue"/>
                  <w:vAlign w:val="center"/>
                </w:tcPr>
                <w:p w14:paraId="6BF004F5">
                  <w:pPr>
                    <w:jc w:val="center"/>
                    <w:rPr>
                      <w:bCs/>
                      <w:szCs w:val="21"/>
                    </w:rPr>
                  </w:pPr>
                </w:p>
              </w:tc>
              <w:tc>
                <w:tcPr>
                  <w:tcW w:w="733" w:type="pct"/>
                  <w:vAlign w:val="center"/>
                </w:tcPr>
                <w:p w14:paraId="71FB297B">
                  <w:pPr>
                    <w:jc w:val="center"/>
                    <w:rPr>
                      <w:rFonts w:hint="default" w:eastAsia="宋体"/>
                      <w:szCs w:val="21"/>
                      <w:lang w:val="en-US" w:eastAsia="zh-CN"/>
                    </w:rPr>
                  </w:pPr>
                  <w:r>
                    <w:rPr>
                      <w:rFonts w:hint="eastAsia"/>
                      <w:szCs w:val="21"/>
                      <w:lang w:val="en-US" w:eastAsia="zh-CN"/>
                    </w:rPr>
                    <w:t>成品仓库</w:t>
                  </w:r>
                </w:p>
              </w:tc>
              <w:tc>
                <w:tcPr>
                  <w:tcW w:w="3930" w:type="pct"/>
                  <w:gridSpan w:val="2"/>
                  <w:vAlign w:val="center"/>
                </w:tcPr>
                <w:p w14:paraId="4B7344E6">
                  <w:pPr>
                    <w:rPr>
                      <w:szCs w:val="21"/>
                    </w:rPr>
                  </w:pPr>
                  <w:r>
                    <w:rPr>
                      <w:rFonts w:hint="eastAsia"/>
                      <w:szCs w:val="21"/>
                    </w:rPr>
                    <w:t>位于</w:t>
                  </w:r>
                  <w:r>
                    <w:rPr>
                      <w:rFonts w:hint="eastAsia"/>
                      <w:szCs w:val="21"/>
                      <w:lang w:val="en-US" w:eastAsia="zh-CN"/>
                    </w:rPr>
                    <w:t>厂房内东</w:t>
                  </w:r>
                  <w:r>
                    <w:rPr>
                      <w:rFonts w:hint="eastAsia"/>
                      <w:szCs w:val="21"/>
                    </w:rPr>
                    <w:t>侧，建筑面积约</w:t>
                  </w:r>
                  <w:r>
                    <w:rPr>
                      <w:rFonts w:hint="eastAsia"/>
                      <w:szCs w:val="21"/>
                      <w:lang w:val="en-US" w:eastAsia="zh-CN"/>
                    </w:rPr>
                    <w:t>347</w:t>
                  </w:r>
                  <w:r>
                    <w:rPr>
                      <w:szCs w:val="21"/>
                    </w:rPr>
                    <w:t>m</w:t>
                  </w:r>
                  <w:r>
                    <w:rPr>
                      <w:szCs w:val="21"/>
                      <w:vertAlign w:val="superscript"/>
                    </w:rPr>
                    <w:t>2</w:t>
                  </w:r>
                  <w:r>
                    <w:rPr>
                      <w:rFonts w:hint="eastAsia"/>
                      <w:szCs w:val="21"/>
                    </w:rPr>
                    <w:t>，主要用于</w:t>
                  </w:r>
                  <w:r>
                    <w:rPr>
                      <w:rFonts w:hint="eastAsia"/>
                      <w:szCs w:val="21"/>
                      <w:lang w:val="en-US" w:eastAsia="zh-CN"/>
                    </w:rPr>
                    <w:t>成品的暂存</w:t>
                  </w:r>
                  <w:r>
                    <w:rPr>
                      <w:rFonts w:hint="eastAsia"/>
                      <w:szCs w:val="21"/>
                    </w:rPr>
                    <w:t>。</w:t>
                  </w:r>
                </w:p>
              </w:tc>
            </w:tr>
            <w:tr w14:paraId="609480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340" w:hRule="atLeast"/>
                <w:jc w:val="center"/>
              </w:trPr>
              <w:tc>
                <w:tcPr>
                  <w:tcW w:w="335" w:type="pct"/>
                  <w:vMerge w:val="restart"/>
                  <w:vAlign w:val="center"/>
                </w:tcPr>
                <w:p w14:paraId="554A5643">
                  <w:pPr>
                    <w:jc w:val="center"/>
                    <w:rPr>
                      <w:bCs/>
                      <w:szCs w:val="21"/>
                      <w:highlight w:val="yellow"/>
                    </w:rPr>
                  </w:pPr>
                  <w:r>
                    <w:rPr>
                      <w:bCs/>
                      <w:szCs w:val="21"/>
                    </w:rPr>
                    <w:t>公用工程</w:t>
                  </w:r>
                </w:p>
              </w:tc>
              <w:tc>
                <w:tcPr>
                  <w:tcW w:w="733" w:type="pct"/>
                  <w:vAlign w:val="center"/>
                </w:tcPr>
                <w:p w14:paraId="1FDC2AB9">
                  <w:pPr>
                    <w:pStyle w:val="59"/>
                    <w:rPr>
                      <w:kern w:val="0"/>
                      <w:lang w:val="en-US" w:eastAsia="zh-CN"/>
                    </w:rPr>
                  </w:pPr>
                  <w:r>
                    <w:rPr>
                      <w:rFonts w:hint="eastAsia"/>
                      <w:kern w:val="0"/>
                      <w:lang w:val="en-US" w:eastAsia="zh-CN"/>
                    </w:rPr>
                    <w:t>供水</w:t>
                  </w:r>
                </w:p>
              </w:tc>
              <w:tc>
                <w:tcPr>
                  <w:tcW w:w="3930" w:type="pct"/>
                  <w:gridSpan w:val="2"/>
                  <w:vAlign w:val="center"/>
                </w:tcPr>
                <w:p w14:paraId="5C5FC1A3">
                  <w:pPr>
                    <w:rPr>
                      <w:rFonts w:hint="eastAsia" w:eastAsia="宋体"/>
                      <w:bCs/>
                      <w:szCs w:val="21"/>
                      <w:lang w:val="en-US" w:eastAsia="zh-CN"/>
                    </w:rPr>
                  </w:pPr>
                  <w:r>
                    <w:rPr>
                      <w:rFonts w:hint="eastAsia"/>
                      <w:bCs/>
                      <w:szCs w:val="21"/>
                    </w:rPr>
                    <w:t>由园区市政供水管网供给</w:t>
                  </w:r>
                  <w:r>
                    <w:rPr>
                      <w:rFonts w:hint="eastAsia"/>
                      <w:bCs/>
                      <w:szCs w:val="21"/>
                      <w:lang w:eastAsia="zh-CN"/>
                    </w:rPr>
                    <w:t>。</w:t>
                  </w:r>
                </w:p>
              </w:tc>
            </w:tr>
            <w:tr w14:paraId="5D3B50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340" w:hRule="atLeast"/>
                <w:jc w:val="center"/>
              </w:trPr>
              <w:tc>
                <w:tcPr>
                  <w:tcW w:w="335" w:type="pct"/>
                  <w:vMerge w:val="continue"/>
                  <w:vAlign w:val="center"/>
                </w:tcPr>
                <w:p w14:paraId="3C138D9D">
                  <w:pPr>
                    <w:jc w:val="center"/>
                    <w:rPr>
                      <w:bCs/>
                      <w:szCs w:val="21"/>
                      <w:highlight w:val="yellow"/>
                    </w:rPr>
                  </w:pPr>
                </w:p>
              </w:tc>
              <w:tc>
                <w:tcPr>
                  <w:tcW w:w="733" w:type="pct"/>
                  <w:vAlign w:val="center"/>
                </w:tcPr>
                <w:p w14:paraId="552CA051">
                  <w:pPr>
                    <w:pStyle w:val="59"/>
                    <w:rPr>
                      <w:kern w:val="0"/>
                      <w:lang w:val="en-US" w:eastAsia="zh-CN"/>
                    </w:rPr>
                  </w:pPr>
                  <w:r>
                    <w:rPr>
                      <w:rFonts w:hint="eastAsia"/>
                      <w:kern w:val="0"/>
                      <w:lang w:val="en-US" w:eastAsia="zh-CN"/>
                    </w:rPr>
                    <w:t>排水</w:t>
                  </w:r>
                </w:p>
              </w:tc>
              <w:tc>
                <w:tcPr>
                  <w:tcW w:w="3930" w:type="pct"/>
                  <w:gridSpan w:val="2"/>
                  <w:vAlign w:val="center"/>
                </w:tcPr>
                <w:p w14:paraId="2C0F2CED">
                  <w:pPr>
                    <w:rPr>
                      <w:rFonts w:hint="eastAsia" w:eastAsia="宋体"/>
                      <w:bCs/>
                      <w:szCs w:val="21"/>
                      <w:lang w:eastAsia="zh-CN"/>
                    </w:rPr>
                  </w:pPr>
                  <w:r>
                    <w:rPr>
                      <w:rFonts w:hint="eastAsia"/>
                      <w:bCs/>
                      <w:szCs w:val="21"/>
                    </w:rPr>
                    <w:t>项目采用雨污分流制，生活污水</w:t>
                  </w:r>
                  <w:r>
                    <w:rPr>
                      <w:rFonts w:hint="eastAsia"/>
                      <w:bCs/>
                      <w:szCs w:val="21"/>
                      <w:lang w:val="en-US" w:eastAsia="zh-CN"/>
                    </w:rPr>
                    <w:t>依托园</w:t>
                  </w:r>
                  <w:r>
                    <w:rPr>
                      <w:rFonts w:hint="eastAsia"/>
                      <w:bCs/>
                      <w:szCs w:val="21"/>
                    </w:rPr>
                    <w:t>区化粪池预处理后</w:t>
                  </w:r>
                  <w:r>
                    <w:rPr>
                      <w:rFonts w:hint="eastAsia" w:cs="Times New Roman"/>
                      <w:color w:val="auto"/>
                      <w:sz w:val="21"/>
                      <w:szCs w:val="21"/>
                      <w:highlight w:val="none"/>
                      <w:lang w:eastAsia="zh-CN"/>
                    </w:rPr>
                    <w:t>通过市政污水管网</w:t>
                  </w:r>
                  <w:r>
                    <w:rPr>
                      <w:rFonts w:hint="eastAsia"/>
                      <w:bCs/>
                      <w:szCs w:val="21"/>
                    </w:rPr>
                    <w:t>排入江南产业集中区第一污水处理厂，处理达标后经九华河排入长江</w:t>
                  </w:r>
                  <w:r>
                    <w:rPr>
                      <w:rFonts w:hint="eastAsia"/>
                      <w:bCs/>
                      <w:szCs w:val="21"/>
                      <w:lang w:eastAsia="zh-CN"/>
                    </w:rPr>
                    <w:t>。</w:t>
                  </w:r>
                </w:p>
              </w:tc>
            </w:tr>
            <w:tr w14:paraId="048C9C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340" w:hRule="atLeast"/>
                <w:jc w:val="center"/>
              </w:trPr>
              <w:tc>
                <w:tcPr>
                  <w:tcW w:w="335" w:type="pct"/>
                  <w:vMerge w:val="continue"/>
                  <w:vAlign w:val="center"/>
                </w:tcPr>
                <w:p w14:paraId="47862E6A">
                  <w:pPr>
                    <w:jc w:val="center"/>
                    <w:rPr>
                      <w:bCs/>
                      <w:szCs w:val="21"/>
                      <w:highlight w:val="yellow"/>
                    </w:rPr>
                  </w:pPr>
                </w:p>
              </w:tc>
              <w:tc>
                <w:tcPr>
                  <w:tcW w:w="733" w:type="pct"/>
                  <w:vAlign w:val="center"/>
                </w:tcPr>
                <w:p w14:paraId="01AF6850">
                  <w:pPr>
                    <w:pStyle w:val="59"/>
                    <w:rPr>
                      <w:kern w:val="0"/>
                      <w:lang w:val="en-US" w:eastAsia="zh-CN"/>
                    </w:rPr>
                  </w:pPr>
                  <w:r>
                    <w:rPr>
                      <w:rFonts w:hint="eastAsia"/>
                      <w:kern w:val="0"/>
                      <w:lang w:val="en-US" w:eastAsia="zh-CN"/>
                    </w:rPr>
                    <w:t>供电</w:t>
                  </w:r>
                </w:p>
              </w:tc>
              <w:tc>
                <w:tcPr>
                  <w:tcW w:w="3930" w:type="pct"/>
                  <w:gridSpan w:val="2"/>
                  <w:vAlign w:val="center"/>
                </w:tcPr>
                <w:p w14:paraId="41416355">
                  <w:pPr>
                    <w:rPr>
                      <w:bCs/>
                      <w:szCs w:val="21"/>
                    </w:rPr>
                  </w:pPr>
                  <w:r>
                    <w:rPr>
                      <w:rFonts w:hint="default" w:ascii="Times New Roman" w:hAnsi="Times New Roman" w:cs="Times New Roman"/>
                      <w:color w:val="auto"/>
                      <w:sz w:val="21"/>
                      <w:szCs w:val="21"/>
                      <w:highlight w:val="none"/>
                    </w:rPr>
                    <w:t>市政电网供</w:t>
                  </w:r>
                  <w:r>
                    <w:rPr>
                      <w:rFonts w:hint="eastAsia" w:ascii="Times New Roman" w:hAnsi="Times New Roman" w:cs="Times New Roman"/>
                      <w:color w:val="auto"/>
                      <w:sz w:val="21"/>
                      <w:szCs w:val="21"/>
                      <w:highlight w:val="none"/>
                      <w:lang w:eastAsia="zh-CN"/>
                    </w:rPr>
                    <w:t>电</w:t>
                  </w:r>
                  <w:r>
                    <w:rPr>
                      <w:rFonts w:hint="eastAsia"/>
                      <w:bCs/>
                      <w:szCs w:val="21"/>
                    </w:rPr>
                    <w:t>。</w:t>
                  </w:r>
                </w:p>
              </w:tc>
            </w:tr>
            <w:tr w14:paraId="3EC21C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340" w:hRule="atLeast"/>
                <w:jc w:val="center"/>
              </w:trPr>
              <w:tc>
                <w:tcPr>
                  <w:tcW w:w="335" w:type="pct"/>
                  <w:vMerge w:val="restart"/>
                  <w:vAlign w:val="center"/>
                </w:tcPr>
                <w:p w14:paraId="21591B2C">
                  <w:pPr>
                    <w:jc w:val="center"/>
                    <w:rPr>
                      <w:bCs/>
                      <w:szCs w:val="21"/>
                      <w:highlight w:val="yellow"/>
                    </w:rPr>
                  </w:pPr>
                  <w:r>
                    <w:rPr>
                      <w:bCs/>
                      <w:szCs w:val="21"/>
                    </w:rPr>
                    <w:t>环保工程</w:t>
                  </w:r>
                </w:p>
              </w:tc>
              <w:tc>
                <w:tcPr>
                  <w:tcW w:w="733" w:type="pct"/>
                  <w:vAlign w:val="center"/>
                </w:tcPr>
                <w:p w14:paraId="72743535">
                  <w:pPr>
                    <w:jc w:val="center"/>
                    <w:rPr>
                      <w:bCs/>
                      <w:color w:val="FF0000"/>
                      <w:szCs w:val="21"/>
                    </w:rPr>
                  </w:pPr>
                  <w:r>
                    <w:rPr>
                      <w:rFonts w:hint="eastAsia"/>
                      <w:bCs/>
                      <w:color w:val="FF0000"/>
                      <w:szCs w:val="21"/>
                      <w:highlight w:val="none"/>
                    </w:rPr>
                    <w:t>废气治理</w:t>
                  </w:r>
                </w:p>
              </w:tc>
              <w:tc>
                <w:tcPr>
                  <w:tcW w:w="3930" w:type="pct"/>
                  <w:gridSpan w:val="2"/>
                  <w:vAlign w:val="center"/>
                </w:tcPr>
                <w:p w14:paraId="6F2A245E">
                  <w:pPr>
                    <w:rPr>
                      <w:bCs/>
                      <w:color w:val="FF0000"/>
                      <w:szCs w:val="21"/>
                    </w:rPr>
                  </w:pPr>
                  <w:r>
                    <w:rPr>
                      <w:rFonts w:hint="eastAsia"/>
                      <w:bCs/>
                      <w:color w:val="FF0000"/>
                      <w:szCs w:val="21"/>
                    </w:rPr>
                    <w:t>回流焊机、隧道炉密闭设置，</w:t>
                  </w:r>
                  <w:r>
                    <w:rPr>
                      <w:rFonts w:hint="eastAsia"/>
                      <w:bCs/>
                      <w:color w:val="FF0000"/>
                      <w:szCs w:val="21"/>
                      <w:lang w:val="en-US" w:eastAsia="zh-CN"/>
                    </w:rPr>
                    <w:t>锡膏涂覆机和</w:t>
                  </w:r>
                  <w:r>
                    <w:rPr>
                      <w:rFonts w:hint="eastAsia"/>
                      <w:bCs/>
                      <w:color w:val="FF0000"/>
                      <w:szCs w:val="21"/>
                    </w:rPr>
                    <w:t>手工焊接工位设置集气罩，废气经集气管道和集气罩收集后，通过一套过滤棉+二级活性炭吸附装置处理后，尾气经一根2</w:t>
                  </w:r>
                  <w:r>
                    <w:rPr>
                      <w:rFonts w:hint="eastAsia"/>
                      <w:bCs/>
                      <w:color w:val="FF0000"/>
                      <w:szCs w:val="21"/>
                      <w:lang w:val="en-US" w:eastAsia="zh-CN"/>
                    </w:rPr>
                    <w:t>5</w:t>
                  </w:r>
                  <w:r>
                    <w:rPr>
                      <w:rFonts w:hint="eastAsia"/>
                      <w:bCs/>
                      <w:color w:val="FF0000"/>
                      <w:szCs w:val="21"/>
                    </w:rPr>
                    <w:t>m高的排气筒（DA001）排放</w:t>
                  </w:r>
                  <w:r>
                    <w:rPr>
                      <w:rFonts w:hint="eastAsia"/>
                      <w:bCs/>
                      <w:color w:val="FF0000"/>
                      <w:szCs w:val="21"/>
                      <w:lang w:eastAsia="zh-CN"/>
                    </w:rPr>
                    <w:t>；</w:t>
                  </w:r>
                </w:p>
              </w:tc>
            </w:tr>
            <w:tr w14:paraId="23D49C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340" w:hRule="atLeast"/>
                <w:jc w:val="center"/>
              </w:trPr>
              <w:tc>
                <w:tcPr>
                  <w:tcW w:w="335" w:type="pct"/>
                  <w:vMerge w:val="continue"/>
                  <w:vAlign w:val="center"/>
                </w:tcPr>
                <w:p w14:paraId="37CEA83D">
                  <w:pPr>
                    <w:jc w:val="center"/>
                    <w:rPr>
                      <w:bCs/>
                      <w:szCs w:val="21"/>
                    </w:rPr>
                  </w:pPr>
                </w:p>
              </w:tc>
              <w:tc>
                <w:tcPr>
                  <w:tcW w:w="733" w:type="pct"/>
                  <w:vAlign w:val="center"/>
                </w:tcPr>
                <w:p w14:paraId="0E190388">
                  <w:pPr>
                    <w:jc w:val="center"/>
                    <w:rPr>
                      <w:bCs/>
                      <w:szCs w:val="21"/>
                    </w:rPr>
                  </w:pPr>
                  <w:r>
                    <w:rPr>
                      <w:rFonts w:hint="eastAsia"/>
                      <w:bCs/>
                      <w:szCs w:val="21"/>
                    </w:rPr>
                    <w:t>废水治理</w:t>
                  </w:r>
                </w:p>
              </w:tc>
              <w:tc>
                <w:tcPr>
                  <w:tcW w:w="3930" w:type="pct"/>
                  <w:gridSpan w:val="2"/>
                  <w:vAlign w:val="center"/>
                </w:tcPr>
                <w:p w14:paraId="70A923F0">
                  <w:pPr>
                    <w:rPr>
                      <w:bCs/>
                      <w:szCs w:val="21"/>
                    </w:rPr>
                  </w:pPr>
                  <w:r>
                    <w:rPr>
                      <w:rFonts w:hint="eastAsia"/>
                      <w:bCs/>
                      <w:szCs w:val="21"/>
                    </w:rPr>
                    <w:t>雨污分流，</w:t>
                  </w:r>
                  <w:r>
                    <w:rPr>
                      <w:rFonts w:hint="eastAsia"/>
                      <w:bCs/>
                      <w:szCs w:val="21"/>
                      <w:lang w:val="en-US" w:eastAsia="zh-CN"/>
                    </w:rPr>
                    <w:t>项目无生产废水</w:t>
                  </w:r>
                  <w:r>
                    <w:rPr>
                      <w:rFonts w:hint="eastAsia"/>
                      <w:bCs/>
                      <w:szCs w:val="21"/>
                      <w:lang w:eastAsia="zh-CN"/>
                    </w:rPr>
                    <w:t>，</w:t>
                  </w:r>
                  <w:r>
                    <w:rPr>
                      <w:rFonts w:hint="eastAsia"/>
                      <w:bCs/>
                      <w:szCs w:val="21"/>
                    </w:rPr>
                    <w:t>生活污水经市政管网排入皖江江南新兴产业集中区第一污水处理厂进一步处理。</w:t>
                  </w:r>
                </w:p>
              </w:tc>
            </w:tr>
            <w:tr w14:paraId="2177D9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340" w:hRule="atLeast"/>
                <w:jc w:val="center"/>
              </w:trPr>
              <w:tc>
                <w:tcPr>
                  <w:tcW w:w="335" w:type="pct"/>
                  <w:vMerge w:val="continue"/>
                  <w:vAlign w:val="center"/>
                </w:tcPr>
                <w:p w14:paraId="2E8402E9">
                  <w:pPr>
                    <w:jc w:val="center"/>
                    <w:rPr>
                      <w:bCs/>
                      <w:szCs w:val="21"/>
                    </w:rPr>
                  </w:pPr>
                </w:p>
              </w:tc>
              <w:tc>
                <w:tcPr>
                  <w:tcW w:w="733" w:type="pct"/>
                  <w:vAlign w:val="center"/>
                </w:tcPr>
                <w:p w14:paraId="19707186">
                  <w:pPr>
                    <w:jc w:val="center"/>
                    <w:rPr>
                      <w:bCs/>
                      <w:szCs w:val="21"/>
                    </w:rPr>
                  </w:pPr>
                  <w:r>
                    <w:rPr>
                      <w:rFonts w:hint="eastAsia"/>
                      <w:bCs/>
                      <w:szCs w:val="21"/>
                    </w:rPr>
                    <w:t>噪声治理</w:t>
                  </w:r>
                </w:p>
              </w:tc>
              <w:tc>
                <w:tcPr>
                  <w:tcW w:w="3930" w:type="pct"/>
                  <w:gridSpan w:val="2"/>
                  <w:vAlign w:val="center"/>
                </w:tcPr>
                <w:p w14:paraId="09BFE319">
                  <w:pPr>
                    <w:rPr>
                      <w:bCs/>
                      <w:szCs w:val="21"/>
                    </w:rPr>
                  </w:pPr>
                  <w:r>
                    <w:rPr>
                      <w:rFonts w:hint="eastAsia"/>
                      <w:bCs/>
                      <w:szCs w:val="21"/>
                    </w:rPr>
                    <w:t>隔声、减振，对室外风机采取隔声、吸声、消声等措施</w:t>
                  </w:r>
                </w:p>
              </w:tc>
            </w:tr>
            <w:tr w14:paraId="67FA47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28" w:type="dxa"/>
                  <w:bottom w:w="0" w:type="dxa"/>
                  <w:right w:w="28" w:type="dxa"/>
                </w:tblCellMar>
              </w:tblPrEx>
              <w:trPr>
                <w:trHeight w:val="340" w:hRule="atLeast"/>
                <w:jc w:val="center"/>
              </w:trPr>
              <w:tc>
                <w:tcPr>
                  <w:tcW w:w="335" w:type="pct"/>
                  <w:vMerge w:val="continue"/>
                  <w:vAlign w:val="center"/>
                </w:tcPr>
                <w:p w14:paraId="0DD260F2">
                  <w:pPr>
                    <w:jc w:val="center"/>
                    <w:rPr>
                      <w:bCs/>
                      <w:szCs w:val="21"/>
                      <w:highlight w:val="red"/>
                    </w:rPr>
                  </w:pPr>
                </w:p>
              </w:tc>
              <w:tc>
                <w:tcPr>
                  <w:tcW w:w="733" w:type="pct"/>
                  <w:vAlign w:val="center"/>
                </w:tcPr>
                <w:p w14:paraId="5ADDEB18">
                  <w:pPr>
                    <w:jc w:val="center"/>
                    <w:rPr>
                      <w:bCs/>
                      <w:szCs w:val="21"/>
                    </w:rPr>
                  </w:pPr>
                  <w:r>
                    <w:rPr>
                      <w:bCs/>
                      <w:szCs w:val="21"/>
                      <w:highlight w:val="none"/>
                    </w:rPr>
                    <w:t>固废治理</w:t>
                  </w:r>
                </w:p>
              </w:tc>
              <w:tc>
                <w:tcPr>
                  <w:tcW w:w="3930" w:type="pct"/>
                  <w:gridSpan w:val="2"/>
                  <w:vAlign w:val="center"/>
                </w:tcPr>
                <w:p w14:paraId="41475684">
                  <w:pPr>
                    <w:rPr>
                      <w:rFonts w:hint="eastAsia"/>
                      <w:bCs/>
                      <w:szCs w:val="21"/>
                    </w:rPr>
                  </w:pPr>
                  <w:r>
                    <w:rPr>
                      <w:rFonts w:hint="eastAsia"/>
                      <w:bCs/>
                      <w:szCs w:val="21"/>
                    </w:rPr>
                    <w:t>一般固废</w:t>
                  </w:r>
                  <w:r>
                    <w:rPr>
                      <w:rFonts w:hint="eastAsia"/>
                      <w:bCs/>
                      <w:szCs w:val="21"/>
                      <w:lang w:eastAsia="zh-CN"/>
                    </w:rPr>
                    <w:t>：</w:t>
                  </w:r>
                  <w:r>
                    <w:rPr>
                      <w:rFonts w:hint="eastAsia"/>
                      <w:bCs/>
                      <w:szCs w:val="21"/>
                    </w:rPr>
                    <w:t>在厂房</w:t>
                  </w:r>
                  <w:r>
                    <w:rPr>
                      <w:rFonts w:hint="eastAsia"/>
                      <w:bCs/>
                      <w:szCs w:val="21"/>
                      <w:lang w:val="en-US" w:eastAsia="zh-CN"/>
                    </w:rPr>
                    <w:t>北</w:t>
                  </w:r>
                  <w:r>
                    <w:rPr>
                      <w:rFonts w:hint="eastAsia"/>
                      <w:bCs/>
                      <w:szCs w:val="21"/>
                    </w:rPr>
                    <w:t>侧设置一般固废暂存区，建筑面积约</w:t>
                  </w:r>
                  <w:r>
                    <w:rPr>
                      <w:rFonts w:hint="eastAsia"/>
                      <w:bCs/>
                      <w:szCs w:val="21"/>
                      <w:lang w:val="en-US" w:eastAsia="zh-CN"/>
                    </w:rPr>
                    <w:t>20</w:t>
                  </w:r>
                  <w:r>
                    <w:rPr>
                      <w:rFonts w:hint="eastAsia"/>
                      <w:bCs/>
                      <w:szCs w:val="21"/>
                    </w:rPr>
                    <w:t>m</w:t>
                  </w:r>
                  <w:r>
                    <w:rPr>
                      <w:rFonts w:hint="eastAsia"/>
                      <w:bCs/>
                      <w:szCs w:val="21"/>
                      <w:vertAlign w:val="superscript"/>
                    </w:rPr>
                    <w:t>2</w:t>
                  </w:r>
                  <w:r>
                    <w:rPr>
                      <w:rFonts w:hint="eastAsia"/>
                      <w:bCs/>
                      <w:szCs w:val="21"/>
                    </w:rPr>
                    <w:t>。塑料、纸箱等一般固废外售综合利用；</w:t>
                  </w:r>
                </w:p>
                <w:p w14:paraId="61492B84">
                  <w:pPr>
                    <w:rPr>
                      <w:rFonts w:hint="eastAsia"/>
                      <w:bCs/>
                      <w:szCs w:val="21"/>
                    </w:rPr>
                  </w:pPr>
                  <w:r>
                    <w:rPr>
                      <w:rFonts w:hint="eastAsia"/>
                      <w:bCs/>
                      <w:szCs w:val="21"/>
                    </w:rPr>
                    <w:t>危险废物</w:t>
                  </w:r>
                  <w:r>
                    <w:rPr>
                      <w:rFonts w:hint="eastAsia"/>
                      <w:bCs/>
                      <w:szCs w:val="21"/>
                      <w:lang w:eastAsia="zh-CN"/>
                    </w:rPr>
                    <w:t>：</w:t>
                  </w:r>
                  <w:r>
                    <w:rPr>
                      <w:rFonts w:hint="eastAsia"/>
                      <w:bCs/>
                      <w:szCs w:val="21"/>
                    </w:rPr>
                    <w:t>在厂房</w:t>
                  </w:r>
                  <w:r>
                    <w:rPr>
                      <w:rFonts w:hint="eastAsia"/>
                      <w:bCs/>
                      <w:szCs w:val="21"/>
                      <w:lang w:val="en-US" w:eastAsia="zh-CN"/>
                    </w:rPr>
                    <w:t>倍</w:t>
                  </w:r>
                  <w:r>
                    <w:rPr>
                      <w:rFonts w:hint="eastAsia"/>
                      <w:bCs/>
                      <w:szCs w:val="21"/>
                    </w:rPr>
                    <w:t>侧建设一座危废暂存间，建筑面积约</w:t>
                  </w:r>
                  <w:r>
                    <w:rPr>
                      <w:rFonts w:hint="eastAsia"/>
                      <w:bCs/>
                      <w:szCs w:val="21"/>
                      <w:lang w:val="en-US" w:eastAsia="zh-CN"/>
                    </w:rPr>
                    <w:t>1</w:t>
                  </w:r>
                  <w:r>
                    <w:rPr>
                      <w:rFonts w:hint="eastAsia"/>
                      <w:bCs/>
                      <w:szCs w:val="21"/>
                    </w:rPr>
                    <w:t>0m</w:t>
                  </w:r>
                  <w:r>
                    <w:rPr>
                      <w:rFonts w:hint="eastAsia"/>
                      <w:bCs/>
                      <w:szCs w:val="21"/>
                      <w:vertAlign w:val="superscript"/>
                    </w:rPr>
                    <w:t>2</w:t>
                  </w:r>
                  <w:r>
                    <w:rPr>
                      <w:rFonts w:hint="eastAsia"/>
                      <w:bCs/>
                      <w:szCs w:val="21"/>
                    </w:rPr>
                    <w:t>。危险废物在危废间暂存，委托有资质单位处置；</w:t>
                  </w:r>
                </w:p>
                <w:p w14:paraId="7CACF2D9">
                  <w:pPr>
                    <w:rPr>
                      <w:bCs/>
                      <w:szCs w:val="21"/>
                    </w:rPr>
                  </w:pPr>
                  <w:r>
                    <w:rPr>
                      <w:rFonts w:hint="eastAsia"/>
                      <w:bCs/>
                      <w:szCs w:val="21"/>
                    </w:rPr>
                    <w:t>生活垃圾</w:t>
                  </w:r>
                  <w:r>
                    <w:rPr>
                      <w:rFonts w:hint="eastAsia"/>
                      <w:bCs/>
                      <w:szCs w:val="21"/>
                      <w:lang w:eastAsia="zh-CN"/>
                    </w:rPr>
                    <w:t>：</w:t>
                  </w:r>
                  <w:r>
                    <w:rPr>
                      <w:rFonts w:hint="eastAsia"/>
                      <w:bCs/>
                      <w:szCs w:val="21"/>
                    </w:rPr>
                    <w:t>经垃圾桶收集后，委托环卫部门清运处理。</w:t>
                  </w:r>
                </w:p>
              </w:tc>
            </w:tr>
          </w:tbl>
          <w:p w14:paraId="15642915">
            <w:pPr>
              <w:pStyle w:val="51"/>
              <w:ind w:firstLine="482"/>
              <w:rPr>
                <w:b/>
                <w:bCs/>
              </w:rPr>
            </w:pPr>
            <w:r>
              <w:rPr>
                <w:b/>
                <w:bCs/>
              </w:rPr>
              <w:t>4</w:t>
            </w:r>
            <w:r>
              <w:rPr>
                <w:rFonts w:hint="eastAsia"/>
                <w:b/>
                <w:bCs/>
              </w:rPr>
              <w:t>、产品方案及生产规模</w:t>
            </w:r>
          </w:p>
          <w:p w14:paraId="729AD906">
            <w:pPr>
              <w:pStyle w:val="51"/>
              <w:ind w:firstLine="480"/>
            </w:pPr>
            <w:r>
              <w:rPr>
                <w:rFonts w:hint="eastAsia"/>
              </w:rPr>
              <w:t>本项目主要生产</w:t>
            </w:r>
            <w:r>
              <w:rPr>
                <w:rFonts w:hint="eastAsia"/>
                <w:lang w:val="en-US" w:eastAsia="zh-CN"/>
              </w:rPr>
              <w:t>LED显示模组和COB灯带</w:t>
            </w:r>
            <w:r>
              <w:rPr>
                <w:rFonts w:hint="eastAsia"/>
              </w:rPr>
              <w:t>，根据建设单位提供</w:t>
            </w:r>
            <w:r>
              <w:rPr>
                <w:rFonts w:hint="eastAsia"/>
                <w:lang w:val="en-US" w:eastAsia="zh-CN"/>
              </w:rPr>
              <w:t>的</w:t>
            </w:r>
            <w:r>
              <w:rPr>
                <w:rFonts w:hint="eastAsia"/>
              </w:rPr>
              <w:t>资料，拟建项目产品方案见下表。</w:t>
            </w:r>
          </w:p>
          <w:p w14:paraId="674BFB4B">
            <w:pPr>
              <w:pStyle w:val="52"/>
            </w:pPr>
            <w:r>
              <w:rPr>
                <w:rFonts w:hint="eastAsia"/>
              </w:rPr>
              <w:t>表2</w:t>
            </w:r>
            <w:r>
              <w:t>-</w:t>
            </w:r>
            <w:r>
              <w:rPr>
                <w:rFonts w:hint="eastAsia"/>
                <w:lang w:val="en-US" w:eastAsia="zh-CN"/>
              </w:rPr>
              <w:t>4</w:t>
            </w:r>
            <w:r>
              <w:t xml:space="preserve">  </w:t>
            </w:r>
            <w:r>
              <w:rPr>
                <w:rFonts w:hint="eastAsia"/>
              </w:rPr>
              <w:t>拟建项目产品方案一览表</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5"/>
              <w:gridCol w:w="2507"/>
              <w:gridCol w:w="1641"/>
              <w:gridCol w:w="2112"/>
            </w:tblGrid>
            <w:tr w14:paraId="425AC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31" w:type="pct"/>
                  <w:shd w:val="clear" w:color="auto" w:fill="auto"/>
                  <w:vAlign w:val="center"/>
                </w:tcPr>
                <w:p w14:paraId="318CA944">
                  <w:pPr>
                    <w:pStyle w:val="51"/>
                    <w:spacing w:line="240" w:lineRule="auto"/>
                    <w:ind w:firstLine="0" w:firstLineChars="0"/>
                    <w:jc w:val="center"/>
                    <w:rPr>
                      <w:rFonts w:hint="eastAsia" w:eastAsia="宋体"/>
                      <w:b/>
                      <w:bCs/>
                      <w:sz w:val="21"/>
                      <w:szCs w:val="21"/>
                      <w:lang w:val="en-US" w:eastAsia="zh-CN"/>
                    </w:rPr>
                  </w:pPr>
                  <w:r>
                    <w:rPr>
                      <w:rFonts w:hint="eastAsia"/>
                      <w:b/>
                      <w:bCs/>
                      <w:sz w:val="21"/>
                      <w:szCs w:val="21"/>
                    </w:rPr>
                    <w:t>产品名</w:t>
                  </w:r>
                  <w:r>
                    <w:rPr>
                      <w:rFonts w:hint="eastAsia"/>
                      <w:b/>
                      <w:bCs/>
                      <w:sz w:val="21"/>
                      <w:szCs w:val="21"/>
                      <w:lang w:val="en-US" w:eastAsia="zh-CN"/>
                    </w:rPr>
                    <w:t>称</w:t>
                  </w:r>
                </w:p>
              </w:tc>
              <w:tc>
                <w:tcPr>
                  <w:tcW w:w="1508" w:type="pct"/>
                  <w:shd w:val="clear" w:color="auto" w:fill="auto"/>
                  <w:vAlign w:val="center"/>
                </w:tcPr>
                <w:p w14:paraId="33774D16">
                  <w:pPr>
                    <w:pStyle w:val="51"/>
                    <w:spacing w:line="240" w:lineRule="auto"/>
                    <w:ind w:firstLine="0" w:firstLineChars="0"/>
                    <w:jc w:val="center"/>
                    <w:rPr>
                      <w:rFonts w:hint="eastAsia" w:eastAsia="宋体"/>
                      <w:b/>
                      <w:bCs/>
                      <w:sz w:val="21"/>
                      <w:szCs w:val="21"/>
                      <w:lang w:eastAsia="zh-CN"/>
                    </w:rPr>
                  </w:pPr>
                  <w:r>
                    <w:rPr>
                      <w:rFonts w:hint="eastAsia"/>
                      <w:b/>
                      <w:bCs/>
                      <w:sz w:val="21"/>
                      <w:szCs w:val="21"/>
                      <w:lang w:val="en-US" w:eastAsia="zh-CN"/>
                    </w:rPr>
                    <w:t>规格</w:t>
                  </w:r>
                </w:p>
              </w:tc>
              <w:tc>
                <w:tcPr>
                  <w:tcW w:w="988" w:type="pct"/>
                  <w:shd w:val="clear" w:color="auto" w:fill="auto"/>
                  <w:vAlign w:val="center"/>
                </w:tcPr>
                <w:p w14:paraId="02D50CDA">
                  <w:pPr>
                    <w:pStyle w:val="51"/>
                    <w:spacing w:line="240" w:lineRule="auto"/>
                    <w:ind w:firstLine="0" w:firstLineChars="0"/>
                    <w:jc w:val="center"/>
                    <w:rPr>
                      <w:rFonts w:hint="eastAsia" w:eastAsia="宋体"/>
                      <w:b/>
                      <w:bCs/>
                      <w:sz w:val="21"/>
                      <w:szCs w:val="21"/>
                      <w:lang w:eastAsia="zh-CN"/>
                    </w:rPr>
                  </w:pPr>
                  <w:r>
                    <w:rPr>
                      <w:rFonts w:hint="eastAsia"/>
                      <w:b/>
                      <w:bCs/>
                      <w:sz w:val="21"/>
                      <w:szCs w:val="21"/>
                      <w:lang w:val="en-US" w:eastAsia="zh-CN"/>
                    </w:rPr>
                    <w:t>年产量</w:t>
                  </w:r>
                </w:p>
              </w:tc>
              <w:tc>
                <w:tcPr>
                  <w:tcW w:w="1271" w:type="pct"/>
                  <w:vAlign w:val="center"/>
                </w:tcPr>
                <w:p w14:paraId="46E672B6">
                  <w:pPr>
                    <w:pStyle w:val="51"/>
                    <w:spacing w:line="240" w:lineRule="auto"/>
                    <w:ind w:firstLine="0" w:firstLineChars="0"/>
                    <w:jc w:val="center"/>
                    <w:rPr>
                      <w:rFonts w:hint="default" w:eastAsia="宋体"/>
                      <w:b/>
                      <w:bCs/>
                      <w:sz w:val="21"/>
                      <w:szCs w:val="21"/>
                      <w:lang w:val="en-US" w:eastAsia="zh-CN"/>
                    </w:rPr>
                  </w:pPr>
                  <w:r>
                    <w:rPr>
                      <w:rFonts w:hint="eastAsia"/>
                      <w:b/>
                      <w:bCs/>
                      <w:sz w:val="21"/>
                      <w:szCs w:val="21"/>
                      <w:lang w:val="en-US" w:eastAsia="zh-CN"/>
                    </w:rPr>
                    <w:t>储存位置</w:t>
                  </w:r>
                </w:p>
              </w:tc>
            </w:tr>
            <w:tr w14:paraId="759F9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31" w:type="pct"/>
                  <w:shd w:val="clear" w:color="auto" w:fill="auto"/>
                  <w:vAlign w:val="center"/>
                </w:tcPr>
                <w:p w14:paraId="3271241A">
                  <w:pPr>
                    <w:pStyle w:val="51"/>
                    <w:spacing w:line="240" w:lineRule="auto"/>
                    <w:ind w:firstLine="0" w:firstLineChars="0"/>
                    <w:jc w:val="center"/>
                    <w:rPr>
                      <w:rFonts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LED显示模组</w:t>
                  </w:r>
                </w:p>
              </w:tc>
              <w:tc>
                <w:tcPr>
                  <w:tcW w:w="1508" w:type="pct"/>
                  <w:shd w:val="clear" w:color="auto" w:fill="auto"/>
                  <w:vAlign w:val="center"/>
                </w:tcPr>
                <w:p w14:paraId="67A62F15">
                  <w:pPr>
                    <w:pStyle w:val="51"/>
                    <w:spacing w:line="240" w:lineRule="auto"/>
                    <w:ind w:firstLine="0" w:firstLineChars="0"/>
                    <w:jc w:val="center"/>
                    <w:rPr>
                      <w:rFonts w:hint="default" w:eastAsia="宋体"/>
                      <w:sz w:val="21"/>
                      <w:szCs w:val="21"/>
                      <w:lang w:val="en-US" w:eastAsia="zh-CN"/>
                    </w:rPr>
                  </w:pPr>
                  <w:r>
                    <w:rPr>
                      <w:rFonts w:hint="eastAsia"/>
                      <w:color w:val="FF0000"/>
                      <w:sz w:val="21"/>
                      <w:szCs w:val="21"/>
                      <w:lang w:val="en-US" w:eastAsia="zh-CN"/>
                    </w:rPr>
                    <w:t>平均尺寸为256mm×250mm</w:t>
                  </w:r>
                </w:p>
              </w:tc>
              <w:tc>
                <w:tcPr>
                  <w:tcW w:w="988" w:type="pct"/>
                  <w:shd w:val="clear" w:color="auto" w:fill="auto"/>
                  <w:vAlign w:val="center"/>
                </w:tcPr>
                <w:p w14:paraId="6D692439">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300万件</w:t>
                  </w:r>
                </w:p>
              </w:tc>
              <w:tc>
                <w:tcPr>
                  <w:tcW w:w="1271" w:type="pct"/>
                  <w:vAlign w:val="center"/>
                </w:tcPr>
                <w:p w14:paraId="4A69974D">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成品仓库</w:t>
                  </w:r>
                </w:p>
              </w:tc>
            </w:tr>
            <w:tr w14:paraId="55B36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31" w:type="pct"/>
                  <w:shd w:val="clear" w:color="auto" w:fill="auto"/>
                  <w:vAlign w:val="center"/>
                </w:tcPr>
                <w:p w14:paraId="73D2B34E">
                  <w:pPr>
                    <w:pStyle w:val="51"/>
                    <w:spacing w:line="240" w:lineRule="auto"/>
                    <w:ind w:firstLine="0" w:firstLineChars="0"/>
                    <w:jc w:val="center"/>
                    <w:rPr>
                      <w:rFonts w:hint="eastAsia" w:ascii="Times New Roman" w:hAnsi="Times New Roman" w:eastAsia="宋体" w:cs="Times New Roman"/>
                      <w:sz w:val="21"/>
                      <w:szCs w:val="21"/>
                    </w:rPr>
                  </w:pPr>
                  <w:r>
                    <w:rPr>
                      <w:rFonts w:hint="eastAsia" w:ascii="Times New Roman" w:hAnsi="Times New Roman" w:eastAsia="宋体" w:cs="Times New Roman"/>
                      <w:sz w:val="21"/>
                      <w:szCs w:val="21"/>
                      <w:lang w:val="en-US" w:eastAsia="zh-CN"/>
                    </w:rPr>
                    <w:t>COB灯带</w:t>
                  </w:r>
                </w:p>
              </w:tc>
              <w:tc>
                <w:tcPr>
                  <w:tcW w:w="1508" w:type="pct"/>
                  <w:shd w:val="clear" w:color="auto" w:fill="auto"/>
                  <w:vAlign w:val="center"/>
                </w:tcPr>
                <w:p w14:paraId="6B538E95">
                  <w:pPr>
                    <w:pStyle w:val="51"/>
                    <w:spacing w:line="240" w:lineRule="auto"/>
                    <w:ind w:firstLine="0" w:firstLineChars="0"/>
                    <w:jc w:val="center"/>
                    <w:rPr>
                      <w:rFonts w:hint="default" w:eastAsia="宋体"/>
                      <w:sz w:val="21"/>
                      <w:szCs w:val="21"/>
                      <w:lang w:val="en-US" w:eastAsia="zh-CN"/>
                    </w:rPr>
                  </w:pPr>
                  <w:r>
                    <w:rPr>
                      <w:rFonts w:hint="eastAsia"/>
                      <w:color w:val="FF0000"/>
                      <w:sz w:val="21"/>
                      <w:szCs w:val="21"/>
                      <w:lang w:val="en-US" w:eastAsia="zh-CN"/>
                    </w:rPr>
                    <w:t>平均每件约10m</w:t>
                  </w:r>
                </w:p>
              </w:tc>
              <w:tc>
                <w:tcPr>
                  <w:tcW w:w="988" w:type="pct"/>
                  <w:shd w:val="clear" w:color="auto" w:fill="auto"/>
                  <w:vAlign w:val="center"/>
                </w:tcPr>
                <w:p w14:paraId="4802B509">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400万件</w:t>
                  </w:r>
                </w:p>
              </w:tc>
              <w:tc>
                <w:tcPr>
                  <w:tcW w:w="1271" w:type="pct"/>
                  <w:vAlign w:val="center"/>
                </w:tcPr>
                <w:p w14:paraId="71DE88C3">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成品仓库</w:t>
                  </w:r>
                </w:p>
              </w:tc>
            </w:tr>
            <w:tr w14:paraId="25C69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740" w:type="pct"/>
                  <w:gridSpan w:val="2"/>
                  <w:shd w:val="clear" w:color="auto" w:fill="auto"/>
                  <w:vAlign w:val="center"/>
                </w:tcPr>
                <w:p w14:paraId="504BDCE8">
                  <w:pPr>
                    <w:pStyle w:val="51"/>
                    <w:spacing w:line="240" w:lineRule="auto"/>
                    <w:ind w:firstLine="0" w:firstLineChars="0"/>
                    <w:jc w:val="center"/>
                    <w:rPr>
                      <w:sz w:val="21"/>
                      <w:szCs w:val="21"/>
                    </w:rPr>
                  </w:pPr>
                  <w:r>
                    <w:rPr>
                      <w:rFonts w:hint="eastAsia" w:ascii="Times New Roman" w:hAnsi="Times New Roman" w:eastAsia="宋体" w:cs="Times New Roman"/>
                      <w:sz w:val="21"/>
                      <w:szCs w:val="21"/>
                      <w:lang w:val="en-US" w:eastAsia="zh-CN"/>
                    </w:rPr>
                    <w:t>合计</w:t>
                  </w:r>
                </w:p>
              </w:tc>
              <w:tc>
                <w:tcPr>
                  <w:tcW w:w="988" w:type="pct"/>
                  <w:shd w:val="clear" w:color="auto" w:fill="auto"/>
                  <w:vAlign w:val="center"/>
                </w:tcPr>
                <w:p w14:paraId="0C0D8A7C">
                  <w:pPr>
                    <w:pStyle w:val="51"/>
                    <w:spacing w:line="240" w:lineRule="auto"/>
                    <w:ind w:firstLine="0" w:firstLineChars="0"/>
                    <w:jc w:val="center"/>
                    <w:rPr>
                      <w:rFonts w:hint="default"/>
                      <w:sz w:val="21"/>
                      <w:szCs w:val="21"/>
                      <w:lang w:val="en-US" w:eastAsia="zh-CN"/>
                    </w:rPr>
                  </w:pPr>
                  <w:r>
                    <w:rPr>
                      <w:rFonts w:hint="eastAsia"/>
                      <w:sz w:val="21"/>
                      <w:szCs w:val="21"/>
                      <w:lang w:val="en-US" w:eastAsia="zh-CN"/>
                    </w:rPr>
                    <w:t>700万件</w:t>
                  </w:r>
                </w:p>
              </w:tc>
              <w:tc>
                <w:tcPr>
                  <w:tcW w:w="1271" w:type="pct"/>
                  <w:vAlign w:val="center"/>
                </w:tcPr>
                <w:p w14:paraId="06ADC461">
                  <w:pPr>
                    <w:pStyle w:val="51"/>
                    <w:spacing w:line="240" w:lineRule="auto"/>
                    <w:ind w:firstLine="0" w:firstLineChars="0"/>
                    <w:jc w:val="center"/>
                    <w:rPr>
                      <w:rFonts w:hint="eastAsia" w:eastAsia="宋体"/>
                      <w:sz w:val="21"/>
                      <w:szCs w:val="21"/>
                      <w:lang w:val="en-US" w:eastAsia="zh-CN"/>
                    </w:rPr>
                  </w:pPr>
                  <w:r>
                    <w:rPr>
                      <w:rFonts w:hint="eastAsia"/>
                      <w:sz w:val="21"/>
                      <w:szCs w:val="21"/>
                      <w:lang w:val="en-US" w:eastAsia="zh-CN"/>
                    </w:rPr>
                    <w:t>/</w:t>
                  </w:r>
                </w:p>
              </w:tc>
            </w:tr>
          </w:tbl>
          <w:p w14:paraId="5A1C4715">
            <w:pPr>
              <w:pStyle w:val="51"/>
              <w:spacing w:line="240" w:lineRule="auto"/>
              <w:ind w:firstLine="422"/>
              <w:rPr>
                <w:b/>
                <w:bCs/>
                <w:sz w:val="21"/>
                <w:szCs w:val="21"/>
              </w:rPr>
            </w:pP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16"/>
              <w:gridCol w:w="4117"/>
            </w:tblGrid>
            <w:tr w14:paraId="21D38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6" w:type="dxa"/>
                </w:tcPr>
                <w:p w14:paraId="2D67480D">
                  <w:pPr>
                    <w:pStyle w:val="5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bCs/>
                      <w:sz w:val="21"/>
                      <w:szCs w:val="21"/>
                      <w:vertAlign w:val="baseline"/>
                    </w:rPr>
                  </w:pPr>
                  <w:r>
                    <w:rPr>
                      <w:b w:val="0"/>
                      <w:bCs w:val="0"/>
                      <w:color w:val="auto"/>
                    </w:rPr>
                    <w:drawing>
                      <wp:inline distT="0" distB="0" distL="114300" distR="114300">
                        <wp:extent cx="2472690" cy="2345055"/>
                        <wp:effectExtent l="0" t="0" r="3810"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1"/>
                                <a:stretch>
                                  <a:fillRect/>
                                </a:stretch>
                              </pic:blipFill>
                              <pic:spPr>
                                <a:xfrm>
                                  <a:off x="0" y="0"/>
                                  <a:ext cx="2472690" cy="2345055"/>
                                </a:xfrm>
                                <a:prstGeom prst="rect">
                                  <a:avLst/>
                                </a:prstGeom>
                                <a:noFill/>
                                <a:ln>
                                  <a:noFill/>
                                </a:ln>
                              </pic:spPr>
                            </pic:pic>
                          </a:graphicData>
                        </a:graphic>
                      </wp:inline>
                    </w:drawing>
                  </w:r>
                </w:p>
              </w:tc>
              <w:tc>
                <w:tcPr>
                  <w:tcW w:w="4117" w:type="dxa"/>
                  <w:vAlign w:val="center"/>
                </w:tcPr>
                <w:p w14:paraId="238DEDBA">
                  <w:pPr>
                    <w:pStyle w:val="5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bCs/>
                      <w:sz w:val="21"/>
                      <w:szCs w:val="21"/>
                      <w:vertAlign w:val="baseline"/>
                    </w:rPr>
                  </w:pPr>
                  <w:r>
                    <w:rPr>
                      <w:rFonts w:ascii="宋体" w:hAnsi="宋体" w:eastAsia="宋体" w:cs="宋体"/>
                      <w:sz w:val="21"/>
                      <w:szCs w:val="21"/>
                    </w:rPr>
                    <w:drawing>
                      <wp:anchor distT="0" distB="0" distL="114300" distR="114300" simplePos="0" relativeHeight="251659264" behindDoc="0" locked="0" layoutInCell="1" allowOverlap="1">
                        <wp:simplePos x="0" y="0"/>
                        <wp:positionH relativeFrom="column">
                          <wp:posOffset>12700</wp:posOffset>
                        </wp:positionH>
                        <wp:positionV relativeFrom="paragraph">
                          <wp:posOffset>19050</wp:posOffset>
                        </wp:positionV>
                        <wp:extent cx="2501900" cy="2304415"/>
                        <wp:effectExtent l="0" t="0" r="0" b="6985"/>
                        <wp:wrapNone/>
                        <wp:docPr id="18"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descr="IMG_256"/>
                                <pic:cNvPicPr>
                                  <a:picLocks noChangeAspect="1"/>
                                </pic:cNvPicPr>
                              </pic:nvPicPr>
                              <pic:blipFill>
                                <a:blip r:embed="rId12"/>
                                <a:stretch>
                                  <a:fillRect/>
                                </a:stretch>
                              </pic:blipFill>
                              <pic:spPr>
                                <a:xfrm>
                                  <a:off x="0" y="0"/>
                                  <a:ext cx="2501900" cy="2304415"/>
                                </a:xfrm>
                                <a:prstGeom prst="rect">
                                  <a:avLst/>
                                </a:prstGeom>
                                <a:noFill/>
                                <a:ln w="9525">
                                  <a:noFill/>
                                </a:ln>
                              </pic:spPr>
                            </pic:pic>
                          </a:graphicData>
                        </a:graphic>
                      </wp:anchor>
                    </w:drawing>
                  </w:r>
                </w:p>
              </w:tc>
            </w:tr>
            <w:tr w14:paraId="32FCF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16" w:type="dxa"/>
                </w:tcPr>
                <w:p w14:paraId="18688A98">
                  <w:pPr>
                    <w:pStyle w:val="5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b w:val="0"/>
                      <w:bCs w:val="0"/>
                      <w:sz w:val="21"/>
                      <w:szCs w:val="21"/>
                      <w:vertAlign w:val="baseline"/>
                    </w:rPr>
                  </w:pPr>
                  <w:r>
                    <w:rPr>
                      <w:rFonts w:hint="eastAsia"/>
                      <w:b w:val="0"/>
                      <w:bCs w:val="0"/>
                      <w:sz w:val="21"/>
                      <w:szCs w:val="21"/>
                      <w:vertAlign w:val="baseline"/>
                    </w:rPr>
                    <w:t>LED显示模组</w:t>
                  </w:r>
                </w:p>
              </w:tc>
              <w:tc>
                <w:tcPr>
                  <w:tcW w:w="4117" w:type="dxa"/>
                </w:tcPr>
                <w:p w14:paraId="708F30B7">
                  <w:pPr>
                    <w:pStyle w:val="51"/>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b w:val="0"/>
                      <w:bCs w:val="0"/>
                      <w:sz w:val="21"/>
                      <w:szCs w:val="21"/>
                      <w:vertAlign w:val="baseline"/>
                      <w:lang w:val="en-US" w:eastAsia="zh-CN"/>
                    </w:rPr>
                  </w:pPr>
                  <w:r>
                    <w:rPr>
                      <w:rFonts w:hint="eastAsia"/>
                      <w:b w:val="0"/>
                      <w:bCs w:val="0"/>
                      <w:sz w:val="21"/>
                      <w:szCs w:val="21"/>
                      <w:vertAlign w:val="baseline"/>
                      <w:lang w:val="en-US" w:eastAsia="zh-CN"/>
                    </w:rPr>
                    <w:t>COB灯带</w:t>
                  </w:r>
                </w:p>
              </w:tc>
            </w:tr>
          </w:tbl>
          <w:p w14:paraId="2446E31B">
            <w:pPr>
              <w:pStyle w:val="51"/>
              <w:spacing w:line="240" w:lineRule="auto"/>
              <w:ind w:left="0" w:leftChars="0" w:firstLine="0" w:firstLineChars="0"/>
              <w:jc w:val="center"/>
              <w:rPr>
                <w:rFonts w:hint="default" w:eastAsia="宋体"/>
                <w:b/>
                <w:bCs/>
                <w:sz w:val="21"/>
                <w:szCs w:val="21"/>
                <w:lang w:val="en-US" w:eastAsia="zh-CN"/>
              </w:rPr>
            </w:pPr>
            <w:r>
              <w:rPr>
                <w:rFonts w:hint="eastAsia"/>
                <w:b/>
                <w:bCs/>
                <w:sz w:val="21"/>
                <w:szCs w:val="21"/>
                <w:lang w:val="en-US" w:eastAsia="zh-CN"/>
              </w:rPr>
              <w:t>图2-1 本项目产品示意图</w:t>
            </w:r>
          </w:p>
          <w:p w14:paraId="6AF0D811">
            <w:pPr>
              <w:pStyle w:val="51"/>
              <w:spacing w:line="240" w:lineRule="auto"/>
              <w:ind w:firstLine="422"/>
              <w:rPr>
                <w:b/>
                <w:bCs/>
                <w:sz w:val="21"/>
                <w:szCs w:val="21"/>
              </w:rPr>
            </w:pPr>
          </w:p>
          <w:p w14:paraId="5AE35605">
            <w:pPr>
              <w:pStyle w:val="51"/>
              <w:ind w:firstLine="482"/>
              <w:rPr>
                <w:b/>
                <w:bCs/>
              </w:rPr>
            </w:pPr>
            <w:r>
              <w:rPr>
                <w:rFonts w:hint="eastAsia"/>
                <w:b/>
                <w:bCs/>
              </w:rPr>
              <w:t>4、主要生产设备、设施</w:t>
            </w:r>
          </w:p>
          <w:p w14:paraId="246010F5">
            <w:pPr>
              <w:pStyle w:val="51"/>
              <w:ind w:firstLine="480"/>
            </w:pPr>
            <w:r>
              <w:rPr>
                <w:rFonts w:hint="eastAsia"/>
              </w:rPr>
              <w:t>项目主要生产设备、设施详见表</w:t>
            </w:r>
            <w:r>
              <w:t>2-</w:t>
            </w:r>
            <w:r>
              <w:rPr>
                <w:rFonts w:hint="eastAsia"/>
                <w:lang w:val="en-US" w:eastAsia="zh-CN"/>
              </w:rPr>
              <w:t>5</w:t>
            </w:r>
            <w:r>
              <w:rPr>
                <w:rFonts w:hint="eastAsia"/>
              </w:rPr>
              <w:t xml:space="preserve">所示。 </w:t>
            </w:r>
          </w:p>
          <w:p w14:paraId="50E4A065">
            <w:pPr>
              <w:pStyle w:val="52"/>
            </w:pPr>
            <w:r>
              <w:rPr>
                <w:rFonts w:hint="eastAsia"/>
              </w:rPr>
              <w:t>表</w:t>
            </w:r>
            <w:r>
              <w:t>2</w:t>
            </w:r>
            <w:r>
              <w:rPr>
                <w:rFonts w:hint="eastAsia"/>
              </w:rPr>
              <w:t>-</w:t>
            </w:r>
            <w:r>
              <w:rPr>
                <w:rFonts w:hint="eastAsia"/>
                <w:lang w:val="en-US" w:eastAsia="zh-CN"/>
              </w:rPr>
              <w:t>5</w:t>
            </w:r>
            <w:r>
              <w:rPr>
                <w:rFonts w:hint="eastAsia"/>
              </w:rPr>
              <w:t xml:space="preserve">  建设项目主要生产设备、设施一览表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2570"/>
              <w:gridCol w:w="2403"/>
              <w:gridCol w:w="1142"/>
              <w:gridCol w:w="1525"/>
            </w:tblGrid>
            <w:tr w14:paraId="10AFB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vMerge w:val="restart"/>
                  <w:vAlign w:val="center"/>
                </w:tcPr>
                <w:p w14:paraId="61849367">
                  <w:pPr>
                    <w:pStyle w:val="77"/>
                    <w:spacing w:line="240" w:lineRule="auto"/>
                    <w:rPr>
                      <w:b/>
                      <w:bCs/>
                      <w:sz w:val="21"/>
                      <w:szCs w:val="21"/>
                    </w:rPr>
                  </w:pPr>
                  <w:bookmarkStart w:id="2" w:name="_Hlk127541064"/>
                  <w:bookmarkStart w:id="3" w:name="_Hlk127541098"/>
                  <w:r>
                    <w:rPr>
                      <w:b/>
                      <w:bCs/>
                      <w:sz w:val="21"/>
                      <w:szCs w:val="21"/>
                      <w:lang w:bidi="ar"/>
                    </w:rPr>
                    <w:t>序号</w:t>
                  </w:r>
                </w:p>
              </w:tc>
              <w:tc>
                <w:tcPr>
                  <w:tcW w:w="1547" w:type="pct"/>
                  <w:vMerge w:val="restart"/>
                  <w:noWrap/>
                  <w:vAlign w:val="center"/>
                </w:tcPr>
                <w:p w14:paraId="3617BE58">
                  <w:pPr>
                    <w:pStyle w:val="77"/>
                    <w:spacing w:line="240" w:lineRule="auto"/>
                    <w:rPr>
                      <w:b/>
                      <w:bCs/>
                      <w:sz w:val="21"/>
                      <w:szCs w:val="21"/>
                    </w:rPr>
                  </w:pPr>
                  <w:r>
                    <w:rPr>
                      <w:b/>
                      <w:bCs/>
                      <w:sz w:val="21"/>
                      <w:szCs w:val="21"/>
                      <w:lang w:bidi="ar"/>
                    </w:rPr>
                    <w:t>设备</w:t>
                  </w:r>
                  <w:r>
                    <w:rPr>
                      <w:rFonts w:hint="eastAsia"/>
                      <w:b/>
                      <w:bCs/>
                      <w:sz w:val="21"/>
                      <w:szCs w:val="21"/>
                      <w:lang w:bidi="ar"/>
                    </w:rPr>
                    <w:t>/设施</w:t>
                  </w:r>
                  <w:r>
                    <w:rPr>
                      <w:b/>
                      <w:bCs/>
                      <w:sz w:val="21"/>
                      <w:szCs w:val="21"/>
                      <w:lang w:bidi="ar"/>
                    </w:rPr>
                    <w:t>名称</w:t>
                  </w:r>
                </w:p>
              </w:tc>
              <w:tc>
                <w:tcPr>
                  <w:tcW w:w="1446" w:type="pct"/>
                  <w:vMerge w:val="restart"/>
                  <w:noWrap/>
                  <w:vAlign w:val="center"/>
                </w:tcPr>
                <w:p w14:paraId="47EE0D56">
                  <w:pPr>
                    <w:pStyle w:val="77"/>
                    <w:spacing w:line="240" w:lineRule="auto"/>
                    <w:rPr>
                      <w:b/>
                      <w:bCs/>
                      <w:sz w:val="21"/>
                      <w:szCs w:val="21"/>
                    </w:rPr>
                  </w:pPr>
                  <w:r>
                    <w:rPr>
                      <w:b/>
                      <w:bCs/>
                      <w:sz w:val="21"/>
                      <w:szCs w:val="21"/>
                      <w:lang w:bidi="ar"/>
                    </w:rPr>
                    <w:t>规格和技术参数</w:t>
                  </w:r>
                </w:p>
              </w:tc>
              <w:tc>
                <w:tcPr>
                  <w:tcW w:w="687" w:type="pct"/>
                  <w:vMerge w:val="restart"/>
                  <w:vAlign w:val="center"/>
                </w:tcPr>
                <w:p w14:paraId="12826E24">
                  <w:pPr>
                    <w:pStyle w:val="77"/>
                    <w:spacing w:line="240" w:lineRule="auto"/>
                    <w:rPr>
                      <w:b/>
                      <w:bCs/>
                      <w:sz w:val="21"/>
                      <w:szCs w:val="21"/>
                    </w:rPr>
                  </w:pPr>
                  <w:r>
                    <w:rPr>
                      <w:b/>
                      <w:bCs/>
                      <w:sz w:val="21"/>
                      <w:szCs w:val="21"/>
                      <w:lang w:bidi="ar"/>
                    </w:rPr>
                    <w:t>数量</w:t>
                  </w:r>
                </w:p>
              </w:tc>
              <w:tc>
                <w:tcPr>
                  <w:tcW w:w="915" w:type="pct"/>
                  <w:vMerge w:val="restart"/>
                  <w:noWrap/>
                  <w:vAlign w:val="center"/>
                </w:tcPr>
                <w:p w14:paraId="08F3EBF5">
                  <w:pPr>
                    <w:pStyle w:val="77"/>
                    <w:spacing w:line="240" w:lineRule="auto"/>
                    <w:rPr>
                      <w:rFonts w:hint="eastAsia" w:eastAsia="宋体"/>
                      <w:b/>
                      <w:bCs/>
                      <w:sz w:val="21"/>
                      <w:szCs w:val="21"/>
                      <w:lang w:eastAsia="zh-CN"/>
                    </w:rPr>
                  </w:pPr>
                  <w:r>
                    <w:rPr>
                      <w:rFonts w:hint="eastAsia"/>
                      <w:b/>
                      <w:bCs/>
                      <w:sz w:val="21"/>
                      <w:szCs w:val="21"/>
                      <w:lang w:val="en-US" w:eastAsia="zh-CN" w:bidi="ar"/>
                    </w:rPr>
                    <w:t>单位</w:t>
                  </w:r>
                </w:p>
              </w:tc>
            </w:tr>
            <w:bookmarkEnd w:id="2"/>
            <w:tr w14:paraId="31C2D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vMerge w:val="continue"/>
                  <w:vAlign w:val="center"/>
                </w:tcPr>
                <w:p w14:paraId="40DFFBBB">
                  <w:pPr>
                    <w:pStyle w:val="77"/>
                    <w:spacing w:line="240" w:lineRule="auto"/>
                    <w:rPr>
                      <w:sz w:val="21"/>
                      <w:szCs w:val="21"/>
                    </w:rPr>
                  </w:pPr>
                </w:p>
              </w:tc>
              <w:tc>
                <w:tcPr>
                  <w:tcW w:w="1547" w:type="pct"/>
                  <w:vMerge w:val="continue"/>
                  <w:noWrap/>
                  <w:vAlign w:val="center"/>
                </w:tcPr>
                <w:p w14:paraId="6BC8FE5C">
                  <w:pPr>
                    <w:pStyle w:val="77"/>
                    <w:spacing w:line="240" w:lineRule="auto"/>
                    <w:rPr>
                      <w:sz w:val="21"/>
                      <w:szCs w:val="21"/>
                    </w:rPr>
                  </w:pPr>
                </w:p>
              </w:tc>
              <w:tc>
                <w:tcPr>
                  <w:tcW w:w="1446" w:type="pct"/>
                  <w:vMerge w:val="continue"/>
                  <w:noWrap/>
                  <w:vAlign w:val="center"/>
                </w:tcPr>
                <w:p w14:paraId="18D30FED">
                  <w:pPr>
                    <w:pStyle w:val="77"/>
                    <w:spacing w:line="240" w:lineRule="auto"/>
                    <w:rPr>
                      <w:sz w:val="21"/>
                      <w:szCs w:val="21"/>
                    </w:rPr>
                  </w:pPr>
                </w:p>
              </w:tc>
              <w:tc>
                <w:tcPr>
                  <w:tcW w:w="687" w:type="pct"/>
                  <w:vMerge w:val="continue"/>
                  <w:vAlign w:val="center"/>
                </w:tcPr>
                <w:p w14:paraId="7416BE5A">
                  <w:pPr>
                    <w:pStyle w:val="77"/>
                    <w:spacing w:line="240" w:lineRule="auto"/>
                    <w:rPr>
                      <w:sz w:val="21"/>
                      <w:szCs w:val="21"/>
                    </w:rPr>
                  </w:pPr>
                </w:p>
              </w:tc>
              <w:tc>
                <w:tcPr>
                  <w:tcW w:w="915" w:type="pct"/>
                  <w:vMerge w:val="continue"/>
                  <w:noWrap/>
                  <w:vAlign w:val="center"/>
                </w:tcPr>
                <w:p w14:paraId="12D93494">
                  <w:pPr>
                    <w:pStyle w:val="77"/>
                    <w:spacing w:line="240" w:lineRule="auto"/>
                    <w:rPr>
                      <w:sz w:val="21"/>
                      <w:szCs w:val="21"/>
                    </w:rPr>
                  </w:pPr>
                </w:p>
              </w:tc>
            </w:tr>
            <w:tr w14:paraId="26DDA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5"/>
                  <w:noWrap/>
                  <w:vAlign w:val="center"/>
                </w:tcPr>
                <w:p w14:paraId="2EB668C2">
                  <w:pPr>
                    <w:pStyle w:val="77"/>
                    <w:spacing w:line="240" w:lineRule="auto"/>
                    <w:jc w:val="both"/>
                    <w:rPr>
                      <w:sz w:val="21"/>
                      <w:szCs w:val="21"/>
                      <w:lang w:bidi="ar"/>
                    </w:rPr>
                  </w:pPr>
                  <w:r>
                    <w:rPr>
                      <w:rFonts w:hint="eastAsia"/>
                      <w:b/>
                      <w:bCs/>
                      <w:sz w:val="21"/>
                      <w:szCs w:val="21"/>
                      <w:lang w:bidi="ar"/>
                    </w:rPr>
                    <w:t>一、LED显示模组</w:t>
                  </w:r>
                </w:p>
              </w:tc>
            </w:tr>
            <w:tr w14:paraId="2A67C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2BE6620E">
                  <w:pPr>
                    <w:pStyle w:val="77"/>
                    <w:spacing w:line="240" w:lineRule="auto"/>
                    <w:rPr>
                      <w:sz w:val="21"/>
                      <w:szCs w:val="21"/>
                    </w:rPr>
                  </w:pPr>
                  <w:r>
                    <w:rPr>
                      <w:sz w:val="21"/>
                      <w:szCs w:val="21"/>
                      <w:lang w:bidi="ar"/>
                    </w:rPr>
                    <w:t>1</w:t>
                  </w:r>
                </w:p>
              </w:tc>
              <w:tc>
                <w:tcPr>
                  <w:tcW w:w="1547" w:type="pct"/>
                  <w:noWrap/>
                  <w:vAlign w:val="center"/>
                </w:tcPr>
                <w:p w14:paraId="404C6DAE">
                  <w:pPr>
                    <w:pStyle w:val="77"/>
                    <w:spacing w:line="240" w:lineRule="auto"/>
                    <w:rPr>
                      <w:rFonts w:hint="eastAsia" w:eastAsia="宋体"/>
                      <w:sz w:val="21"/>
                      <w:szCs w:val="21"/>
                      <w:lang w:eastAsia="zh-CN"/>
                    </w:rPr>
                  </w:pPr>
                  <w:r>
                    <w:rPr>
                      <w:rFonts w:hint="eastAsia"/>
                      <w:sz w:val="21"/>
                      <w:szCs w:val="21"/>
                      <w:lang w:val="en-US" w:eastAsia="zh-CN" w:bidi="ar"/>
                    </w:rPr>
                    <w:t>上板机</w:t>
                  </w:r>
                </w:p>
              </w:tc>
              <w:tc>
                <w:tcPr>
                  <w:tcW w:w="1446" w:type="pct"/>
                  <w:vAlign w:val="center"/>
                </w:tcPr>
                <w:p w14:paraId="4F1887B3">
                  <w:pPr>
                    <w:pStyle w:val="77"/>
                    <w:spacing w:line="240" w:lineRule="auto"/>
                    <w:rPr>
                      <w:rFonts w:hint="eastAsia" w:eastAsia="宋体"/>
                      <w:sz w:val="21"/>
                      <w:szCs w:val="21"/>
                      <w:lang w:val="en-US" w:eastAsia="zh-CN"/>
                    </w:rPr>
                  </w:pPr>
                  <w:r>
                    <w:rPr>
                      <w:rFonts w:hint="eastAsia"/>
                      <w:sz w:val="21"/>
                      <w:szCs w:val="21"/>
                      <w:lang w:val="en-US" w:eastAsia="zh-CN"/>
                    </w:rPr>
                    <w:t>/</w:t>
                  </w:r>
                </w:p>
              </w:tc>
              <w:tc>
                <w:tcPr>
                  <w:tcW w:w="687" w:type="pct"/>
                  <w:noWrap/>
                  <w:vAlign w:val="center"/>
                </w:tcPr>
                <w:p w14:paraId="7B1AAF8C">
                  <w:pPr>
                    <w:pStyle w:val="77"/>
                    <w:spacing w:line="240" w:lineRule="auto"/>
                    <w:rPr>
                      <w:rFonts w:hint="eastAsia" w:eastAsia="宋体"/>
                      <w:sz w:val="21"/>
                      <w:szCs w:val="21"/>
                      <w:lang w:eastAsia="zh-CN"/>
                    </w:rPr>
                  </w:pPr>
                  <w:r>
                    <w:rPr>
                      <w:rFonts w:hint="eastAsia"/>
                      <w:sz w:val="21"/>
                      <w:szCs w:val="21"/>
                      <w:lang w:val="en-US" w:eastAsia="zh-CN" w:bidi="ar"/>
                    </w:rPr>
                    <w:t>4</w:t>
                  </w:r>
                </w:p>
              </w:tc>
              <w:tc>
                <w:tcPr>
                  <w:tcW w:w="915" w:type="pct"/>
                  <w:vAlign w:val="center"/>
                </w:tcPr>
                <w:p w14:paraId="233E5C4D">
                  <w:pPr>
                    <w:pStyle w:val="77"/>
                    <w:spacing w:line="240" w:lineRule="auto"/>
                    <w:rPr>
                      <w:rFonts w:hint="eastAsia" w:eastAsia="宋体"/>
                      <w:sz w:val="21"/>
                      <w:szCs w:val="21"/>
                      <w:lang w:val="en-US" w:eastAsia="zh-CN"/>
                    </w:rPr>
                  </w:pPr>
                  <w:r>
                    <w:rPr>
                      <w:rFonts w:hint="eastAsia"/>
                      <w:sz w:val="21"/>
                      <w:szCs w:val="21"/>
                      <w:lang w:val="en-US" w:eastAsia="zh-CN"/>
                    </w:rPr>
                    <w:t>台</w:t>
                  </w:r>
                </w:p>
              </w:tc>
            </w:tr>
            <w:tr w14:paraId="4B0A8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69FE42DB">
                  <w:pPr>
                    <w:pStyle w:val="77"/>
                    <w:spacing w:line="240" w:lineRule="auto"/>
                    <w:rPr>
                      <w:sz w:val="21"/>
                      <w:szCs w:val="21"/>
                    </w:rPr>
                  </w:pPr>
                  <w:r>
                    <w:rPr>
                      <w:sz w:val="21"/>
                      <w:szCs w:val="21"/>
                      <w:lang w:bidi="ar"/>
                    </w:rPr>
                    <w:t>2</w:t>
                  </w:r>
                </w:p>
              </w:tc>
              <w:tc>
                <w:tcPr>
                  <w:tcW w:w="1547" w:type="pct"/>
                  <w:noWrap/>
                  <w:vAlign w:val="center"/>
                </w:tcPr>
                <w:p w14:paraId="5A57B6EE">
                  <w:pPr>
                    <w:pStyle w:val="77"/>
                    <w:spacing w:line="240" w:lineRule="auto"/>
                    <w:rPr>
                      <w:rFonts w:hint="default" w:eastAsia="宋体"/>
                      <w:sz w:val="21"/>
                      <w:szCs w:val="21"/>
                      <w:lang w:val="en-US" w:eastAsia="zh-CN"/>
                    </w:rPr>
                  </w:pPr>
                  <w:r>
                    <w:rPr>
                      <w:rFonts w:hint="eastAsia"/>
                      <w:sz w:val="21"/>
                      <w:szCs w:val="21"/>
                      <w:lang w:val="en-US" w:eastAsia="zh-CN" w:bidi="ar"/>
                    </w:rPr>
                    <w:t>锡膏印刷机</w:t>
                  </w:r>
                </w:p>
              </w:tc>
              <w:tc>
                <w:tcPr>
                  <w:tcW w:w="1446" w:type="pct"/>
                  <w:noWrap/>
                  <w:vAlign w:val="center"/>
                </w:tcPr>
                <w:p w14:paraId="7211AD76">
                  <w:pPr>
                    <w:pStyle w:val="77"/>
                    <w:spacing w:line="240" w:lineRule="auto"/>
                    <w:rPr>
                      <w:rFonts w:hint="eastAsia" w:eastAsia="宋体"/>
                      <w:sz w:val="21"/>
                      <w:szCs w:val="21"/>
                      <w:lang w:val="en-US" w:eastAsia="zh-CN"/>
                    </w:rPr>
                  </w:pPr>
                  <w:r>
                    <w:rPr>
                      <w:rFonts w:hint="eastAsia"/>
                      <w:sz w:val="21"/>
                      <w:szCs w:val="21"/>
                      <w:lang w:val="en-US" w:eastAsia="zh-CN"/>
                    </w:rPr>
                    <w:t>/</w:t>
                  </w:r>
                </w:p>
              </w:tc>
              <w:tc>
                <w:tcPr>
                  <w:tcW w:w="687" w:type="pct"/>
                  <w:noWrap/>
                  <w:vAlign w:val="center"/>
                </w:tcPr>
                <w:p w14:paraId="2B388260">
                  <w:pPr>
                    <w:pStyle w:val="77"/>
                    <w:spacing w:line="240" w:lineRule="auto"/>
                    <w:rPr>
                      <w:rFonts w:hint="eastAsia" w:eastAsia="宋体"/>
                      <w:sz w:val="21"/>
                      <w:szCs w:val="21"/>
                      <w:lang w:eastAsia="zh-CN"/>
                    </w:rPr>
                  </w:pPr>
                  <w:r>
                    <w:rPr>
                      <w:rFonts w:hint="eastAsia"/>
                      <w:sz w:val="21"/>
                      <w:szCs w:val="21"/>
                      <w:lang w:val="en-US" w:eastAsia="zh-CN" w:bidi="ar"/>
                    </w:rPr>
                    <w:t>4</w:t>
                  </w:r>
                </w:p>
              </w:tc>
              <w:tc>
                <w:tcPr>
                  <w:tcW w:w="915" w:type="pct"/>
                  <w:vAlign w:val="center"/>
                </w:tcPr>
                <w:p w14:paraId="24361D30">
                  <w:pPr>
                    <w:pStyle w:val="77"/>
                    <w:spacing w:line="240" w:lineRule="auto"/>
                    <w:rPr>
                      <w:rFonts w:hint="eastAsia" w:eastAsia="宋体"/>
                      <w:sz w:val="21"/>
                      <w:szCs w:val="21"/>
                      <w:lang w:val="en-US" w:eastAsia="zh-CN"/>
                    </w:rPr>
                  </w:pPr>
                  <w:r>
                    <w:rPr>
                      <w:rFonts w:hint="eastAsia"/>
                      <w:sz w:val="21"/>
                      <w:szCs w:val="21"/>
                      <w:lang w:val="en-US" w:eastAsia="zh-CN"/>
                    </w:rPr>
                    <w:t>台</w:t>
                  </w:r>
                </w:p>
              </w:tc>
            </w:tr>
            <w:tr w14:paraId="67E7B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3DD866E2">
                  <w:pPr>
                    <w:pStyle w:val="77"/>
                    <w:spacing w:line="240" w:lineRule="auto"/>
                    <w:rPr>
                      <w:rFonts w:hint="eastAsia" w:eastAsia="宋体"/>
                      <w:sz w:val="21"/>
                      <w:szCs w:val="21"/>
                      <w:lang w:val="en-US" w:eastAsia="zh-CN" w:bidi="ar"/>
                    </w:rPr>
                  </w:pPr>
                  <w:r>
                    <w:rPr>
                      <w:rFonts w:hint="eastAsia"/>
                      <w:sz w:val="21"/>
                      <w:szCs w:val="21"/>
                      <w:lang w:val="en-US" w:eastAsia="zh-CN" w:bidi="ar"/>
                    </w:rPr>
                    <w:t>3</w:t>
                  </w:r>
                </w:p>
              </w:tc>
              <w:tc>
                <w:tcPr>
                  <w:tcW w:w="1547" w:type="pct"/>
                  <w:noWrap/>
                  <w:vAlign w:val="center"/>
                </w:tcPr>
                <w:p w14:paraId="2FBC89B8">
                  <w:pPr>
                    <w:pStyle w:val="77"/>
                    <w:spacing w:line="240" w:lineRule="auto"/>
                    <w:rPr>
                      <w:rFonts w:hint="default"/>
                      <w:sz w:val="21"/>
                      <w:szCs w:val="21"/>
                      <w:lang w:val="en-US" w:eastAsia="zh-CN" w:bidi="ar"/>
                    </w:rPr>
                  </w:pPr>
                  <w:r>
                    <w:rPr>
                      <w:rFonts w:hint="eastAsia"/>
                      <w:sz w:val="21"/>
                      <w:szCs w:val="21"/>
                      <w:lang w:val="en-US" w:eastAsia="zh-CN" w:bidi="ar"/>
                    </w:rPr>
                    <w:t>SPI检测机</w:t>
                  </w:r>
                </w:p>
              </w:tc>
              <w:tc>
                <w:tcPr>
                  <w:tcW w:w="1446" w:type="pct"/>
                  <w:noWrap/>
                  <w:vAlign w:val="center"/>
                </w:tcPr>
                <w:p w14:paraId="333DCC81">
                  <w:pPr>
                    <w:pStyle w:val="77"/>
                    <w:spacing w:line="240" w:lineRule="auto"/>
                    <w:rPr>
                      <w:rFonts w:hint="default"/>
                      <w:sz w:val="21"/>
                      <w:szCs w:val="21"/>
                      <w:lang w:val="en-US" w:eastAsia="zh-CN"/>
                    </w:rPr>
                  </w:pPr>
                  <w:r>
                    <w:rPr>
                      <w:rFonts w:hint="eastAsia"/>
                      <w:sz w:val="21"/>
                      <w:szCs w:val="21"/>
                      <w:lang w:val="en-US" w:eastAsia="zh-CN"/>
                    </w:rPr>
                    <w:t>锡膏检测设备</w:t>
                  </w:r>
                </w:p>
              </w:tc>
              <w:tc>
                <w:tcPr>
                  <w:tcW w:w="687" w:type="pct"/>
                  <w:noWrap/>
                  <w:vAlign w:val="center"/>
                </w:tcPr>
                <w:p w14:paraId="3748F02E">
                  <w:pPr>
                    <w:pStyle w:val="77"/>
                    <w:spacing w:line="240" w:lineRule="auto"/>
                    <w:rPr>
                      <w:rFonts w:hint="default"/>
                      <w:sz w:val="21"/>
                      <w:szCs w:val="21"/>
                      <w:lang w:val="en-US" w:eastAsia="zh-CN" w:bidi="ar"/>
                    </w:rPr>
                  </w:pPr>
                  <w:r>
                    <w:rPr>
                      <w:rFonts w:hint="eastAsia"/>
                      <w:sz w:val="21"/>
                      <w:szCs w:val="21"/>
                      <w:lang w:val="en-US" w:eastAsia="zh-CN" w:bidi="ar"/>
                    </w:rPr>
                    <w:t>4</w:t>
                  </w:r>
                </w:p>
              </w:tc>
              <w:tc>
                <w:tcPr>
                  <w:tcW w:w="915" w:type="pct"/>
                  <w:vAlign w:val="center"/>
                </w:tcPr>
                <w:p w14:paraId="4F2F1C04">
                  <w:pPr>
                    <w:pStyle w:val="77"/>
                    <w:spacing w:line="240" w:lineRule="auto"/>
                    <w:rPr>
                      <w:sz w:val="21"/>
                      <w:szCs w:val="21"/>
                    </w:rPr>
                  </w:pPr>
                  <w:r>
                    <w:rPr>
                      <w:rFonts w:hint="eastAsia"/>
                      <w:sz w:val="21"/>
                      <w:szCs w:val="21"/>
                      <w:lang w:val="en-US" w:eastAsia="zh-CN"/>
                    </w:rPr>
                    <w:t>台</w:t>
                  </w:r>
                </w:p>
              </w:tc>
            </w:tr>
            <w:tr w14:paraId="04CBF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7DBF7EAE">
                  <w:pPr>
                    <w:pStyle w:val="77"/>
                    <w:spacing w:line="240" w:lineRule="auto"/>
                    <w:rPr>
                      <w:rFonts w:hint="eastAsia" w:eastAsia="宋体"/>
                      <w:sz w:val="21"/>
                      <w:szCs w:val="21"/>
                      <w:lang w:eastAsia="zh-CN" w:bidi="ar"/>
                    </w:rPr>
                  </w:pPr>
                  <w:r>
                    <w:rPr>
                      <w:rFonts w:hint="eastAsia"/>
                      <w:sz w:val="21"/>
                      <w:szCs w:val="21"/>
                      <w:lang w:val="en-US" w:eastAsia="zh-CN" w:bidi="ar"/>
                    </w:rPr>
                    <w:t>4</w:t>
                  </w:r>
                </w:p>
              </w:tc>
              <w:tc>
                <w:tcPr>
                  <w:tcW w:w="1547" w:type="pct"/>
                  <w:noWrap/>
                  <w:vAlign w:val="center"/>
                </w:tcPr>
                <w:p w14:paraId="366BCBA1">
                  <w:pPr>
                    <w:pStyle w:val="77"/>
                    <w:spacing w:line="240" w:lineRule="auto"/>
                    <w:rPr>
                      <w:rFonts w:hint="eastAsia" w:eastAsia="宋体"/>
                      <w:sz w:val="21"/>
                      <w:szCs w:val="21"/>
                      <w:lang w:eastAsia="zh-CN" w:bidi="ar"/>
                    </w:rPr>
                  </w:pPr>
                  <w:r>
                    <w:rPr>
                      <w:rFonts w:hint="eastAsia"/>
                      <w:sz w:val="21"/>
                      <w:szCs w:val="21"/>
                      <w:lang w:val="en-US" w:eastAsia="zh-CN" w:bidi="ar"/>
                    </w:rPr>
                    <w:t>贴片机</w:t>
                  </w:r>
                </w:p>
              </w:tc>
              <w:tc>
                <w:tcPr>
                  <w:tcW w:w="1446" w:type="pct"/>
                  <w:noWrap/>
                  <w:vAlign w:val="center"/>
                </w:tcPr>
                <w:p w14:paraId="606FA10D">
                  <w:pPr>
                    <w:pStyle w:val="77"/>
                    <w:spacing w:line="240" w:lineRule="auto"/>
                    <w:rPr>
                      <w:rFonts w:hint="eastAsia" w:eastAsia="宋体"/>
                      <w:sz w:val="21"/>
                      <w:szCs w:val="21"/>
                      <w:lang w:val="en-US" w:eastAsia="zh-CN" w:bidi="ar"/>
                    </w:rPr>
                  </w:pPr>
                  <w:r>
                    <w:rPr>
                      <w:rFonts w:hint="eastAsia"/>
                      <w:sz w:val="21"/>
                      <w:szCs w:val="21"/>
                      <w:lang w:val="en-US" w:eastAsia="zh-CN" w:bidi="ar"/>
                    </w:rPr>
                    <w:t>/</w:t>
                  </w:r>
                </w:p>
              </w:tc>
              <w:tc>
                <w:tcPr>
                  <w:tcW w:w="687" w:type="pct"/>
                  <w:noWrap/>
                  <w:vAlign w:val="center"/>
                </w:tcPr>
                <w:p w14:paraId="35824717">
                  <w:pPr>
                    <w:pStyle w:val="77"/>
                    <w:spacing w:line="240" w:lineRule="auto"/>
                    <w:rPr>
                      <w:rFonts w:hint="eastAsia" w:eastAsia="宋体"/>
                      <w:sz w:val="21"/>
                      <w:szCs w:val="21"/>
                      <w:lang w:eastAsia="zh-CN" w:bidi="ar"/>
                    </w:rPr>
                  </w:pPr>
                  <w:r>
                    <w:rPr>
                      <w:rFonts w:hint="eastAsia"/>
                      <w:sz w:val="21"/>
                      <w:szCs w:val="21"/>
                      <w:lang w:val="en-US" w:eastAsia="zh-CN" w:bidi="ar"/>
                    </w:rPr>
                    <w:t>4</w:t>
                  </w:r>
                </w:p>
              </w:tc>
              <w:tc>
                <w:tcPr>
                  <w:tcW w:w="915" w:type="pct"/>
                  <w:vAlign w:val="center"/>
                </w:tcPr>
                <w:p w14:paraId="61EE0F40">
                  <w:pPr>
                    <w:pStyle w:val="77"/>
                    <w:spacing w:line="240" w:lineRule="auto"/>
                    <w:rPr>
                      <w:sz w:val="21"/>
                      <w:szCs w:val="21"/>
                      <w:lang w:bidi="ar"/>
                    </w:rPr>
                  </w:pPr>
                  <w:r>
                    <w:rPr>
                      <w:rFonts w:hint="eastAsia"/>
                      <w:sz w:val="21"/>
                      <w:szCs w:val="21"/>
                      <w:lang w:val="en-US" w:eastAsia="zh-CN"/>
                    </w:rPr>
                    <w:t>台</w:t>
                  </w:r>
                </w:p>
              </w:tc>
            </w:tr>
            <w:bookmarkEnd w:id="3"/>
            <w:tr w14:paraId="733C7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6F07038D">
                  <w:pPr>
                    <w:pStyle w:val="77"/>
                    <w:spacing w:line="240" w:lineRule="auto"/>
                    <w:rPr>
                      <w:rFonts w:hint="eastAsia" w:eastAsia="宋体"/>
                      <w:sz w:val="21"/>
                      <w:szCs w:val="21"/>
                      <w:lang w:eastAsia="zh-CN"/>
                    </w:rPr>
                  </w:pPr>
                  <w:r>
                    <w:rPr>
                      <w:rFonts w:hint="eastAsia"/>
                      <w:sz w:val="21"/>
                      <w:szCs w:val="21"/>
                      <w:lang w:val="en-US" w:eastAsia="zh-CN" w:bidi="ar"/>
                    </w:rPr>
                    <w:t>5</w:t>
                  </w:r>
                </w:p>
              </w:tc>
              <w:tc>
                <w:tcPr>
                  <w:tcW w:w="1547" w:type="pct"/>
                  <w:noWrap/>
                  <w:vAlign w:val="center"/>
                </w:tcPr>
                <w:p w14:paraId="7B202025">
                  <w:pPr>
                    <w:pStyle w:val="77"/>
                    <w:spacing w:line="240" w:lineRule="auto"/>
                    <w:rPr>
                      <w:rFonts w:hint="default" w:eastAsia="宋体"/>
                      <w:sz w:val="21"/>
                      <w:szCs w:val="21"/>
                      <w:lang w:val="en-US" w:eastAsia="zh-CN"/>
                    </w:rPr>
                  </w:pPr>
                  <w:r>
                    <w:rPr>
                      <w:rFonts w:hint="eastAsia"/>
                      <w:sz w:val="21"/>
                      <w:szCs w:val="21"/>
                      <w:lang w:val="en-US" w:eastAsia="zh-CN" w:bidi="ar"/>
                    </w:rPr>
                    <w:t>回流焊机</w:t>
                  </w:r>
                </w:p>
              </w:tc>
              <w:tc>
                <w:tcPr>
                  <w:tcW w:w="1446" w:type="pct"/>
                  <w:noWrap/>
                  <w:vAlign w:val="center"/>
                </w:tcPr>
                <w:p w14:paraId="1A7E2940">
                  <w:pPr>
                    <w:pStyle w:val="77"/>
                    <w:spacing w:line="240" w:lineRule="auto"/>
                    <w:rPr>
                      <w:sz w:val="21"/>
                      <w:szCs w:val="21"/>
                    </w:rPr>
                  </w:pPr>
                  <w:r>
                    <w:rPr>
                      <w:rFonts w:hint="eastAsia"/>
                      <w:sz w:val="21"/>
                      <w:szCs w:val="21"/>
                    </w:rPr>
                    <w:t>PyramA BTU7温区</w:t>
                  </w:r>
                  <w:r>
                    <w:rPr>
                      <w:rFonts w:hint="eastAsia"/>
                      <w:sz w:val="21"/>
                      <w:szCs w:val="21"/>
                      <w:lang w:val="en-US" w:eastAsia="zh-CN"/>
                    </w:rPr>
                    <w:t>双通道</w:t>
                  </w:r>
                  <w:r>
                    <w:rPr>
                      <w:rFonts w:hint="eastAsia"/>
                      <w:sz w:val="21"/>
                      <w:szCs w:val="21"/>
                    </w:rPr>
                    <w:t>（6.2m*1.5m*1.5m）</w:t>
                  </w:r>
                </w:p>
              </w:tc>
              <w:tc>
                <w:tcPr>
                  <w:tcW w:w="687" w:type="pct"/>
                  <w:noWrap/>
                  <w:vAlign w:val="center"/>
                </w:tcPr>
                <w:p w14:paraId="75012ED3">
                  <w:pPr>
                    <w:pStyle w:val="77"/>
                    <w:spacing w:line="240" w:lineRule="auto"/>
                    <w:rPr>
                      <w:rFonts w:hint="eastAsia" w:eastAsia="宋体"/>
                      <w:sz w:val="21"/>
                      <w:szCs w:val="21"/>
                      <w:lang w:eastAsia="zh-CN"/>
                    </w:rPr>
                  </w:pPr>
                  <w:r>
                    <w:rPr>
                      <w:rFonts w:hint="eastAsia"/>
                      <w:sz w:val="21"/>
                      <w:szCs w:val="21"/>
                      <w:lang w:val="en-US" w:eastAsia="zh-CN" w:bidi="ar"/>
                    </w:rPr>
                    <w:t>4</w:t>
                  </w:r>
                </w:p>
              </w:tc>
              <w:tc>
                <w:tcPr>
                  <w:tcW w:w="915" w:type="pct"/>
                  <w:vAlign w:val="center"/>
                </w:tcPr>
                <w:p w14:paraId="26786160">
                  <w:pPr>
                    <w:pStyle w:val="77"/>
                    <w:spacing w:line="240" w:lineRule="auto"/>
                    <w:rPr>
                      <w:sz w:val="21"/>
                      <w:szCs w:val="21"/>
                    </w:rPr>
                  </w:pPr>
                  <w:r>
                    <w:rPr>
                      <w:rFonts w:hint="eastAsia"/>
                      <w:sz w:val="21"/>
                      <w:szCs w:val="21"/>
                      <w:lang w:val="en-US" w:eastAsia="zh-CN"/>
                    </w:rPr>
                    <w:t>台</w:t>
                  </w:r>
                </w:p>
              </w:tc>
            </w:tr>
            <w:tr w14:paraId="3E10F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2C461B45">
                  <w:pPr>
                    <w:pStyle w:val="77"/>
                    <w:spacing w:line="240" w:lineRule="auto"/>
                    <w:rPr>
                      <w:rFonts w:hint="eastAsia" w:eastAsia="宋体"/>
                      <w:sz w:val="21"/>
                      <w:szCs w:val="21"/>
                      <w:lang w:val="en-US" w:eastAsia="zh-CN" w:bidi="ar"/>
                    </w:rPr>
                  </w:pPr>
                  <w:r>
                    <w:rPr>
                      <w:rFonts w:hint="eastAsia"/>
                      <w:sz w:val="21"/>
                      <w:szCs w:val="21"/>
                      <w:lang w:val="en-US" w:eastAsia="zh-CN" w:bidi="ar"/>
                    </w:rPr>
                    <w:t>6</w:t>
                  </w:r>
                </w:p>
              </w:tc>
              <w:tc>
                <w:tcPr>
                  <w:tcW w:w="1547" w:type="pct"/>
                  <w:noWrap/>
                  <w:vAlign w:val="center"/>
                </w:tcPr>
                <w:p w14:paraId="66F3F258">
                  <w:pPr>
                    <w:pStyle w:val="77"/>
                    <w:spacing w:line="240" w:lineRule="auto"/>
                    <w:rPr>
                      <w:rFonts w:hint="default"/>
                      <w:sz w:val="21"/>
                      <w:szCs w:val="21"/>
                      <w:lang w:val="en-US" w:eastAsia="zh-CN" w:bidi="ar"/>
                    </w:rPr>
                  </w:pPr>
                  <w:r>
                    <w:rPr>
                      <w:rFonts w:hint="eastAsia"/>
                      <w:sz w:val="21"/>
                      <w:szCs w:val="21"/>
                      <w:lang w:val="en-US" w:eastAsia="zh-CN" w:bidi="ar"/>
                    </w:rPr>
                    <w:t>接驳机</w:t>
                  </w:r>
                </w:p>
              </w:tc>
              <w:tc>
                <w:tcPr>
                  <w:tcW w:w="1446" w:type="pct"/>
                  <w:noWrap/>
                  <w:vAlign w:val="center"/>
                </w:tcPr>
                <w:p w14:paraId="38F2D2F9">
                  <w:pPr>
                    <w:pStyle w:val="77"/>
                    <w:spacing w:line="240" w:lineRule="auto"/>
                    <w:rPr>
                      <w:rFonts w:hint="default" w:eastAsia="宋体"/>
                      <w:sz w:val="21"/>
                      <w:szCs w:val="21"/>
                      <w:lang w:val="en-US" w:eastAsia="zh-CN"/>
                    </w:rPr>
                  </w:pPr>
                  <w:r>
                    <w:rPr>
                      <w:rFonts w:hint="eastAsia"/>
                      <w:sz w:val="21"/>
                      <w:szCs w:val="21"/>
                      <w:lang w:val="en-US" w:eastAsia="zh-CN"/>
                    </w:rPr>
                    <w:t>/</w:t>
                  </w:r>
                </w:p>
              </w:tc>
              <w:tc>
                <w:tcPr>
                  <w:tcW w:w="687" w:type="pct"/>
                  <w:noWrap/>
                  <w:vAlign w:val="center"/>
                </w:tcPr>
                <w:p w14:paraId="7FD83342">
                  <w:pPr>
                    <w:pStyle w:val="77"/>
                    <w:spacing w:line="240" w:lineRule="auto"/>
                    <w:rPr>
                      <w:rFonts w:hint="default"/>
                      <w:sz w:val="21"/>
                      <w:szCs w:val="21"/>
                      <w:lang w:val="en-US" w:eastAsia="zh-CN" w:bidi="ar"/>
                    </w:rPr>
                  </w:pPr>
                  <w:r>
                    <w:rPr>
                      <w:rFonts w:hint="eastAsia"/>
                      <w:sz w:val="21"/>
                      <w:szCs w:val="21"/>
                      <w:lang w:val="en-US" w:eastAsia="zh-CN" w:bidi="ar"/>
                    </w:rPr>
                    <w:t>4</w:t>
                  </w:r>
                </w:p>
              </w:tc>
              <w:tc>
                <w:tcPr>
                  <w:tcW w:w="915" w:type="pct"/>
                  <w:vAlign w:val="center"/>
                </w:tcPr>
                <w:p w14:paraId="27D54416">
                  <w:pPr>
                    <w:pStyle w:val="77"/>
                    <w:spacing w:line="240" w:lineRule="auto"/>
                    <w:rPr>
                      <w:sz w:val="21"/>
                      <w:szCs w:val="21"/>
                    </w:rPr>
                  </w:pPr>
                  <w:r>
                    <w:rPr>
                      <w:rFonts w:hint="eastAsia"/>
                      <w:sz w:val="21"/>
                      <w:szCs w:val="21"/>
                      <w:lang w:val="en-US" w:eastAsia="zh-CN"/>
                    </w:rPr>
                    <w:t>台</w:t>
                  </w:r>
                </w:p>
              </w:tc>
            </w:tr>
            <w:tr w14:paraId="70390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71C2D6E6">
                  <w:pPr>
                    <w:pStyle w:val="77"/>
                    <w:spacing w:line="240" w:lineRule="auto"/>
                    <w:rPr>
                      <w:rFonts w:hint="eastAsia" w:eastAsia="宋体"/>
                      <w:sz w:val="21"/>
                      <w:szCs w:val="21"/>
                      <w:lang w:eastAsia="zh-CN"/>
                    </w:rPr>
                  </w:pPr>
                  <w:r>
                    <w:rPr>
                      <w:rFonts w:hint="eastAsia"/>
                      <w:sz w:val="21"/>
                      <w:szCs w:val="21"/>
                      <w:lang w:val="en-US" w:eastAsia="zh-CN" w:bidi="ar"/>
                    </w:rPr>
                    <w:t>7</w:t>
                  </w:r>
                </w:p>
              </w:tc>
              <w:tc>
                <w:tcPr>
                  <w:tcW w:w="1547" w:type="pct"/>
                  <w:noWrap/>
                  <w:vAlign w:val="center"/>
                </w:tcPr>
                <w:p w14:paraId="5ABB39CD">
                  <w:pPr>
                    <w:pStyle w:val="77"/>
                    <w:spacing w:line="240" w:lineRule="auto"/>
                    <w:rPr>
                      <w:rFonts w:hint="default" w:eastAsia="宋体"/>
                      <w:sz w:val="21"/>
                      <w:szCs w:val="21"/>
                      <w:lang w:val="en-US" w:eastAsia="zh-CN"/>
                    </w:rPr>
                  </w:pPr>
                  <w:r>
                    <w:rPr>
                      <w:rFonts w:hint="eastAsia"/>
                      <w:sz w:val="21"/>
                      <w:szCs w:val="21"/>
                      <w:lang w:val="en-US" w:eastAsia="zh-CN"/>
                    </w:rPr>
                    <w:t>AOI检测机</w:t>
                  </w:r>
                </w:p>
              </w:tc>
              <w:tc>
                <w:tcPr>
                  <w:tcW w:w="1446" w:type="pct"/>
                  <w:noWrap/>
                  <w:vAlign w:val="center"/>
                </w:tcPr>
                <w:p w14:paraId="5BA55E3D">
                  <w:pPr>
                    <w:pStyle w:val="77"/>
                    <w:spacing w:line="240" w:lineRule="auto"/>
                    <w:rPr>
                      <w:rFonts w:hint="default"/>
                      <w:sz w:val="21"/>
                      <w:szCs w:val="21"/>
                      <w:lang w:val="en-US"/>
                    </w:rPr>
                  </w:pPr>
                  <w:r>
                    <w:rPr>
                      <w:rFonts w:hint="eastAsia"/>
                      <w:sz w:val="21"/>
                      <w:szCs w:val="21"/>
                      <w:lang w:val="en-US" w:eastAsia="zh-CN"/>
                    </w:rPr>
                    <w:t>自动光学检测设备</w:t>
                  </w:r>
                </w:p>
              </w:tc>
              <w:tc>
                <w:tcPr>
                  <w:tcW w:w="687" w:type="pct"/>
                  <w:noWrap/>
                  <w:vAlign w:val="center"/>
                </w:tcPr>
                <w:p w14:paraId="721D3228">
                  <w:pPr>
                    <w:pStyle w:val="77"/>
                    <w:spacing w:line="240" w:lineRule="auto"/>
                    <w:rPr>
                      <w:rFonts w:hint="eastAsia" w:eastAsia="宋体"/>
                      <w:sz w:val="21"/>
                      <w:szCs w:val="21"/>
                      <w:lang w:eastAsia="zh-CN"/>
                    </w:rPr>
                  </w:pPr>
                  <w:r>
                    <w:rPr>
                      <w:rFonts w:hint="eastAsia"/>
                      <w:sz w:val="21"/>
                      <w:szCs w:val="21"/>
                      <w:lang w:val="en-US" w:eastAsia="zh-CN" w:bidi="ar"/>
                    </w:rPr>
                    <w:t>4</w:t>
                  </w:r>
                </w:p>
              </w:tc>
              <w:tc>
                <w:tcPr>
                  <w:tcW w:w="915" w:type="pct"/>
                  <w:vAlign w:val="center"/>
                </w:tcPr>
                <w:p w14:paraId="3845FE49">
                  <w:pPr>
                    <w:pStyle w:val="77"/>
                    <w:spacing w:line="240" w:lineRule="auto"/>
                    <w:rPr>
                      <w:sz w:val="21"/>
                      <w:szCs w:val="21"/>
                    </w:rPr>
                  </w:pPr>
                  <w:r>
                    <w:rPr>
                      <w:rFonts w:hint="eastAsia"/>
                      <w:sz w:val="21"/>
                      <w:szCs w:val="21"/>
                      <w:lang w:val="en-US" w:eastAsia="zh-CN"/>
                    </w:rPr>
                    <w:t>台</w:t>
                  </w:r>
                </w:p>
              </w:tc>
            </w:tr>
            <w:tr w14:paraId="2D662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5A059515">
                  <w:pPr>
                    <w:pStyle w:val="77"/>
                    <w:spacing w:line="240" w:lineRule="auto"/>
                    <w:rPr>
                      <w:rFonts w:hint="default"/>
                      <w:sz w:val="21"/>
                      <w:szCs w:val="21"/>
                      <w:lang w:val="en-US" w:eastAsia="zh-CN" w:bidi="ar"/>
                    </w:rPr>
                  </w:pPr>
                  <w:r>
                    <w:rPr>
                      <w:rFonts w:hint="eastAsia"/>
                      <w:sz w:val="21"/>
                      <w:szCs w:val="21"/>
                      <w:lang w:val="en-US" w:eastAsia="zh-CN" w:bidi="ar"/>
                    </w:rPr>
                    <w:t>8</w:t>
                  </w:r>
                </w:p>
              </w:tc>
              <w:tc>
                <w:tcPr>
                  <w:tcW w:w="1547" w:type="pct"/>
                  <w:noWrap/>
                  <w:vAlign w:val="center"/>
                </w:tcPr>
                <w:p w14:paraId="57A7447B">
                  <w:pPr>
                    <w:pStyle w:val="77"/>
                    <w:spacing w:line="240" w:lineRule="auto"/>
                    <w:rPr>
                      <w:rFonts w:hint="default"/>
                      <w:sz w:val="21"/>
                      <w:szCs w:val="21"/>
                      <w:lang w:val="en-US" w:eastAsia="zh-CN"/>
                    </w:rPr>
                  </w:pPr>
                  <w:r>
                    <w:rPr>
                      <w:rFonts w:hint="eastAsia"/>
                      <w:sz w:val="21"/>
                      <w:szCs w:val="21"/>
                      <w:lang w:val="en-US" w:eastAsia="zh-CN"/>
                    </w:rPr>
                    <w:t>压面罩机</w:t>
                  </w:r>
                </w:p>
              </w:tc>
              <w:tc>
                <w:tcPr>
                  <w:tcW w:w="1446" w:type="pct"/>
                  <w:noWrap/>
                  <w:vAlign w:val="center"/>
                </w:tcPr>
                <w:p w14:paraId="59EAD92F">
                  <w:pPr>
                    <w:pStyle w:val="77"/>
                    <w:spacing w:line="240" w:lineRule="auto"/>
                    <w:rPr>
                      <w:rFonts w:hint="default"/>
                      <w:sz w:val="21"/>
                      <w:szCs w:val="21"/>
                      <w:lang w:val="en-US" w:eastAsia="zh-CN"/>
                    </w:rPr>
                  </w:pPr>
                  <w:r>
                    <w:rPr>
                      <w:rFonts w:hint="eastAsia"/>
                      <w:sz w:val="21"/>
                      <w:szCs w:val="21"/>
                      <w:lang w:val="en-US" w:eastAsia="zh-CN"/>
                    </w:rPr>
                    <w:t>/</w:t>
                  </w:r>
                </w:p>
              </w:tc>
              <w:tc>
                <w:tcPr>
                  <w:tcW w:w="687" w:type="pct"/>
                  <w:noWrap/>
                  <w:vAlign w:val="center"/>
                </w:tcPr>
                <w:p w14:paraId="18994BF8">
                  <w:pPr>
                    <w:pStyle w:val="77"/>
                    <w:spacing w:line="240" w:lineRule="auto"/>
                    <w:rPr>
                      <w:rFonts w:hint="default"/>
                      <w:sz w:val="21"/>
                      <w:szCs w:val="21"/>
                      <w:lang w:val="en-US" w:eastAsia="zh-CN" w:bidi="ar"/>
                    </w:rPr>
                  </w:pPr>
                  <w:r>
                    <w:rPr>
                      <w:rFonts w:hint="eastAsia"/>
                      <w:sz w:val="21"/>
                      <w:szCs w:val="21"/>
                      <w:lang w:val="en-US" w:eastAsia="zh-CN" w:bidi="ar"/>
                    </w:rPr>
                    <w:t>2</w:t>
                  </w:r>
                </w:p>
              </w:tc>
              <w:tc>
                <w:tcPr>
                  <w:tcW w:w="915" w:type="pct"/>
                  <w:vAlign w:val="center"/>
                </w:tcPr>
                <w:p w14:paraId="102793DE">
                  <w:pPr>
                    <w:pStyle w:val="77"/>
                    <w:spacing w:line="240" w:lineRule="auto"/>
                    <w:rPr>
                      <w:rFonts w:hint="default"/>
                      <w:sz w:val="21"/>
                      <w:szCs w:val="21"/>
                      <w:lang w:val="en-US" w:eastAsia="zh-CN"/>
                    </w:rPr>
                  </w:pPr>
                  <w:r>
                    <w:rPr>
                      <w:rFonts w:hint="eastAsia"/>
                      <w:sz w:val="21"/>
                      <w:szCs w:val="21"/>
                      <w:lang w:val="en-US" w:eastAsia="zh-CN"/>
                    </w:rPr>
                    <w:t>台</w:t>
                  </w:r>
                </w:p>
              </w:tc>
            </w:tr>
            <w:tr w14:paraId="5C376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2B4813E1">
                  <w:pPr>
                    <w:pStyle w:val="77"/>
                    <w:spacing w:line="240" w:lineRule="auto"/>
                    <w:rPr>
                      <w:rFonts w:hint="default"/>
                      <w:sz w:val="21"/>
                      <w:szCs w:val="21"/>
                      <w:lang w:val="en-US" w:eastAsia="zh-CN" w:bidi="ar"/>
                    </w:rPr>
                  </w:pPr>
                  <w:r>
                    <w:rPr>
                      <w:rFonts w:hint="eastAsia"/>
                      <w:sz w:val="21"/>
                      <w:szCs w:val="21"/>
                      <w:lang w:val="en-US" w:eastAsia="zh-CN" w:bidi="ar"/>
                    </w:rPr>
                    <w:t>9</w:t>
                  </w:r>
                </w:p>
              </w:tc>
              <w:tc>
                <w:tcPr>
                  <w:tcW w:w="1547" w:type="pct"/>
                  <w:noWrap/>
                  <w:vAlign w:val="center"/>
                </w:tcPr>
                <w:p w14:paraId="0EB32E2A">
                  <w:pPr>
                    <w:pStyle w:val="77"/>
                    <w:spacing w:line="240" w:lineRule="auto"/>
                    <w:rPr>
                      <w:rFonts w:hint="default"/>
                      <w:sz w:val="21"/>
                      <w:szCs w:val="21"/>
                      <w:lang w:val="en-US" w:eastAsia="zh-CN"/>
                    </w:rPr>
                  </w:pPr>
                  <w:r>
                    <w:rPr>
                      <w:rFonts w:hint="eastAsia"/>
                      <w:sz w:val="21"/>
                      <w:szCs w:val="21"/>
                      <w:lang w:val="en-US" w:eastAsia="zh-CN"/>
                    </w:rPr>
                    <w:t>打螺丝机</w:t>
                  </w:r>
                </w:p>
              </w:tc>
              <w:tc>
                <w:tcPr>
                  <w:tcW w:w="1446" w:type="pct"/>
                  <w:noWrap/>
                  <w:vAlign w:val="center"/>
                </w:tcPr>
                <w:p w14:paraId="7A3211B2">
                  <w:pPr>
                    <w:pStyle w:val="77"/>
                    <w:spacing w:line="240" w:lineRule="auto"/>
                    <w:rPr>
                      <w:rFonts w:hint="default"/>
                      <w:sz w:val="21"/>
                      <w:szCs w:val="21"/>
                      <w:lang w:val="en-US" w:eastAsia="zh-CN"/>
                    </w:rPr>
                  </w:pPr>
                  <w:r>
                    <w:rPr>
                      <w:rFonts w:hint="eastAsia"/>
                      <w:sz w:val="21"/>
                      <w:szCs w:val="21"/>
                      <w:lang w:val="en-US" w:eastAsia="zh-CN"/>
                    </w:rPr>
                    <w:t>/</w:t>
                  </w:r>
                </w:p>
              </w:tc>
              <w:tc>
                <w:tcPr>
                  <w:tcW w:w="687" w:type="pct"/>
                  <w:noWrap/>
                  <w:vAlign w:val="center"/>
                </w:tcPr>
                <w:p w14:paraId="0574583B">
                  <w:pPr>
                    <w:pStyle w:val="77"/>
                    <w:spacing w:line="240" w:lineRule="auto"/>
                    <w:rPr>
                      <w:rFonts w:hint="default"/>
                      <w:sz w:val="21"/>
                      <w:szCs w:val="21"/>
                      <w:lang w:val="en-US" w:eastAsia="zh-CN" w:bidi="ar"/>
                    </w:rPr>
                  </w:pPr>
                  <w:r>
                    <w:rPr>
                      <w:rFonts w:hint="eastAsia"/>
                      <w:sz w:val="21"/>
                      <w:szCs w:val="21"/>
                      <w:lang w:val="en-US" w:eastAsia="zh-CN" w:bidi="ar"/>
                    </w:rPr>
                    <w:t>4</w:t>
                  </w:r>
                </w:p>
              </w:tc>
              <w:tc>
                <w:tcPr>
                  <w:tcW w:w="915" w:type="pct"/>
                  <w:vAlign w:val="center"/>
                </w:tcPr>
                <w:p w14:paraId="230ED115">
                  <w:pPr>
                    <w:pStyle w:val="77"/>
                    <w:spacing w:line="240" w:lineRule="auto"/>
                    <w:rPr>
                      <w:rFonts w:hint="default"/>
                      <w:sz w:val="21"/>
                      <w:szCs w:val="21"/>
                      <w:lang w:val="en-US" w:eastAsia="zh-CN"/>
                    </w:rPr>
                  </w:pPr>
                  <w:r>
                    <w:rPr>
                      <w:rFonts w:hint="eastAsia"/>
                      <w:sz w:val="21"/>
                      <w:szCs w:val="21"/>
                      <w:lang w:val="en-US" w:eastAsia="zh-CN"/>
                    </w:rPr>
                    <w:t>台</w:t>
                  </w:r>
                </w:p>
              </w:tc>
            </w:tr>
            <w:tr w14:paraId="68233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46342141">
                  <w:pPr>
                    <w:pStyle w:val="77"/>
                    <w:spacing w:line="240" w:lineRule="auto"/>
                    <w:rPr>
                      <w:rFonts w:hint="default" w:eastAsia="宋体"/>
                      <w:sz w:val="21"/>
                      <w:szCs w:val="21"/>
                      <w:lang w:val="en-US" w:eastAsia="zh-CN" w:bidi="ar"/>
                    </w:rPr>
                  </w:pPr>
                  <w:r>
                    <w:rPr>
                      <w:rFonts w:hint="eastAsia"/>
                      <w:sz w:val="21"/>
                      <w:szCs w:val="21"/>
                      <w:lang w:val="en-US" w:eastAsia="zh-CN" w:bidi="ar"/>
                    </w:rPr>
                    <w:t>10</w:t>
                  </w:r>
                </w:p>
              </w:tc>
              <w:tc>
                <w:tcPr>
                  <w:tcW w:w="1547" w:type="pct"/>
                  <w:noWrap/>
                  <w:vAlign w:val="center"/>
                </w:tcPr>
                <w:p w14:paraId="573B7D48">
                  <w:pPr>
                    <w:pStyle w:val="77"/>
                    <w:spacing w:line="240" w:lineRule="auto"/>
                    <w:rPr>
                      <w:rFonts w:hint="default"/>
                      <w:sz w:val="21"/>
                      <w:szCs w:val="21"/>
                      <w:lang w:val="en-US" w:eastAsia="zh-CN"/>
                    </w:rPr>
                  </w:pPr>
                  <w:r>
                    <w:rPr>
                      <w:rFonts w:hint="eastAsia"/>
                      <w:sz w:val="21"/>
                      <w:szCs w:val="21"/>
                      <w:lang w:val="en-US" w:eastAsia="zh-CN"/>
                    </w:rPr>
                    <w:t>老化架</w:t>
                  </w:r>
                </w:p>
              </w:tc>
              <w:tc>
                <w:tcPr>
                  <w:tcW w:w="1446" w:type="pct"/>
                  <w:noWrap/>
                  <w:vAlign w:val="center"/>
                </w:tcPr>
                <w:p w14:paraId="27A40F81">
                  <w:pPr>
                    <w:pStyle w:val="77"/>
                    <w:spacing w:line="240" w:lineRule="auto"/>
                    <w:rPr>
                      <w:rFonts w:hint="default"/>
                      <w:sz w:val="21"/>
                      <w:szCs w:val="21"/>
                      <w:lang w:val="en-US" w:eastAsia="zh-CN"/>
                    </w:rPr>
                  </w:pPr>
                  <w:r>
                    <w:rPr>
                      <w:rFonts w:hint="eastAsia"/>
                      <w:sz w:val="21"/>
                      <w:szCs w:val="21"/>
                      <w:lang w:val="en-US" w:eastAsia="zh-CN"/>
                    </w:rPr>
                    <w:t>/</w:t>
                  </w:r>
                </w:p>
              </w:tc>
              <w:tc>
                <w:tcPr>
                  <w:tcW w:w="687" w:type="pct"/>
                  <w:noWrap/>
                  <w:vAlign w:val="center"/>
                </w:tcPr>
                <w:p w14:paraId="26A54F8B">
                  <w:pPr>
                    <w:pStyle w:val="77"/>
                    <w:spacing w:line="240" w:lineRule="auto"/>
                    <w:rPr>
                      <w:rFonts w:hint="default"/>
                      <w:sz w:val="21"/>
                      <w:szCs w:val="21"/>
                      <w:lang w:val="en-US" w:eastAsia="zh-CN" w:bidi="ar"/>
                    </w:rPr>
                  </w:pPr>
                  <w:r>
                    <w:rPr>
                      <w:rFonts w:hint="eastAsia"/>
                      <w:sz w:val="21"/>
                      <w:szCs w:val="21"/>
                      <w:lang w:val="en-US" w:eastAsia="zh-CN" w:bidi="ar"/>
                    </w:rPr>
                    <w:t>200</w:t>
                  </w:r>
                </w:p>
              </w:tc>
              <w:tc>
                <w:tcPr>
                  <w:tcW w:w="915" w:type="pct"/>
                  <w:vAlign w:val="center"/>
                </w:tcPr>
                <w:p w14:paraId="74977D28">
                  <w:pPr>
                    <w:pStyle w:val="77"/>
                    <w:spacing w:line="240" w:lineRule="auto"/>
                    <w:rPr>
                      <w:rFonts w:hint="default" w:eastAsia="宋体"/>
                      <w:sz w:val="21"/>
                      <w:szCs w:val="21"/>
                      <w:lang w:val="en-US" w:eastAsia="zh-CN"/>
                    </w:rPr>
                  </w:pPr>
                  <w:r>
                    <w:rPr>
                      <w:rFonts w:hint="eastAsia"/>
                      <w:sz w:val="21"/>
                      <w:szCs w:val="21"/>
                      <w:lang w:val="en-US" w:eastAsia="zh-CN"/>
                    </w:rPr>
                    <w:t>m</w:t>
                  </w:r>
                  <w:r>
                    <w:rPr>
                      <w:rFonts w:hint="eastAsia"/>
                      <w:sz w:val="21"/>
                      <w:szCs w:val="21"/>
                      <w:vertAlign w:val="superscript"/>
                      <w:lang w:val="en-US" w:eastAsia="zh-CN"/>
                    </w:rPr>
                    <w:t>2</w:t>
                  </w:r>
                </w:p>
              </w:tc>
            </w:tr>
            <w:tr w14:paraId="00E09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32A72513">
                  <w:pPr>
                    <w:pStyle w:val="77"/>
                    <w:spacing w:line="240" w:lineRule="auto"/>
                    <w:rPr>
                      <w:rFonts w:hint="default" w:eastAsia="宋体"/>
                      <w:sz w:val="21"/>
                      <w:szCs w:val="21"/>
                      <w:lang w:val="en-US" w:eastAsia="zh-CN" w:bidi="ar"/>
                    </w:rPr>
                  </w:pPr>
                  <w:r>
                    <w:rPr>
                      <w:rFonts w:hint="eastAsia"/>
                      <w:sz w:val="21"/>
                      <w:szCs w:val="21"/>
                      <w:lang w:val="en-US" w:eastAsia="zh-CN" w:bidi="ar"/>
                    </w:rPr>
                    <w:t>11</w:t>
                  </w:r>
                </w:p>
              </w:tc>
              <w:tc>
                <w:tcPr>
                  <w:tcW w:w="1547" w:type="pct"/>
                  <w:noWrap/>
                  <w:vAlign w:val="center"/>
                </w:tcPr>
                <w:p w14:paraId="023CD091">
                  <w:pPr>
                    <w:pStyle w:val="77"/>
                    <w:spacing w:line="240" w:lineRule="auto"/>
                    <w:rPr>
                      <w:rFonts w:hint="default"/>
                      <w:sz w:val="21"/>
                      <w:szCs w:val="21"/>
                      <w:lang w:val="en-US" w:eastAsia="zh-CN"/>
                    </w:rPr>
                  </w:pPr>
                  <w:r>
                    <w:rPr>
                      <w:rFonts w:hint="eastAsia"/>
                      <w:sz w:val="21"/>
                      <w:szCs w:val="21"/>
                      <w:lang w:val="en-US" w:eastAsia="zh-CN"/>
                    </w:rPr>
                    <w:t>包装机</w:t>
                  </w:r>
                </w:p>
              </w:tc>
              <w:tc>
                <w:tcPr>
                  <w:tcW w:w="1446" w:type="pct"/>
                  <w:noWrap/>
                  <w:vAlign w:val="center"/>
                </w:tcPr>
                <w:p w14:paraId="09AE20B2">
                  <w:pPr>
                    <w:pStyle w:val="77"/>
                    <w:spacing w:line="240" w:lineRule="auto"/>
                    <w:rPr>
                      <w:rFonts w:hint="eastAsia" w:eastAsia="宋体"/>
                      <w:sz w:val="21"/>
                      <w:szCs w:val="21"/>
                      <w:lang w:val="en-US" w:eastAsia="zh-CN"/>
                    </w:rPr>
                  </w:pPr>
                  <w:r>
                    <w:rPr>
                      <w:rFonts w:hint="eastAsia"/>
                      <w:sz w:val="21"/>
                      <w:szCs w:val="21"/>
                      <w:lang w:val="en-US" w:eastAsia="zh-CN"/>
                    </w:rPr>
                    <w:t>/</w:t>
                  </w:r>
                </w:p>
              </w:tc>
              <w:tc>
                <w:tcPr>
                  <w:tcW w:w="687" w:type="pct"/>
                  <w:noWrap/>
                  <w:vAlign w:val="center"/>
                </w:tcPr>
                <w:p w14:paraId="5F4BF666">
                  <w:pPr>
                    <w:pStyle w:val="77"/>
                    <w:spacing w:line="240" w:lineRule="auto"/>
                    <w:rPr>
                      <w:rFonts w:hint="default"/>
                      <w:sz w:val="21"/>
                      <w:szCs w:val="21"/>
                      <w:lang w:val="en-US" w:eastAsia="zh-CN" w:bidi="ar"/>
                    </w:rPr>
                  </w:pPr>
                  <w:r>
                    <w:rPr>
                      <w:rFonts w:hint="eastAsia"/>
                      <w:sz w:val="21"/>
                      <w:szCs w:val="21"/>
                      <w:lang w:val="en-US" w:eastAsia="zh-CN" w:bidi="ar"/>
                    </w:rPr>
                    <w:t>2</w:t>
                  </w:r>
                </w:p>
              </w:tc>
              <w:tc>
                <w:tcPr>
                  <w:tcW w:w="915" w:type="pct"/>
                  <w:vAlign w:val="center"/>
                </w:tcPr>
                <w:p w14:paraId="1AD9069F">
                  <w:pPr>
                    <w:pStyle w:val="77"/>
                    <w:spacing w:line="240" w:lineRule="auto"/>
                    <w:rPr>
                      <w:rFonts w:hint="default" w:eastAsia="宋体"/>
                      <w:sz w:val="21"/>
                      <w:szCs w:val="21"/>
                      <w:lang w:val="en-US" w:eastAsia="zh-CN"/>
                    </w:rPr>
                  </w:pPr>
                  <w:r>
                    <w:rPr>
                      <w:rFonts w:hint="eastAsia"/>
                      <w:sz w:val="21"/>
                      <w:szCs w:val="21"/>
                      <w:lang w:val="en-US" w:eastAsia="zh-CN"/>
                    </w:rPr>
                    <w:t>台</w:t>
                  </w:r>
                </w:p>
              </w:tc>
            </w:tr>
            <w:tr w14:paraId="06C74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5"/>
                  <w:noWrap/>
                  <w:vAlign w:val="center"/>
                </w:tcPr>
                <w:p w14:paraId="20340597">
                  <w:pPr>
                    <w:pStyle w:val="77"/>
                    <w:spacing w:line="240" w:lineRule="auto"/>
                    <w:jc w:val="both"/>
                    <w:rPr>
                      <w:rFonts w:hint="default" w:eastAsia="宋体"/>
                      <w:b/>
                      <w:bCs/>
                      <w:sz w:val="21"/>
                      <w:szCs w:val="21"/>
                      <w:lang w:val="en-US" w:eastAsia="zh-CN"/>
                    </w:rPr>
                  </w:pPr>
                  <w:r>
                    <w:rPr>
                      <w:rFonts w:hint="eastAsia"/>
                      <w:b/>
                      <w:bCs/>
                      <w:sz w:val="21"/>
                      <w:szCs w:val="21"/>
                      <w:lang w:bidi="ar"/>
                    </w:rPr>
                    <w:t>二、</w:t>
                  </w:r>
                  <w:r>
                    <w:rPr>
                      <w:rFonts w:hint="eastAsia"/>
                      <w:b/>
                      <w:bCs/>
                      <w:sz w:val="21"/>
                      <w:szCs w:val="21"/>
                      <w:lang w:val="en-US" w:eastAsia="zh-CN" w:bidi="ar"/>
                    </w:rPr>
                    <w:t>COB灯带</w:t>
                  </w:r>
                </w:p>
              </w:tc>
            </w:tr>
            <w:tr w14:paraId="7CF7A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68B610ED">
                  <w:pPr>
                    <w:pStyle w:val="77"/>
                    <w:spacing w:line="240" w:lineRule="auto"/>
                    <w:rPr>
                      <w:sz w:val="21"/>
                      <w:szCs w:val="21"/>
                    </w:rPr>
                  </w:pPr>
                  <w:r>
                    <w:rPr>
                      <w:sz w:val="21"/>
                      <w:szCs w:val="21"/>
                      <w:lang w:bidi="ar"/>
                    </w:rPr>
                    <w:t>1</w:t>
                  </w:r>
                </w:p>
              </w:tc>
              <w:tc>
                <w:tcPr>
                  <w:tcW w:w="1547" w:type="pct"/>
                  <w:noWrap/>
                  <w:vAlign w:val="center"/>
                </w:tcPr>
                <w:p w14:paraId="2BB451C1">
                  <w:pPr>
                    <w:pStyle w:val="77"/>
                    <w:spacing w:line="240" w:lineRule="auto"/>
                    <w:rPr>
                      <w:rFonts w:hint="eastAsia" w:eastAsia="宋体"/>
                      <w:sz w:val="21"/>
                      <w:szCs w:val="21"/>
                      <w:lang w:eastAsia="zh-CN"/>
                    </w:rPr>
                  </w:pPr>
                  <w:r>
                    <w:rPr>
                      <w:rFonts w:hint="eastAsia"/>
                      <w:sz w:val="21"/>
                      <w:szCs w:val="21"/>
                      <w:lang w:val="en-US" w:eastAsia="zh-CN" w:bidi="ar"/>
                    </w:rPr>
                    <w:t>固晶机</w:t>
                  </w:r>
                </w:p>
              </w:tc>
              <w:tc>
                <w:tcPr>
                  <w:tcW w:w="1446" w:type="pct"/>
                  <w:noWrap/>
                  <w:vAlign w:val="center"/>
                </w:tcPr>
                <w:p w14:paraId="3FB1240B">
                  <w:pPr>
                    <w:pStyle w:val="77"/>
                    <w:spacing w:line="240" w:lineRule="auto"/>
                    <w:rPr>
                      <w:rFonts w:hint="eastAsia" w:eastAsia="宋体"/>
                      <w:color w:val="auto"/>
                      <w:sz w:val="21"/>
                      <w:szCs w:val="21"/>
                      <w:lang w:val="en-US" w:eastAsia="zh-CN"/>
                    </w:rPr>
                  </w:pPr>
                  <w:r>
                    <w:rPr>
                      <w:rFonts w:hint="eastAsia"/>
                      <w:color w:val="auto"/>
                      <w:sz w:val="21"/>
                      <w:szCs w:val="21"/>
                      <w:lang w:val="en-US" w:eastAsia="zh-CN"/>
                    </w:rPr>
                    <w:t>/</w:t>
                  </w:r>
                </w:p>
              </w:tc>
              <w:tc>
                <w:tcPr>
                  <w:tcW w:w="687" w:type="pct"/>
                  <w:noWrap/>
                  <w:vAlign w:val="center"/>
                </w:tcPr>
                <w:p w14:paraId="09C0860D">
                  <w:pPr>
                    <w:pStyle w:val="77"/>
                    <w:spacing w:line="240" w:lineRule="auto"/>
                    <w:rPr>
                      <w:rFonts w:hint="default" w:eastAsia="宋体"/>
                      <w:color w:val="auto"/>
                      <w:sz w:val="21"/>
                      <w:szCs w:val="21"/>
                      <w:lang w:val="en-US" w:eastAsia="zh-CN"/>
                    </w:rPr>
                  </w:pPr>
                  <w:r>
                    <w:rPr>
                      <w:rFonts w:hint="eastAsia"/>
                      <w:color w:val="auto"/>
                      <w:sz w:val="21"/>
                      <w:szCs w:val="21"/>
                      <w:lang w:val="en-US" w:eastAsia="zh-CN" w:bidi="ar"/>
                    </w:rPr>
                    <w:t>20</w:t>
                  </w:r>
                </w:p>
              </w:tc>
              <w:tc>
                <w:tcPr>
                  <w:tcW w:w="915" w:type="pct"/>
                  <w:vAlign w:val="center"/>
                </w:tcPr>
                <w:p w14:paraId="633B8203">
                  <w:pPr>
                    <w:pStyle w:val="77"/>
                    <w:spacing w:line="240" w:lineRule="auto"/>
                    <w:rPr>
                      <w:rFonts w:hint="eastAsia" w:eastAsia="宋体"/>
                      <w:sz w:val="21"/>
                      <w:szCs w:val="21"/>
                      <w:lang w:eastAsia="zh-CN"/>
                    </w:rPr>
                  </w:pPr>
                  <w:r>
                    <w:rPr>
                      <w:rFonts w:hint="eastAsia"/>
                      <w:sz w:val="21"/>
                      <w:szCs w:val="21"/>
                      <w:lang w:val="en-US" w:eastAsia="zh-CN"/>
                    </w:rPr>
                    <w:t>台</w:t>
                  </w:r>
                </w:p>
              </w:tc>
            </w:tr>
            <w:tr w14:paraId="5C65A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33083ACD">
                  <w:pPr>
                    <w:pStyle w:val="77"/>
                    <w:spacing w:line="240" w:lineRule="auto"/>
                    <w:rPr>
                      <w:sz w:val="21"/>
                      <w:szCs w:val="21"/>
                      <w:lang w:bidi="ar"/>
                    </w:rPr>
                  </w:pPr>
                  <w:r>
                    <w:rPr>
                      <w:rFonts w:hint="eastAsia"/>
                      <w:sz w:val="21"/>
                      <w:szCs w:val="21"/>
                    </w:rPr>
                    <w:t>2</w:t>
                  </w:r>
                </w:p>
              </w:tc>
              <w:tc>
                <w:tcPr>
                  <w:tcW w:w="1547" w:type="pct"/>
                  <w:noWrap/>
                  <w:vAlign w:val="center"/>
                </w:tcPr>
                <w:p w14:paraId="5DC49F97">
                  <w:pPr>
                    <w:pStyle w:val="77"/>
                    <w:spacing w:line="240" w:lineRule="auto"/>
                    <w:rPr>
                      <w:rFonts w:hint="default" w:eastAsia="宋体"/>
                      <w:sz w:val="21"/>
                      <w:szCs w:val="21"/>
                      <w:lang w:val="en-US" w:eastAsia="zh-CN" w:bidi="ar"/>
                    </w:rPr>
                  </w:pPr>
                  <w:r>
                    <w:rPr>
                      <w:rFonts w:hint="eastAsia"/>
                      <w:sz w:val="21"/>
                      <w:szCs w:val="21"/>
                      <w:lang w:val="en-US" w:eastAsia="zh-CN" w:bidi="ar"/>
                    </w:rPr>
                    <w:t>回流焊机</w:t>
                  </w:r>
                </w:p>
              </w:tc>
              <w:tc>
                <w:tcPr>
                  <w:tcW w:w="1446" w:type="pct"/>
                  <w:noWrap/>
                  <w:vAlign w:val="center"/>
                </w:tcPr>
                <w:p w14:paraId="5B2B4AE1">
                  <w:pPr>
                    <w:pStyle w:val="77"/>
                    <w:spacing w:line="240" w:lineRule="auto"/>
                    <w:rPr>
                      <w:rFonts w:hint="eastAsia" w:eastAsia="宋体"/>
                      <w:color w:val="auto"/>
                      <w:sz w:val="21"/>
                      <w:szCs w:val="21"/>
                      <w:lang w:val="en-US" w:eastAsia="zh-CN" w:bidi="ar"/>
                    </w:rPr>
                  </w:pPr>
                  <w:r>
                    <w:rPr>
                      <w:rFonts w:hint="eastAsia"/>
                      <w:color w:val="auto"/>
                      <w:sz w:val="21"/>
                      <w:szCs w:val="21"/>
                      <w:lang w:val="en-US" w:eastAsia="zh-CN" w:bidi="ar"/>
                    </w:rPr>
                    <w:t>双通道</w:t>
                  </w:r>
                </w:p>
              </w:tc>
              <w:tc>
                <w:tcPr>
                  <w:tcW w:w="687" w:type="pct"/>
                  <w:noWrap/>
                  <w:vAlign w:val="center"/>
                </w:tcPr>
                <w:p w14:paraId="26E49094">
                  <w:pPr>
                    <w:pStyle w:val="77"/>
                    <w:spacing w:line="240" w:lineRule="auto"/>
                    <w:rPr>
                      <w:rFonts w:hint="default" w:eastAsia="宋体"/>
                      <w:color w:val="auto"/>
                      <w:sz w:val="21"/>
                      <w:szCs w:val="21"/>
                      <w:lang w:val="en-US" w:eastAsia="zh-CN" w:bidi="ar"/>
                    </w:rPr>
                  </w:pPr>
                  <w:r>
                    <w:rPr>
                      <w:rFonts w:hint="eastAsia"/>
                      <w:color w:val="auto"/>
                      <w:sz w:val="21"/>
                      <w:szCs w:val="21"/>
                      <w:lang w:val="en-US" w:eastAsia="zh-CN" w:bidi="ar"/>
                    </w:rPr>
                    <w:t>20</w:t>
                  </w:r>
                </w:p>
              </w:tc>
              <w:tc>
                <w:tcPr>
                  <w:tcW w:w="915" w:type="pct"/>
                  <w:vAlign w:val="center"/>
                </w:tcPr>
                <w:p w14:paraId="298B3464">
                  <w:pPr>
                    <w:pStyle w:val="77"/>
                    <w:spacing w:line="240" w:lineRule="auto"/>
                    <w:rPr>
                      <w:rFonts w:hint="eastAsia" w:eastAsia="宋体"/>
                      <w:sz w:val="21"/>
                      <w:szCs w:val="21"/>
                      <w:lang w:eastAsia="zh-CN"/>
                    </w:rPr>
                  </w:pPr>
                  <w:r>
                    <w:rPr>
                      <w:rFonts w:hint="eastAsia"/>
                      <w:sz w:val="21"/>
                      <w:szCs w:val="21"/>
                      <w:lang w:val="en-US" w:eastAsia="zh-CN"/>
                    </w:rPr>
                    <w:t>台</w:t>
                  </w:r>
                </w:p>
              </w:tc>
            </w:tr>
            <w:tr w14:paraId="566D1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28CF1615">
                  <w:pPr>
                    <w:pStyle w:val="77"/>
                    <w:spacing w:line="240" w:lineRule="auto"/>
                    <w:rPr>
                      <w:rFonts w:hint="eastAsia" w:eastAsia="宋体"/>
                      <w:sz w:val="21"/>
                      <w:szCs w:val="21"/>
                      <w:lang w:val="en-US" w:eastAsia="zh-CN"/>
                    </w:rPr>
                  </w:pPr>
                  <w:r>
                    <w:rPr>
                      <w:rFonts w:hint="eastAsia"/>
                      <w:sz w:val="21"/>
                      <w:szCs w:val="21"/>
                      <w:lang w:val="en-US" w:eastAsia="zh-CN"/>
                    </w:rPr>
                    <w:t>3</w:t>
                  </w:r>
                </w:p>
              </w:tc>
              <w:tc>
                <w:tcPr>
                  <w:tcW w:w="1547" w:type="pct"/>
                  <w:shd w:val="clear" w:color="auto" w:fill="auto"/>
                  <w:noWrap/>
                  <w:vAlign w:val="center"/>
                </w:tcPr>
                <w:p w14:paraId="0B43F6AD">
                  <w:pPr>
                    <w:pStyle w:val="77"/>
                    <w:spacing w:line="240" w:lineRule="auto"/>
                    <w:ind w:firstLine="0" w:firstLineChars="0"/>
                    <w:rPr>
                      <w:rFonts w:hint="eastAsia" w:ascii="Times New Roman" w:hAnsi="Times New Roman" w:eastAsia="宋体" w:cs="Times New Roman"/>
                      <w:kern w:val="0"/>
                      <w:sz w:val="21"/>
                      <w:szCs w:val="21"/>
                      <w:lang w:val="en-US" w:eastAsia="zh-CN" w:bidi="ar-SA"/>
                    </w:rPr>
                  </w:pPr>
                  <w:r>
                    <w:rPr>
                      <w:rFonts w:hint="eastAsia"/>
                      <w:sz w:val="21"/>
                      <w:szCs w:val="21"/>
                      <w:lang w:val="en-US" w:eastAsia="zh-CN"/>
                    </w:rPr>
                    <w:t>AOI检测机</w:t>
                  </w:r>
                </w:p>
              </w:tc>
              <w:tc>
                <w:tcPr>
                  <w:tcW w:w="1446" w:type="pct"/>
                  <w:shd w:val="clear" w:color="auto" w:fill="auto"/>
                  <w:noWrap/>
                  <w:vAlign w:val="center"/>
                </w:tcPr>
                <w:p w14:paraId="47A172DA">
                  <w:pPr>
                    <w:pStyle w:val="77"/>
                    <w:spacing w:line="240" w:lineRule="auto"/>
                    <w:ind w:firstLine="0" w:firstLineChars="0"/>
                    <w:rPr>
                      <w:rFonts w:hint="eastAsia" w:ascii="Times New Roman" w:hAnsi="Times New Roman" w:eastAsia="宋体" w:cs="Times New Roman"/>
                      <w:kern w:val="0"/>
                      <w:sz w:val="21"/>
                      <w:szCs w:val="21"/>
                      <w:lang w:val="en-US" w:eastAsia="zh-CN" w:bidi="ar-SA"/>
                    </w:rPr>
                  </w:pPr>
                  <w:r>
                    <w:rPr>
                      <w:rFonts w:hint="eastAsia"/>
                      <w:sz w:val="21"/>
                      <w:szCs w:val="21"/>
                      <w:lang w:val="en-US" w:eastAsia="zh-CN"/>
                    </w:rPr>
                    <w:t>自动光学检测设备</w:t>
                  </w:r>
                </w:p>
              </w:tc>
              <w:tc>
                <w:tcPr>
                  <w:tcW w:w="687" w:type="pct"/>
                  <w:noWrap/>
                  <w:vAlign w:val="center"/>
                </w:tcPr>
                <w:p w14:paraId="461EDA9D">
                  <w:pPr>
                    <w:pStyle w:val="77"/>
                    <w:spacing w:line="240" w:lineRule="auto"/>
                    <w:rPr>
                      <w:rFonts w:hint="default"/>
                      <w:sz w:val="21"/>
                      <w:szCs w:val="21"/>
                      <w:lang w:val="en-US" w:eastAsia="zh-CN" w:bidi="ar"/>
                    </w:rPr>
                  </w:pPr>
                  <w:r>
                    <w:rPr>
                      <w:rFonts w:hint="eastAsia"/>
                      <w:sz w:val="21"/>
                      <w:szCs w:val="21"/>
                      <w:lang w:val="en-US" w:eastAsia="zh-CN" w:bidi="ar"/>
                    </w:rPr>
                    <w:t>20</w:t>
                  </w:r>
                </w:p>
              </w:tc>
              <w:tc>
                <w:tcPr>
                  <w:tcW w:w="915" w:type="pct"/>
                  <w:vAlign w:val="center"/>
                </w:tcPr>
                <w:p w14:paraId="5131207C">
                  <w:pPr>
                    <w:pStyle w:val="77"/>
                    <w:spacing w:line="240" w:lineRule="auto"/>
                    <w:rPr>
                      <w:rFonts w:hint="default"/>
                      <w:sz w:val="21"/>
                      <w:szCs w:val="21"/>
                      <w:lang w:val="en-US" w:eastAsia="zh-CN"/>
                    </w:rPr>
                  </w:pPr>
                  <w:r>
                    <w:rPr>
                      <w:rFonts w:hint="eastAsia"/>
                      <w:sz w:val="21"/>
                      <w:szCs w:val="21"/>
                      <w:lang w:val="en-US" w:eastAsia="zh-CN"/>
                    </w:rPr>
                    <w:t>台</w:t>
                  </w:r>
                </w:p>
              </w:tc>
            </w:tr>
            <w:tr w14:paraId="245EC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32BCF1CF">
                  <w:pPr>
                    <w:pStyle w:val="77"/>
                    <w:spacing w:line="240" w:lineRule="auto"/>
                    <w:rPr>
                      <w:rFonts w:hint="eastAsia" w:eastAsia="宋体"/>
                      <w:sz w:val="21"/>
                      <w:szCs w:val="21"/>
                      <w:lang w:val="en-US" w:eastAsia="zh-CN" w:bidi="ar"/>
                    </w:rPr>
                  </w:pPr>
                  <w:r>
                    <w:rPr>
                      <w:rFonts w:hint="eastAsia"/>
                      <w:sz w:val="21"/>
                      <w:szCs w:val="21"/>
                      <w:lang w:val="en-US" w:eastAsia="zh-CN" w:bidi="ar"/>
                    </w:rPr>
                    <w:t>4</w:t>
                  </w:r>
                </w:p>
              </w:tc>
              <w:tc>
                <w:tcPr>
                  <w:tcW w:w="1547" w:type="pct"/>
                  <w:noWrap/>
                  <w:vAlign w:val="center"/>
                </w:tcPr>
                <w:p w14:paraId="14094D14">
                  <w:pPr>
                    <w:pStyle w:val="77"/>
                    <w:spacing w:line="240" w:lineRule="auto"/>
                    <w:rPr>
                      <w:rFonts w:hint="default"/>
                      <w:sz w:val="21"/>
                      <w:szCs w:val="21"/>
                      <w:lang w:val="en-US" w:eastAsia="zh-CN" w:bidi="ar"/>
                    </w:rPr>
                  </w:pPr>
                  <w:r>
                    <w:rPr>
                      <w:rFonts w:hint="eastAsia"/>
                      <w:sz w:val="21"/>
                      <w:szCs w:val="21"/>
                      <w:lang w:val="en-US" w:eastAsia="zh-CN" w:bidi="ar"/>
                    </w:rPr>
                    <w:t>搅拌机</w:t>
                  </w:r>
                </w:p>
              </w:tc>
              <w:tc>
                <w:tcPr>
                  <w:tcW w:w="1446" w:type="pct"/>
                  <w:noWrap/>
                  <w:vAlign w:val="center"/>
                </w:tcPr>
                <w:p w14:paraId="23E1A7F9">
                  <w:pPr>
                    <w:pStyle w:val="77"/>
                    <w:spacing w:line="240" w:lineRule="auto"/>
                    <w:rPr>
                      <w:rFonts w:hint="default"/>
                      <w:sz w:val="21"/>
                      <w:szCs w:val="21"/>
                      <w:lang w:val="en-US" w:eastAsia="zh-CN"/>
                    </w:rPr>
                  </w:pPr>
                  <w:r>
                    <w:rPr>
                      <w:rFonts w:hint="eastAsia"/>
                      <w:sz w:val="21"/>
                      <w:szCs w:val="21"/>
                      <w:lang w:val="en-US" w:eastAsia="zh-CN"/>
                    </w:rPr>
                    <w:t>/</w:t>
                  </w:r>
                </w:p>
              </w:tc>
              <w:tc>
                <w:tcPr>
                  <w:tcW w:w="687" w:type="pct"/>
                  <w:noWrap/>
                  <w:vAlign w:val="center"/>
                </w:tcPr>
                <w:p w14:paraId="238573D8">
                  <w:pPr>
                    <w:pStyle w:val="77"/>
                    <w:spacing w:line="240" w:lineRule="auto"/>
                    <w:rPr>
                      <w:rFonts w:hint="default"/>
                      <w:sz w:val="21"/>
                      <w:szCs w:val="21"/>
                      <w:lang w:val="en-US" w:eastAsia="zh-CN" w:bidi="ar"/>
                    </w:rPr>
                  </w:pPr>
                  <w:r>
                    <w:rPr>
                      <w:rFonts w:hint="eastAsia"/>
                      <w:sz w:val="21"/>
                      <w:szCs w:val="21"/>
                      <w:lang w:val="en-US" w:eastAsia="zh-CN" w:bidi="ar"/>
                    </w:rPr>
                    <w:t>1</w:t>
                  </w:r>
                </w:p>
              </w:tc>
              <w:tc>
                <w:tcPr>
                  <w:tcW w:w="915" w:type="pct"/>
                  <w:vAlign w:val="center"/>
                </w:tcPr>
                <w:p w14:paraId="4F891AF6">
                  <w:pPr>
                    <w:pStyle w:val="77"/>
                    <w:spacing w:line="240" w:lineRule="auto"/>
                    <w:rPr>
                      <w:rFonts w:hint="default"/>
                      <w:sz w:val="21"/>
                      <w:szCs w:val="21"/>
                      <w:lang w:val="en-US" w:eastAsia="zh-CN"/>
                    </w:rPr>
                  </w:pPr>
                  <w:r>
                    <w:rPr>
                      <w:rFonts w:hint="eastAsia"/>
                      <w:sz w:val="21"/>
                      <w:szCs w:val="21"/>
                      <w:lang w:val="en-US" w:eastAsia="zh-CN"/>
                    </w:rPr>
                    <w:t>台</w:t>
                  </w:r>
                </w:p>
              </w:tc>
            </w:tr>
            <w:tr w14:paraId="487DD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6D0A7CC6">
                  <w:pPr>
                    <w:pStyle w:val="77"/>
                    <w:spacing w:line="240" w:lineRule="auto"/>
                    <w:rPr>
                      <w:rFonts w:hint="eastAsia" w:eastAsia="宋体"/>
                      <w:sz w:val="21"/>
                      <w:szCs w:val="21"/>
                      <w:lang w:eastAsia="zh-CN" w:bidi="ar"/>
                    </w:rPr>
                  </w:pPr>
                  <w:r>
                    <w:rPr>
                      <w:rFonts w:hint="eastAsia"/>
                      <w:sz w:val="21"/>
                      <w:szCs w:val="21"/>
                      <w:lang w:val="en-US" w:eastAsia="zh-CN" w:bidi="ar"/>
                    </w:rPr>
                    <w:t>5</w:t>
                  </w:r>
                </w:p>
              </w:tc>
              <w:tc>
                <w:tcPr>
                  <w:tcW w:w="1547" w:type="pct"/>
                  <w:noWrap/>
                  <w:vAlign w:val="center"/>
                </w:tcPr>
                <w:p w14:paraId="4661A70C">
                  <w:pPr>
                    <w:pStyle w:val="77"/>
                    <w:spacing w:line="240" w:lineRule="auto"/>
                    <w:rPr>
                      <w:rFonts w:hint="eastAsia" w:eastAsia="宋体"/>
                      <w:sz w:val="21"/>
                      <w:szCs w:val="21"/>
                      <w:lang w:val="en-US" w:eastAsia="zh-CN" w:bidi="ar"/>
                    </w:rPr>
                  </w:pPr>
                  <w:r>
                    <w:rPr>
                      <w:rFonts w:hint="eastAsia"/>
                      <w:sz w:val="21"/>
                      <w:szCs w:val="21"/>
                      <w:lang w:val="en-US" w:eastAsia="zh-CN" w:bidi="ar"/>
                    </w:rPr>
                    <w:t>拉胶机</w:t>
                  </w:r>
                </w:p>
              </w:tc>
              <w:tc>
                <w:tcPr>
                  <w:tcW w:w="1446" w:type="pct"/>
                  <w:noWrap/>
                  <w:vAlign w:val="center"/>
                </w:tcPr>
                <w:p w14:paraId="2B525F96">
                  <w:pPr>
                    <w:pStyle w:val="77"/>
                    <w:spacing w:line="240" w:lineRule="auto"/>
                    <w:rPr>
                      <w:rFonts w:hint="eastAsia" w:eastAsia="宋体"/>
                      <w:sz w:val="21"/>
                      <w:szCs w:val="21"/>
                      <w:lang w:val="en-US" w:eastAsia="zh-CN" w:bidi="ar"/>
                    </w:rPr>
                  </w:pPr>
                  <w:r>
                    <w:rPr>
                      <w:rFonts w:hint="eastAsia"/>
                      <w:sz w:val="21"/>
                      <w:szCs w:val="21"/>
                      <w:lang w:val="en-US" w:eastAsia="zh-CN" w:bidi="ar"/>
                    </w:rPr>
                    <w:t>/</w:t>
                  </w:r>
                </w:p>
              </w:tc>
              <w:tc>
                <w:tcPr>
                  <w:tcW w:w="687" w:type="pct"/>
                  <w:noWrap/>
                  <w:vAlign w:val="center"/>
                </w:tcPr>
                <w:p w14:paraId="1229CA5F">
                  <w:pPr>
                    <w:pStyle w:val="77"/>
                    <w:spacing w:line="240" w:lineRule="auto"/>
                    <w:rPr>
                      <w:rFonts w:hint="eastAsia" w:eastAsia="宋体"/>
                      <w:sz w:val="21"/>
                      <w:szCs w:val="21"/>
                      <w:lang w:eastAsia="zh-CN" w:bidi="ar"/>
                    </w:rPr>
                  </w:pPr>
                  <w:r>
                    <w:rPr>
                      <w:rFonts w:hint="eastAsia"/>
                      <w:sz w:val="21"/>
                      <w:szCs w:val="21"/>
                      <w:lang w:val="en-US" w:eastAsia="zh-CN" w:bidi="ar"/>
                    </w:rPr>
                    <w:t>5</w:t>
                  </w:r>
                </w:p>
              </w:tc>
              <w:tc>
                <w:tcPr>
                  <w:tcW w:w="915" w:type="pct"/>
                  <w:vAlign w:val="center"/>
                </w:tcPr>
                <w:p w14:paraId="68455FEC">
                  <w:pPr>
                    <w:pStyle w:val="77"/>
                    <w:spacing w:line="240" w:lineRule="auto"/>
                    <w:rPr>
                      <w:rFonts w:hint="eastAsia" w:eastAsia="宋体"/>
                      <w:sz w:val="21"/>
                      <w:szCs w:val="21"/>
                      <w:lang w:val="en-US" w:eastAsia="zh-CN"/>
                    </w:rPr>
                  </w:pPr>
                  <w:r>
                    <w:rPr>
                      <w:rFonts w:hint="eastAsia"/>
                      <w:sz w:val="21"/>
                      <w:szCs w:val="21"/>
                      <w:lang w:val="en-US" w:eastAsia="zh-CN"/>
                    </w:rPr>
                    <w:t>台</w:t>
                  </w:r>
                </w:p>
              </w:tc>
            </w:tr>
            <w:tr w14:paraId="60976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233B7A5F">
                  <w:pPr>
                    <w:pStyle w:val="77"/>
                    <w:spacing w:line="240" w:lineRule="auto"/>
                    <w:rPr>
                      <w:rFonts w:hint="eastAsia" w:eastAsia="宋体"/>
                      <w:sz w:val="21"/>
                      <w:szCs w:val="21"/>
                      <w:lang w:eastAsia="zh-CN"/>
                    </w:rPr>
                  </w:pPr>
                  <w:r>
                    <w:rPr>
                      <w:rFonts w:hint="eastAsia"/>
                      <w:sz w:val="21"/>
                      <w:szCs w:val="21"/>
                      <w:lang w:val="en-US" w:eastAsia="zh-CN" w:bidi="ar"/>
                    </w:rPr>
                    <w:t>6</w:t>
                  </w:r>
                </w:p>
              </w:tc>
              <w:tc>
                <w:tcPr>
                  <w:tcW w:w="1547" w:type="pct"/>
                  <w:noWrap/>
                  <w:vAlign w:val="center"/>
                </w:tcPr>
                <w:p w14:paraId="3BD26368">
                  <w:pPr>
                    <w:pStyle w:val="77"/>
                    <w:spacing w:line="240" w:lineRule="auto"/>
                    <w:rPr>
                      <w:rFonts w:hint="eastAsia" w:eastAsia="宋体"/>
                      <w:sz w:val="21"/>
                      <w:szCs w:val="21"/>
                      <w:lang w:eastAsia="zh-CN"/>
                    </w:rPr>
                  </w:pPr>
                  <w:r>
                    <w:rPr>
                      <w:rFonts w:hint="eastAsia"/>
                      <w:sz w:val="21"/>
                      <w:szCs w:val="21"/>
                      <w:lang w:val="en-US" w:eastAsia="zh-CN" w:bidi="ar"/>
                    </w:rPr>
                    <w:t>隧道炉</w:t>
                  </w:r>
                </w:p>
              </w:tc>
              <w:tc>
                <w:tcPr>
                  <w:tcW w:w="1446" w:type="pct"/>
                  <w:noWrap/>
                  <w:vAlign w:val="center"/>
                </w:tcPr>
                <w:p w14:paraId="113C5EE8">
                  <w:pPr>
                    <w:pStyle w:val="77"/>
                    <w:spacing w:line="240" w:lineRule="auto"/>
                    <w:rPr>
                      <w:rFonts w:hint="default" w:eastAsia="宋体"/>
                      <w:sz w:val="21"/>
                      <w:szCs w:val="21"/>
                      <w:lang w:val="en-US" w:eastAsia="zh-CN"/>
                    </w:rPr>
                  </w:pPr>
                  <w:r>
                    <w:rPr>
                      <w:rFonts w:hint="eastAsia"/>
                      <w:sz w:val="21"/>
                      <w:szCs w:val="21"/>
                      <w:lang w:val="en-US" w:eastAsia="zh-CN"/>
                    </w:rPr>
                    <w:t>8m，电加热</w:t>
                  </w:r>
                </w:p>
              </w:tc>
              <w:tc>
                <w:tcPr>
                  <w:tcW w:w="687" w:type="pct"/>
                  <w:noWrap/>
                  <w:vAlign w:val="center"/>
                </w:tcPr>
                <w:p w14:paraId="5411A0C1">
                  <w:pPr>
                    <w:pStyle w:val="77"/>
                    <w:spacing w:line="240" w:lineRule="auto"/>
                    <w:rPr>
                      <w:rFonts w:hint="default" w:eastAsia="宋体"/>
                      <w:sz w:val="21"/>
                      <w:szCs w:val="21"/>
                      <w:lang w:val="en-US" w:eastAsia="zh-CN"/>
                    </w:rPr>
                  </w:pPr>
                  <w:r>
                    <w:rPr>
                      <w:rFonts w:hint="eastAsia"/>
                      <w:sz w:val="21"/>
                      <w:szCs w:val="21"/>
                      <w:lang w:val="en-US" w:eastAsia="zh-CN" w:bidi="ar"/>
                    </w:rPr>
                    <w:t>10</w:t>
                  </w:r>
                </w:p>
              </w:tc>
              <w:tc>
                <w:tcPr>
                  <w:tcW w:w="915" w:type="pct"/>
                  <w:vAlign w:val="center"/>
                </w:tcPr>
                <w:p w14:paraId="11E02FD3">
                  <w:pPr>
                    <w:pStyle w:val="77"/>
                    <w:spacing w:line="240" w:lineRule="auto"/>
                    <w:rPr>
                      <w:rFonts w:hint="eastAsia" w:eastAsia="宋体"/>
                      <w:sz w:val="21"/>
                      <w:szCs w:val="21"/>
                      <w:lang w:val="en-US" w:eastAsia="zh-CN"/>
                    </w:rPr>
                  </w:pPr>
                  <w:r>
                    <w:rPr>
                      <w:rFonts w:hint="eastAsia"/>
                      <w:sz w:val="21"/>
                      <w:szCs w:val="21"/>
                      <w:lang w:val="en-US" w:eastAsia="zh-CN"/>
                    </w:rPr>
                    <w:t>台</w:t>
                  </w:r>
                </w:p>
              </w:tc>
            </w:tr>
            <w:tr w14:paraId="2DEF7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shd w:val="clear" w:color="auto" w:fill="auto"/>
                  <w:noWrap/>
                  <w:vAlign w:val="center"/>
                </w:tcPr>
                <w:p w14:paraId="329A1FE8">
                  <w:pPr>
                    <w:pStyle w:val="77"/>
                    <w:spacing w:line="240" w:lineRule="auto"/>
                    <w:ind w:firstLine="0" w:firstLineChars="0"/>
                    <w:rPr>
                      <w:rFonts w:hint="eastAsia" w:ascii="Times New Roman" w:hAnsi="Times New Roman" w:eastAsia="宋体" w:cs="Times New Roman"/>
                      <w:kern w:val="0"/>
                      <w:sz w:val="21"/>
                      <w:szCs w:val="21"/>
                      <w:lang w:val="en-US" w:eastAsia="zh-CN" w:bidi="ar-SA"/>
                    </w:rPr>
                  </w:pPr>
                  <w:r>
                    <w:rPr>
                      <w:rFonts w:hint="eastAsia"/>
                      <w:sz w:val="21"/>
                      <w:szCs w:val="21"/>
                      <w:lang w:val="en-US" w:eastAsia="zh-CN" w:bidi="ar"/>
                    </w:rPr>
                    <w:t>7</w:t>
                  </w:r>
                </w:p>
              </w:tc>
              <w:tc>
                <w:tcPr>
                  <w:tcW w:w="1547" w:type="pct"/>
                  <w:shd w:val="clear" w:color="auto" w:fill="auto"/>
                  <w:noWrap/>
                  <w:vAlign w:val="center"/>
                </w:tcPr>
                <w:p w14:paraId="4157B5F4">
                  <w:pPr>
                    <w:pStyle w:val="77"/>
                    <w:spacing w:line="240" w:lineRule="auto"/>
                    <w:ind w:firstLine="0" w:firstLineChars="0"/>
                    <w:rPr>
                      <w:rFonts w:hint="eastAsia" w:ascii="Times New Roman" w:hAnsi="Times New Roman" w:eastAsia="宋体" w:cs="Times New Roman"/>
                      <w:kern w:val="0"/>
                      <w:sz w:val="21"/>
                      <w:szCs w:val="21"/>
                      <w:lang w:val="en-US" w:eastAsia="zh-CN" w:bidi="ar-SA"/>
                    </w:rPr>
                  </w:pPr>
                  <w:r>
                    <w:rPr>
                      <w:rFonts w:hint="eastAsia"/>
                      <w:sz w:val="21"/>
                      <w:szCs w:val="21"/>
                      <w:lang w:val="en-US" w:eastAsia="zh-CN" w:bidi="ar"/>
                    </w:rPr>
                    <w:t>分光机</w:t>
                  </w:r>
                </w:p>
              </w:tc>
              <w:tc>
                <w:tcPr>
                  <w:tcW w:w="1446" w:type="pct"/>
                  <w:shd w:val="clear" w:color="auto" w:fill="auto"/>
                  <w:noWrap/>
                  <w:vAlign w:val="center"/>
                </w:tcPr>
                <w:p w14:paraId="67C9C768">
                  <w:pPr>
                    <w:pStyle w:val="77"/>
                    <w:spacing w:line="240" w:lineRule="auto"/>
                    <w:ind w:firstLine="0" w:firstLineChars="0"/>
                    <w:rPr>
                      <w:rFonts w:hint="eastAsia" w:ascii="Times New Roman" w:hAnsi="Times New Roman" w:eastAsia="宋体" w:cs="Times New Roman"/>
                      <w:kern w:val="0"/>
                      <w:sz w:val="21"/>
                      <w:szCs w:val="21"/>
                      <w:lang w:val="en-US" w:eastAsia="zh-CN" w:bidi="ar-SA"/>
                    </w:rPr>
                  </w:pPr>
                  <w:r>
                    <w:rPr>
                      <w:rFonts w:hint="eastAsia"/>
                      <w:sz w:val="21"/>
                      <w:szCs w:val="21"/>
                      <w:lang w:val="en-US" w:eastAsia="zh-CN"/>
                    </w:rPr>
                    <w:t>/</w:t>
                  </w:r>
                </w:p>
              </w:tc>
              <w:tc>
                <w:tcPr>
                  <w:tcW w:w="687" w:type="pct"/>
                  <w:shd w:val="clear" w:color="auto" w:fill="auto"/>
                  <w:noWrap/>
                  <w:vAlign w:val="center"/>
                </w:tcPr>
                <w:p w14:paraId="66180728">
                  <w:pPr>
                    <w:pStyle w:val="77"/>
                    <w:spacing w:line="240" w:lineRule="auto"/>
                    <w:ind w:firstLine="0" w:firstLineChars="0"/>
                    <w:rPr>
                      <w:rFonts w:hint="eastAsia" w:ascii="Times New Roman" w:hAnsi="Times New Roman" w:eastAsia="宋体" w:cs="Times New Roman"/>
                      <w:kern w:val="0"/>
                      <w:sz w:val="21"/>
                      <w:szCs w:val="21"/>
                      <w:lang w:val="en-US" w:eastAsia="zh-CN" w:bidi="ar-SA"/>
                    </w:rPr>
                  </w:pPr>
                  <w:r>
                    <w:rPr>
                      <w:rFonts w:hint="eastAsia"/>
                      <w:sz w:val="21"/>
                      <w:szCs w:val="21"/>
                      <w:lang w:val="en-US" w:eastAsia="zh-CN" w:bidi="ar"/>
                    </w:rPr>
                    <w:t>20</w:t>
                  </w:r>
                </w:p>
              </w:tc>
              <w:tc>
                <w:tcPr>
                  <w:tcW w:w="915" w:type="pct"/>
                  <w:shd w:val="clear" w:color="auto" w:fill="auto"/>
                  <w:vAlign w:val="center"/>
                </w:tcPr>
                <w:p w14:paraId="18D5D9AC">
                  <w:pPr>
                    <w:pStyle w:val="77"/>
                    <w:spacing w:line="240" w:lineRule="auto"/>
                    <w:ind w:firstLine="0" w:firstLineChars="0"/>
                    <w:rPr>
                      <w:rFonts w:hint="eastAsia" w:ascii="Times New Roman" w:hAnsi="Times New Roman" w:eastAsia="宋体" w:cs="Times New Roman"/>
                      <w:kern w:val="0"/>
                      <w:sz w:val="21"/>
                      <w:szCs w:val="21"/>
                      <w:lang w:val="en-US" w:eastAsia="zh-CN" w:bidi="ar-SA"/>
                    </w:rPr>
                  </w:pPr>
                  <w:r>
                    <w:rPr>
                      <w:rFonts w:hint="eastAsia"/>
                      <w:sz w:val="21"/>
                      <w:szCs w:val="21"/>
                      <w:lang w:val="en-US" w:eastAsia="zh-CN"/>
                    </w:rPr>
                    <w:t>台</w:t>
                  </w:r>
                </w:p>
              </w:tc>
            </w:tr>
            <w:tr w14:paraId="7B64C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2B90CED8">
                  <w:pPr>
                    <w:pStyle w:val="77"/>
                    <w:spacing w:line="240" w:lineRule="auto"/>
                    <w:rPr>
                      <w:rFonts w:hint="eastAsia" w:eastAsia="宋体"/>
                      <w:sz w:val="21"/>
                      <w:szCs w:val="21"/>
                      <w:lang w:eastAsia="zh-CN"/>
                    </w:rPr>
                  </w:pPr>
                  <w:r>
                    <w:rPr>
                      <w:rFonts w:hint="eastAsia"/>
                      <w:sz w:val="21"/>
                      <w:szCs w:val="21"/>
                      <w:lang w:val="en-US" w:eastAsia="zh-CN" w:bidi="ar"/>
                    </w:rPr>
                    <w:t>8</w:t>
                  </w:r>
                </w:p>
              </w:tc>
              <w:tc>
                <w:tcPr>
                  <w:tcW w:w="1547" w:type="pct"/>
                  <w:noWrap/>
                  <w:vAlign w:val="center"/>
                </w:tcPr>
                <w:p w14:paraId="6D5BEDDD">
                  <w:pPr>
                    <w:pStyle w:val="77"/>
                    <w:spacing w:line="240" w:lineRule="auto"/>
                    <w:rPr>
                      <w:rFonts w:hint="eastAsia" w:eastAsia="宋体"/>
                      <w:sz w:val="21"/>
                      <w:szCs w:val="21"/>
                      <w:lang w:val="en-US" w:eastAsia="zh-CN"/>
                    </w:rPr>
                  </w:pPr>
                  <w:r>
                    <w:rPr>
                      <w:rFonts w:hint="eastAsia"/>
                      <w:sz w:val="21"/>
                      <w:szCs w:val="21"/>
                      <w:lang w:val="en-US" w:eastAsia="zh-CN"/>
                    </w:rPr>
                    <w:t>分板机</w:t>
                  </w:r>
                </w:p>
              </w:tc>
              <w:tc>
                <w:tcPr>
                  <w:tcW w:w="1446" w:type="pct"/>
                  <w:noWrap/>
                  <w:vAlign w:val="center"/>
                </w:tcPr>
                <w:p w14:paraId="7AC1165E">
                  <w:pPr>
                    <w:pStyle w:val="77"/>
                    <w:spacing w:line="240" w:lineRule="auto"/>
                    <w:rPr>
                      <w:rFonts w:hint="eastAsia" w:eastAsia="宋体"/>
                      <w:sz w:val="21"/>
                      <w:szCs w:val="21"/>
                      <w:lang w:val="en-US" w:eastAsia="zh-CN"/>
                    </w:rPr>
                  </w:pPr>
                  <w:r>
                    <w:rPr>
                      <w:rFonts w:hint="eastAsia"/>
                      <w:sz w:val="21"/>
                      <w:szCs w:val="21"/>
                      <w:lang w:val="en-US" w:eastAsia="zh-CN"/>
                    </w:rPr>
                    <w:t>/</w:t>
                  </w:r>
                </w:p>
              </w:tc>
              <w:tc>
                <w:tcPr>
                  <w:tcW w:w="687" w:type="pct"/>
                  <w:noWrap/>
                  <w:vAlign w:val="center"/>
                </w:tcPr>
                <w:p w14:paraId="5C840151">
                  <w:pPr>
                    <w:pStyle w:val="77"/>
                    <w:spacing w:line="240" w:lineRule="auto"/>
                    <w:rPr>
                      <w:rFonts w:hint="default" w:eastAsia="宋体"/>
                      <w:sz w:val="21"/>
                      <w:szCs w:val="21"/>
                      <w:lang w:val="en-US" w:eastAsia="zh-CN"/>
                    </w:rPr>
                  </w:pPr>
                  <w:r>
                    <w:rPr>
                      <w:rFonts w:hint="eastAsia"/>
                      <w:sz w:val="21"/>
                      <w:szCs w:val="21"/>
                      <w:lang w:val="en-US" w:eastAsia="zh-CN" w:bidi="ar"/>
                    </w:rPr>
                    <w:t>20</w:t>
                  </w:r>
                </w:p>
              </w:tc>
              <w:tc>
                <w:tcPr>
                  <w:tcW w:w="915" w:type="pct"/>
                  <w:vAlign w:val="center"/>
                </w:tcPr>
                <w:p w14:paraId="03DAC92F">
                  <w:pPr>
                    <w:pStyle w:val="77"/>
                    <w:spacing w:line="240" w:lineRule="auto"/>
                    <w:rPr>
                      <w:rFonts w:hint="eastAsia" w:eastAsia="宋体"/>
                      <w:sz w:val="21"/>
                      <w:szCs w:val="21"/>
                      <w:lang w:eastAsia="zh-CN"/>
                    </w:rPr>
                  </w:pPr>
                  <w:r>
                    <w:rPr>
                      <w:rFonts w:hint="eastAsia"/>
                      <w:sz w:val="21"/>
                      <w:szCs w:val="21"/>
                      <w:lang w:val="en-US" w:eastAsia="zh-CN" w:bidi="ar"/>
                    </w:rPr>
                    <w:t>台</w:t>
                  </w:r>
                </w:p>
              </w:tc>
            </w:tr>
            <w:tr w14:paraId="578D7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644FC2A6">
                  <w:pPr>
                    <w:pStyle w:val="77"/>
                    <w:spacing w:line="240" w:lineRule="auto"/>
                    <w:rPr>
                      <w:rFonts w:hint="eastAsia" w:eastAsia="宋体"/>
                      <w:sz w:val="21"/>
                      <w:szCs w:val="21"/>
                      <w:lang w:eastAsia="zh-CN"/>
                    </w:rPr>
                  </w:pPr>
                  <w:r>
                    <w:rPr>
                      <w:rFonts w:hint="eastAsia"/>
                      <w:sz w:val="21"/>
                      <w:szCs w:val="21"/>
                      <w:lang w:val="en-US" w:eastAsia="zh-CN" w:bidi="ar"/>
                    </w:rPr>
                    <w:t>9</w:t>
                  </w:r>
                </w:p>
              </w:tc>
              <w:tc>
                <w:tcPr>
                  <w:tcW w:w="1547" w:type="pct"/>
                  <w:noWrap/>
                  <w:vAlign w:val="center"/>
                </w:tcPr>
                <w:p w14:paraId="62EB599B">
                  <w:pPr>
                    <w:pStyle w:val="77"/>
                    <w:spacing w:line="240" w:lineRule="auto"/>
                    <w:rPr>
                      <w:rFonts w:hint="default" w:eastAsia="宋体"/>
                      <w:sz w:val="21"/>
                      <w:szCs w:val="21"/>
                      <w:lang w:val="en-US" w:eastAsia="zh-CN"/>
                    </w:rPr>
                  </w:pPr>
                  <w:r>
                    <w:rPr>
                      <w:rFonts w:hint="eastAsia"/>
                      <w:sz w:val="21"/>
                      <w:szCs w:val="21"/>
                      <w:lang w:val="en-US" w:eastAsia="zh-CN" w:bidi="ar"/>
                    </w:rPr>
                    <w:t>焊线机</w:t>
                  </w:r>
                </w:p>
              </w:tc>
              <w:tc>
                <w:tcPr>
                  <w:tcW w:w="1446" w:type="pct"/>
                  <w:noWrap/>
                  <w:vAlign w:val="center"/>
                </w:tcPr>
                <w:p w14:paraId="79D98072">
                  <w:pPr>
                    <w:pStyle w:val="77"/>
                    <w:spacing w:line="240" w:lineRule="auto"/>
                    <w:rPr>
                      <w:rFonts w:hint="eastAsia" w:eastAsia="宋体"/>
                      <w:sz w:val="21"/>
                      <w:szCs w:val="21"/>
                      <w:lang w:val="en-US" w:eastAsia="zh-CN"/>
                    </w:rPr>
                  </w:pPr>
                  <w:r>
                    <w:rPr>
                      <w:rFonts w:hint="eastAsia"/>
                      <w:sz w:val="21"/>
                      <w:szCs w:val="21"/>
                      <w:lang w:val="en-US" w:eastAsia="zh-CN"/>
                    </w:rPr>
                    <w:t>/</w:t>
                  </w:r>
                </w:p>
              </w:tc>
              <w:tc>
                <w:tcPr>
                  <w:tcW w:w="687" w:type="pct"/>
                  <w:noWrap/>
                  <w:vAlign w:val="center"/>
                </w:tcPr>
                <w:p w14:paraId="2821A042">
                  <w:pPr>
                    <w:pStyle w:val="77"/>
                    <w:spacing w:line="240" w:lineRule="auto"/>
                    <w:rPr>
                      <w:rFonts w:hint="default" w:eastAsia="宋体"/>
                      <w:sz w:val="21"/>
                      <w:szCs w:val="21"/>
                      <w:lang w:val="en-US" w:eastAsia="zh-CN"/>
                    </w:rPr>
                  </w:pPr>
                  <w:r>
                    <w:rPr>
                      <w:rFonts w:hint="eastAsia"/>
                      <w:sz w:val="21"/>
                      <w:szCs w:val="21"/>
                      <w:lang w:val="en-US" w:eastAsia="zh-CN" w:bidi="ar"/>
                    </w:rPr>
                    <w:t>40</w:t>
                  </w:r>
                </w:p>
              </w:tc>
              <w:tc>
                <w:tcPr>
                  <w:tcW w:w="915" w:type="pct"/>
                  <w:vAlign w:val="center"/>
                </w:tcPr>
                <w:p w14:paraId="059C4847">
                  <w:pPr>
                    <w:pStyle w:val="77"/>
                    <w:spacing w:line="240" w:lineRule="auto"/>
                    <w:rPr>
                      <w:rFonts w:hint="eastAsia" w:eastAsia="宋体"/>
                      <w:sz w:val="21"/>
                      <w:szCs w:val="21"/>
                      <w:lang w:val="en-US" w:eastAsia="zh-CN"/>
                    </w:rPr>
                  </w:pPr>
                  <w:r>
                    <w:rPr>
                      <w:rFonts w:hint="eastAsia"/>
                      <w:sz w:val="21"/>
                      <w:szCs w:val="21"/>
                      <w:lang w:val="en-US" w:eastAsia="zh-CN"/>
                    </w:rPr>
                    <w:t>台</w:t>
                  </w:r>
                </w:p>
              </w:tc>
            </w:tr>
            <w:tr w14:paraId="5D95C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6A35CD4A">
                  <w:pPr>
                    <w:pStyle w:val="77"/>
                    <w:spacing w:line="240" w:lineRule="auto"/>
                    <w:rPr>
                      <w:rFonts w:hint="default" w:eastAsia="宋体"/>
                      <w:sz w:val="21"/>
                      <w:szCs w:val="21"/>
                      <w:lang w:val="en-US" w:eastAsia="zh-CN"/>
                    </w:rPr>
                  </w:pPr>
                  <w:r>
                    <w:rPr>
                      <w:rFonts w:hint="eastAsia"/>
                      <w:sz w:val="21"/>
                      <w:szCs w:val="21"/>
                      <w:lang w:val="en-US" w:eastAsia="zh-CN" w:bidi="ar"/>
                    </w:rPr>
                    <w:t>10</w:t>
                  </w:r>
                </w:p>
              </w:tc>
              <w:tc>
                <w:tcPr>
                  <w:tcW w:w="1547" w:type="pct"/>
                  <w:noWrap/>
                  <w:vAlign w:val="center"/>
                </w:tcPr>
                <w:p w14:paraId="2D11745D">
                  <w:pPr>
                    <w:pStyle w:val="77"/>
                    <w:spacing w:line="240" w:lineRule="auto"/>
                    <w:rPr>
                      <w:rFonts w:hint="default" w:eastAsia="宋体"/>
                      <w:sz w:val="21"/>
                      <w:szCs w:val="21"/>
                      <w:lang w:val="en-US" w:eastAsia="zh-CN"/>
                    </w:rPr>
                  </w:pPr>
                  <w:r>
                    <w:rPr>
                      <w:rFonts w:hint="eastAsia"/>
                      <w:sz w:val="21"/>
                      <w:szCs w:val="21"/>
                      <w:lang w:val="en-US" w:eastAsia="zh-CN" w:bidi="ar"/>
                    </w:rPr>
                    <w:t>编带机</w:t>
                  </w:r>
                </w:p>
              </w:tc>
              <w:tc>
                <w:tcPr>
                  <w:tcW w:w="1446" w:type="pct"/>
                  <w:noWrap/>
                  <w:vAlign w:val="center"/>
                </w:tcPr>
                <w:p w14:paraId="11A9DD85">
                  <w:pPr>
                    <w:pStyle w:val="77"/>
                    <w:spacing w:line="240" w:lineRule="auto"/>
                    <w:rPr>
                      <w:rFonts w:hint="eastAsia" w:eastAsia="宋体"/>
                      <w:sz w:val="21"/>
                      <w:szCs w:val="21"/>
                      <w:lang w:val="en-US" w:eastAsia="zh-CN"/>
                    </w:rPr>
                  </w:pPr>
                  <w:r>
                    <w:rPr>
                      <w:rFonts w:hint="eastAsia"/>
                      <w:sz w:val="21"/>
                      <w:szCs w:val="21"/>
                      <w:lang w:val="en-US" w:eastAsia="zh-CN"/>
                    </w:rPr>
                    <w:t>/</w:t>
                  </w:r>
                </w:p>
              </w:tc>
              <w:tc>
                <w:tcPr>
                  <w:tcW w:w="687" w:type="pct"/>
                  <w:noWrap/>
                  <w:vAlign w:val="center"/>
                </w:tcPr>
                <w:p w14:paraId="3CA3E09A">
                  <w:pPr>
                    <w:pStyle w:val="77"/>
                    <w:spacing w:line="240" w:lineRule="auto"/>
                    <w:rPr>
                      <w:rFonts w:hint="default" w:eastAsia="宋体"/>
                      <w:sz w:val="21"/>
                      <w:szCs w:val="21"/>
                      <w:highlight w:val="yellow"/>
                      <w:lang w:val="en-US" w:eastAsia="zh-CN"/>
                    </w:rPr>
                  </w:pPr>
                  <w:r>
                    <w:rPr>
                      <w:rFonts w:hint="eastAsia"/>
                      <w:sz w:val="21"/>
                      <w:szCs w:val="21"/>
                      <w:lang w:val="en-US" w:eastAsia="zh-CN" w:bidi="ar"/>
                    </w:rPr>
                    <w:t>40</w:t>
                  </w:r>
                </w:p>
              </w:tc>
              <w:tc>
                <w:tcPr>
                  <w:tcW w:w="915" w:type="pct"/>
                  <w:vAlign w:val="center"/>
                </w:tcPr>
                <w:p w14:paraId="05EC8422">
                  <w:pPr>
                    <w:pStyle w:val="77"/>
                    <w:spacing w:line="240" w:lineRule="auto"/>
                    <w:rPr>
                      <w:rFonts w:hint="eastAsia" w:eastAsia="宋体"/>
                      <w:sz w:val="21"/>
                      <w:szCs w:val="21"/>
                      <w:lang w:eastAsia="zh-CN"/>
                    </w:rPr>
                  </w:pPr>
                  <w:r>
                    <w:rPr>
                      <w:rFonts w:hint="eastAsia"/>
                      <w:sz w:val="21"/>
                      <w:szCs w:val="21"/>
                      <w:lang w:val="en-US" w:eastAsia="zh-CN" w:bidi="ar"/>
                    </w:rPr>
                    <w:t>台</w:t>
                  </w:r>
                </w:p>
              </w:tc>
            </w:tr>
            <w:tr w14:paraId="57AC0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570F211D">
                  <w:pPr>
                    <w:pStyle w:val="77"/>
                    <w:spacing w:line="240" w:lineRule="auto"/>
                    <w:rPr>
                      <w:rFonts w:hint="default" w:eastAsia="宋体"/>
                      <w:sz w:val="21"/>
                      <w:szCs w:val="21"/>
                      <w:lang w:val="en-US" w:eastAsia="zh-CN"/>
                    </w:rPr>
                  </w:pPr>
                  <w:r>
                    <w:rPr>
                      <w:rFonts w:hint="eastAsia"/>
                      <w:sz w:val="21"/>
                      <w:szCs w:val="21"/>
                      <w:lang w:val="en-US" w:eastAsia="zh-CN"/>
                    </w:rPr>
                    <w:t>11</w:t>
                  </w:r>
                </w:p>
              </w:tc>
              <w:tc>
                <w:tcPr>
                  <w:tcW w:w="1547" w:type="pct"/>
                  <w:noWrap/>
                  <w:vAlign w:val="center"/>
                </w:tcPr>
                <w:p w14:paraId="7A76458D">
                  <w:pPr>
                    <w:pStyle w:val="77"/>
                    <w:spacing w:line="240" w:lineRule="auto"/>
                    <w:rPr>
                      <w:rFonts w:hint="eastAsia" w:eastAsia="宋体"/>
                      <w:sz w:val="21"/>
                      <w:szCs w:val="21"/>
                      <w:lang w:eastAsia="zh-CN"/>
                    </w:rPr>
                  </w:pPr>
                  <w:r>
                    <w:rPr>
                      <w:rFonts w:hint="eastAsia"/>
                      <w:sz w:val="21"/>
                      <w:szCs w:val="21"/>
                      <w:lang w:val="en-US" w:eastAsia="zh-CN" w:bidi="ar"/>
                    </w:rPr>
                    <w:t>包装机</w:t>
                  </w:r>
                </w:p>
              </w:tc>
              <w:tc>
                <w:tcPr>
                  <w:tcW w:w="1446" w:type="pct"/>
                  <w:noWrap/>
                  <w:vAlign w:val="center"/>
                </w:tcPr>
                <w:p w14:paraId="26572145">
                  <w:pPr>
                    <w:pStyle w:val="77"/>
                    <w:spacing w:line="240" w:lineRule="auto"/>
                    <w:rPr>
                      <w:rFonts w:hint="eastAsia" w:eastAsia="宋体"/>
                      <w:sz w:val="21"/>
                      <w:szCs w:val="21"/>
                      <w:lang w:val="en-US" w:eastAsia="zh-CN"/>
                    </w:rPr>
                  </w:pPr>
                  <w:r>
                    <w:rPr>
                      <w:rFonts w:hint="eastAsia"/>
                      <w:sz w:val="21"/>
                      <w:szCs w:val="21"/>
                      <w:lang w:val="en-US" w:eastAsia="zh-CN"/>
                    </w:rPr>
                    <w:t>/</w:t>
                  </w:r>
                </w:p>
              </w:tc>
              <w:tc>
                <w:tcPr>
                  <w:tcW w:w="687" w:type="pct"/>
                  <w:noWrap/>
                  <w:vAlign w:val="center"/>
                </w:tcPr>
                <w:p w14:paraId="77A40F08">
                  <w:pPr>
                    <w:pStyle w:val="77"/>
                    <w:spacing w:line="240" w:lineRule="auto"/>
                    <w:rPr>
                      <w:rFonts w:hint="eastAsia" w:eastAsia="宋体"/>
                      <w:sz w:val="21"/>
                      <w:szCs w:val="21"/>
                      <w:highlight w:val="yellow"/>
                      <w:lang w:eastAsia="zh-CN"/>
                    </w:rPr>
                  </w:pPr>
                  <w:r>
                    <w:rPr>
                      <w:rFonts w:hint="eastAsia"/>
                      <w:sz w:val="21"/>
                      <w:szCs w:val="21"/>
                      <w:lang w:val="en-US" w:eastAsia="zh-CN" w:bidi="ar"/>
                    </w:rPr>
                    <w:t>8</w:t>
                  </w:r>
                </w:p>
              </w:tc>
              <w:tc>
                <w:tcPr>
                  <w:tcW w:w="915" w:type="pct"/>
                  <w:vAlign w:val="center"/>
                </w:tcPr>
                <w:p w14:paraId="4A66753A">
                  <w:pPr>
                    <w:pStyle w:val="77"/>
                    <w:spacing w:line="240" w:lineRule="auto"/>
                    <w:rPr>
                      <w:rFonts w:hint="eastAsia" w:eastAsia="宋体"/>
                      <w:sz w:val="21"/>
                      <w:szCs w:val="21"/>
                      <w:lang w:val="en-US" w:eastAsia="zh-CN"/>
                    </w:rPr>
                  </w:pPr>
                  <w:r>
                    <w:rPr>
                      <w:rFonts w:hint="eastAsia"/>
                      <w:sz w:val="21"/>
                      <w:szCs w:val="21"/>
                      <w:lang w:val="en-US" w:eastAsia="zh-CN"/>
                    </w:rPr>
                    <w:t>台</w:t>
                  </w:r>
                </w:p>
              </w:tc>
            </w:tr>
            <w:tr w14:paraId="283BE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5"/>
                  <w:noWrap/>
                  <w:vAlign w:val="center"/>
                </w:tcPr>
                <w:p w14:paraId="699851E3">
                  <w:pPr>
                    <w:pStyle w:val="77"/>
                    <w:spacing w:line="240" w:lineRule="auto"/>
                    <w:jc w:val="both"/>
                    <w:rPr>
                      <w:rFonts w:hint="default"/>
                      <w:sz w:val="21"/>
                      <w:szCs w:val="21"/>
                      <w:lang w:val="en-US" w:eastAsia="zh-CN"/>
                    </w:rPr>
                  </w:pPr>
                  <w:r>
                    <w:rPr>
                      <w:rFonts w:hint="eastAsia"/>
                      <w:b/>
                      <w:bCs/>
                      <w:sz w:val="21"/>
                      <w:szCs w:val="21"/>
                      <w:lang w:val="en-US" w:eastAsia="zh-CN"/>
                    </w:rPr>
                    <w:t>三、其他</w:t>
                  </w:r>
                </w:p>
              </w:tc>
            </w:tr>
            <w:tr w14:paraId="3BEA1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02" w:type="pct"/>
                  <w:noWrap/>
                  <w:vAlign w:val="center"/>
                </w:tcPr>
                <w:p w14:paraId="0B6835A5">
                  <w:pPr>
                    <w:pStyle w:val="77"/>
                    <w:spacing w:line="240" w:lineRule="auto"/>
                    <w:rPr>
                      <w:rFonts w:hint="eastAsia" w:eastAsia="宋体"/>
                      <w:sz w:val="21"/>
                      <w:szCs w:val="21"/>
                      <w:lang w:val="en-US" w:eastAsia="zh-CN"/>
                    </w:rPr>
                  </w:pPr>
                  <w:r>
                    <w:rPr>
                      <w:rFonts w:hint="eastAsia"/>
                      <w:sz w:val="21"/>
                      <w:szCs w:val="21"/>
                      <w:lang w:val="en-US" w:eastAsia="zh-CN"/>
                    </w:rPr>
                    <w:t>1</w:t>
                  </w:r>
                </w:p>
              </w:tc>
              <w:tc>
                <w:tcPr>
                  <w:tcW w:w="1547" w:type="pct"/>
                  <w:noWrap/>
                  <w:vAlign w:val="center"/>
                </w:tcPr>
                <w:p w14:paraId="605D9A34">
                  <w:pPr>
                    <w:pStyle w:val="77"/>
                    <w:spacing w:line="240" w:lineRule="auto"/>
                    <w:rPr>
                      <w:rFonts w:hint="default"/>
                      <w:sz w:val="21"/>
                      <w:szCs w:val="21"/>
                      <w:lang w:val="en-US" w:eastAsia="zh-CN" w:bidi="ar"/>
                    </w:rPr>
                  </w:pPr>
                  <w:r>
                    <w:rPr>
                      <w:rFonts w:hint="eastAsia"/>
                      <w:sz w:val="21"/>
                      <w:szCs w:val="21"/>
                      <w:lang w:val="en-US" w:eastAsia="zh-CN" w:bidi="ar"/>
                    </w:rPr>
                    <w:t>空压机</w:t>
                  </w:r>
                </w:p>
              </w:tc>
              <w:tc>
                <w:tcPr>
                  <w:tcW w:w="1446" w:type="pct"/>
                  <w:noWrap/>
                  <w:vAlign w:val="center"/>
                </w:tcPr>
                <w:p w14:paraId="04B9F73F">
                  <w:pPr>
                    <w:pStyle w:val="77"/>
                    <w:spacing w:line="240" w:lineRule="auto"/>
                    <w:rPr>
                      <w:rFonts w:hint="default"/>
                      <w:sz w:val="21"/>
                      <w:szCs w:val="21"/>
                      <w:lang w:val="en-US" w:eastAsia="zh-CN"/>
                    </w:rPr>
                  </w:pPr>
                  <w:r>
                    <w:rPr>
                      <w:rFonts w:hint="eastAsia"/>
                      <w:sz w:val="21"/>
                      <w:szCs w:val="21"/>
                      <w:lang w:val="en-US" w:eastAsia="zh-CN"/>
                    </w:rPr>
                    <w:t>/</w:t>
                  </w:r>
                </w:p>
              </w:tc>
              <w:tc>
                <w:tcPr>
                  <w:tcW w:w="687" w:type="pct"/>
                  <w:noWrap/>
                  <w:vAlign w:val="center"/>
                </w:tcPr>
                <w:p w14:paraId="505539A5">
                  <w:pPr>
                    <w:pStyle w:val="77"/>
                    <w:spacing w:line="240" w:lineRule="auto"/>
                    <w:rPr>
                      <w:rFonts w:hint="default"/>
                      <w:sz w:val="21"/>
                      <w:szCs w:val="21"/>
                      <w:lang w:val="en-US" w:eastAsia="zh-CN" w:bidi="ar"/>
                    </w:rPr>
                  </w:pPr>
                  <w:r>
                    <w:rPr>
                      <w:rFonts w:hint="eastAsia"/>
                      <w:sz w:val="21"/>
                      <w:szCs w:val="21"/>
                      <w:lang w:val="en-US" w:eastAsia="zh-CN" w:bidi="ar"/>
                    </w:rPr>
                    <w:t>2</w:t>
                  </w:r>
                </w:p>
              </w:tc>
              <w:tc>
                <w:tcPr>
                  <w:tcW w:w="915" w:type="pct"/>
                  <w:vAlign w:val="center"/>
                </w:tcPr>
                <w:p w14:paraId="2DFF28FA">
                  <w:pPr>
                    <w:pStyle w:val="77"/>
                    <w:spacing w:line="240" w:lineRule="auto"/>
                    <w:rPr>
                      <w:rFonts w:hint="default"/>
                      <w:sz w:val="21"/>
                      <w:szCs w:val="21"/>
                      <w:lang w:val="en-US" w:eastAsia="zh-CN"/>
                    </w:rPr>
                  </w:pPr>
                  <w:r>
                    <w:rPr>
                      <w:rFonts w:hint="eastAsia"/>
                      <w:sz w:val="21"/>
                      <w:szCs w:val="21"/>
                      <w:lang w:val="en-US" w:eastAsia="zh-CN"/>
                    </w:rPr>
                    <w:t>台</w:t>
                  </w:r>
                </w:p>
              </w:tc>
            </w:tr>
          </w:tbl>
          <w:p w14:paraId="29FBC6E7">
            <w:pPr>
              <w:pStyle w:val="51"/>
              <w:keepNext w:val="0"/>
              <w:keepLines w:val="0"/>
              <w:pageBreakBefore w:val="0"/>
              <w:widowControl w:val="0"/>
              <w:kinsoku/>
              <w:wordWrap/>
              <w:overflowPunct/>
              <w:topLinePunct w:val="0"/>
              <w:autoSpaceDE/>
              <w:autoSpaceDN/>
              <w:bidi w:val="0"/>
              <w:adjustRightInd w:val="0"/>
              <w:snapToGrid w:val="0"/>
              <w:spacing w:before="157" w:beforeLines="50"/>
              <w:ind w:firstLine="482"/>
              <w:textAlignment w:val="auto"/>
              <w:rPr>
                <w:rFonts w:hint="eastAsia"/>
                <w:b w:val="0"/>
                <w:bCs w:val="0"/>
                <w:color w:val="FF0000"/>
                <w:lang w:val="en-US" w:eastAsia="zh-CN"/>
              </w:rPr>
            </w:pPr>
            <w:r>
              <w:rPr>
                <w:rFonts w:hint="eastAsia"/>
                <w:b w:val="0"/>
                <w:bCs w:val="0"/>
                <w:color w:val="FF0000"/>
                <w:lang w:val="en-US" w:eastAsia="zh-CN"/>
              </w:rPr>
              <w:t>产能匹配性分析：</w:t>
            </w:r>
          </w:p>
          <w:p w14:paraId="2E7F3041">
            <w:pPr>
              <w:pStyle w:val="52"/>
              <w:rPr>
                <w:color w:val="FF0000"/>
              </w:rPr>
            </w:pPr>
            <w:r>
              <w:rPr>
                <w:rFonts w:hint="eastAsia"/>
                <w:color w:val="FF0000"/>
              </w:rPr>
              <w:t>表</w:t>
            </w:r>
            <w:r>
              <w:rPr>
                <w:color w:val="FF0000"/>
              </w:rPr>
              <w:t>2</w:t>
            </w:r>
            <w:r>
              <w:rPr>
                <w:rFonts w:hint="eastAsia"/>
                <w:color w:val="FF0000"/>
              </w:rPr>
              <w:t>-</w:t>
            </w:r>
            <w:r>
              <w:rPr>
                <w:rFonts w:hint="eastAsia"/>
                <w:color w:val="FF0000"/>
                <w:lang w:val="en-US" w:eastAsia="zh-CN"/>
              </w:rPr>
              <w:t>5</w:t>
            </w:r>
            <w:r>
              <w:rPr>
                <w:rFonts w:hint="eastAsia"/>
                <w:color w:val="FF0000"/>
              </w:rPr>
              <w:t xml:space="preserve">  LED显示模组关键设备产能和产品规模匹配性分析一览表</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1"/>
              <w:gridCol w:w="1130"/>
              <w:gridCol w:w="811"/>
              <w:gridCol w:w="1420"/>
              <w:gridCol w:w="898"/>
              <w:gridCol w:w="938"/>
              <w:gridCol w:w="1267"/>
              <w:gridCol w:w="1290"/>
            </w:tblGrid>
            <w:tr w14:paraId="486E8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jc w:val="center"/>
              </w:trPr>
              <w:tc>
                <w:tcPr>
                  <w:tcW w:w="332" w:type="pct"/>
                  <w:vAlign w:val="center"/>
                </w:tcPr>
                <w:p w14:paraId="6955C282">
                  <w:pPr>
                    <w:pStyle w:val="77"/>
                    <w:spacing w:line="240" w:lineRule="auto"/>
                    <w:rPr>
                      <w:b/>
                      <w:bCs/>
                      <w:color w:val="FF0000"/>
                      <w:sz w:val="21"/>
                      <w:szCs w:val="21"/>
                    </w:rPr>
                  </w:pPr>
                  <w:r>
                    <w:rPr>
                      <w:b/>
                      <w:bCs/>
                      <w:color w:val="FF0000"/>
                      <w:sz w:val="21"/>
                      <w:szCs w:val="21"/>
                      <w:lang w:bidi="ar"/>
                    </w:rPr>
                    <w:t>序号</w:t>
                  </w:r>
                </w:p>
              </w:tc>
              <w:tc>
                <w:tcPr>
                  <w:tcW w:w="680" w:type="pct"/>
                  <w:noWrap/>
                  <w:vAlign w:val="center"/>
                </w:tcPr>
                <w:p w14:paraId="03A79E8A">
                  <w:pPr>
                    <w:pStyle w:val="77"/>
                    <w:spacing w:line="240" w:lineRule="auto"/>
                    <w:rPr>
                      <w:b/>
                      <w:bCs/>
                      <w:color w:val="FF0000"/>
                      <w:sz w:val="21"/>
                      <w:szCs w:val="21"/>
                    </w:rPr>
                  </w:pPr>
                  <w:r>
                    <w:rPr>
                      <w:b/>
                      <w:bCs/>
                      <w:color w:val="FF0000"/>
                      <w:sz w:val="21"/>
                      <w:szCs w:val="21"/>
                      <w:lang w:bidi="ar"/>
                    </w:rPr>
                    <w:t>设备名称</w:t>
                  </w:r>
                </w:p>
              </w:tc>
              <w:tc>
                <w:tcPr>
                  <w:tcW w:w="488" w:type="pct"/>
                  <w:noWrap/>
                  <w:vAlign w:val="center"/>
                </w:tcPr>
                <w:p w14:paraId="6863F752">
                  <w:pPr>
                    <w:pStyle w:val="77"/>
                    <w:spacing w:line="240" w:lineRule="auto"/>
                    <w:rPr>
                      <w:rFonts w:hint="eastAsia" w:eastAsia="宋体"/>
                      <w:b/>
                      <w:bCs/>
                      <w:color w:val="FF0000"/>
                      <w:sz w:val="21"/>
                      <w:szCs w:val="21"/>
                      <w:lang w:val="en-US" w:eastAsia="zh-CN"/>
                    </w:rPr>
                  </w:pPr>
                  <w:r>
                    <w:rPr>
                      <w:rFonts w:hint="eastAsia"/>
                      <w:b/>
                      <w:bCs/>
                      <w:color w:val="FF0000"/>
                      <w:sz w:val="21"/>
                      <w:szCs w:val="21"/>
                      <w:lang w:val="en-US" w:eastAsia="zh-CN"/>
                    </w:rPr>
                    <w:t>数量</w:t>
                  </w:r>
                </w:p>
              </w:tc>
              <w:tc>
                <w:tcPr>
                  <w:tcW w:w="854" w:type="pct"/>
                  <w:vAlign w:val="center"/>
                </w:tcPr>
                <w:p w14:paraId="328704FA">
                  <w:pPr>
                    <w:pStyle w:val="77"/>
                    <w:spacing w:line="240" w:lineRule="auto"/>
                    <w:rPr>
                      <w:rFonts w:hint="default" w:eastAsia="宋体"/>
                      <w:b/>
                      <w:bCs/>
                      <w:color w:val="FF0000"/>
                      <w:sz w:val="21"/>
                      <w:szCs w:val="21"/>
                      <w:lang w:val="en-US" w:eastAsia="zh-CN"/>
                    </w:rPr>
                  </w:pPr>
                  <w:r>
                    <w:rPr>
                      <w:rFonts w:hint="eastAsia"/>
                      <w:b/>
                      <w:bCs/>
                      <w:color w:val="FF0000"/>
                      <w:sz w:val="21"/>
                      <w:szCs w:val="21"/>
                      <w:lang w:val="en-US" w:eastAsia="zh-CN" w:bidi="ar"/>
                    </w:rPr>
                    <w:t>单位设备有效产能</w:t>
                  </w:r>
                </w:p>
              </w:tc>
              <w:tc>
                <w:tcPr>
                  <w:tcW w:w="540" w:type="pct"/>
                  <w:noWrap/>
                  <w:vAlign w:val="center"/>
                </w:tcPr>
                <w:p w14:paraId="4E21CC3F">
                  <w:pPr>
                    <w:pStyle w:val="77"/>
                    <w:spacing w:line="240" w:lineRule="auto"/>
                    <w:rPr>
                      <w:rFonts w:hint="default" w:eastAsia="宋体"/>
                      <w:b/>
                      <w:bCs/>
                      <w:color w:val="FF0000"/>
                      <w:sz w:val="21"/>
                      <w:szCs w:val="21"/>
                      <w:lang w:val="en-US" w:eastAsia="zh-CN"/>
                    </w:rPr>
                  </w:pPr>
                  <w:r>
                    <w:rPr>
                      <w:rFonts w:hint="eastAsia"/>
                      <w:b/>
                      <w:bCs/>
                      <w:color w:val="FF0000"/>
                      <w:sz w:val="21"/>
                      <w:szCs w:val="21"/>
                      <w:lang w:val="en-US" w:eastAsia="zh-CN"/>
                    </w:rPr>
                    <w:t>日工作时间</w:t>
                  </w:r>
                </w:p>
              </w:tc>
              <w:tc>
                <w:tcPr>
                  <w:tcW w:w="564" w:type="pct"/>
                  <w:noWrap/>
                  <w:vAlign w:val="center"/>
                </w:tcPr>
                <w:p w14:paraId="2A32303D">
                  <w:pPr>
                    <w:pStyle w:val="77"/>
                    <w:spacing w:line="240" w:lineRule="auto"/>
                    <w:rPr>
                      <w:rFonts w:hint="default"/>
                      <w:b/>
                      <w:bCs/>
                      <w:color w:val="FF0000"/>
                      <w:sz w:val="21"/>
                      <w:szCs w:val="21"/>
                      <w:lang w:val="en-US" w:eastAsia="zh-CN" w:bidi="ar"/>
                    </w:rPr>
                  </w:pPr>
                  <w:r>
                    <w:rPr>
                      <w:rFonts w:hint="eastAsia"/>
                      <w:b/>
                      <w:bCs/>
                      <w:color w:val="FF0000"/>
                      <w:sz w:val="21"/>
                      <w:szCs w:val="21"/>
                      <w:lang w:val="en-US" w:eastAsia="zh-CN" w:bidi="ar"/>
                    </w:rPr>
                    <w:t>年工作天数</w:t>
                  </w:r>
                </w:p>
              </w:tc>
              <w:tc>
                <w:tcPr>
                  <w:tcW w:w="762" w:type="pct"/>
                  <w:noWrap/>
                  <w:vAlign w:val="center"/>
                </w:tcPr>
                <w:p w14:paraId="1DCE3DCD">
                  <w:pPr>
                    <w:pStyle w:val="77"/>
                    <w:spacing w:line="240" w:lineRule="auto"/>
                    <w:rPr>
                      <w:rFonts w:hint="default"/>
                      <w:b/>
                      <w:bCs/>
                      <w:color w:val="FF0000"/>
                      <w:sz w:val="21"/>
                      <w:szCs w:val="21"/>
                      <w:lang w:val="en-US" w:eastAsia="zh-CN" w:bidi="ar"/>
                    </w:rPr>
                  </w:pPr>
                  <w:r>
                    <w:rPr>
                      <w:rFonts w:hint="eastAsia"/>
                      <w:b/>
                      <w:bCs/>
                      <w:color w:val="FF0000"/>
                      <w:sz w:val="21"/>
                      <w:szCs w:val="21"/>
                      <w:lang w:val="en-US" w:eastAsia="zh-CN" w:bidi="ar"/>
                    </w:rPr>
                    <w:t>年产量</w:t>
                  </w:r>
                </w:p>
              </w:tc>
              <w:tc>
                <w:tcPr>
                  <w:tcW w:w="776" w:type="pct"/>
                  <w:noWrap/>
                  <w:vAlign w:val="center"/>
                </w:tcPr>
                <w:p w14:paraId="2888A69E">
                  <w:pPr>
                    <w:pStyle w:val="77"/>
                    <w:spacing w:line="240" w:lineRule="auto"/>
                    <w:rPr>
                      <w:rFonts w:hint="default"/>
                      <w:b/>
                      <w:bCs/>
                      <w:color w:val="FF0000"/>
                      <w:sz w:val="21"/>
                      <w:szCs w:val="21"/>
                      <w:lang w:val="en-US" w:eastAsia="zh-CN" w:bidi="ar"/>
                    </w:rPr>
                  </w:pPr>
                  <w:r>
                    <w:rPr>
                      <w:rFonts w:hint="eastAsia"/>
                      <w:b/>
                      <w:bCs/>
                      <w:color w:val="FF0000"/>
                      <w:sz w:val="21"/>
                      <w:szCs w:val="21"/>
                      <w:lang w:val="en-US" w:eastAsia="zh-CN" w:bidi="ar"/>
                    </w:rPr>
                    <w:t>设计产量</w:t>
                  </w:r>
                </w:p>
              </w:tc>
            </w:tr>
            <w:tr w14:paraId="7F5D8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32" w:type="pct"/>
                  <w:noWrap/>
                  <w:vAlign w:val="center"/>
                </w:tcPr>
                <w:p w14:paraId="3AB1325E">
                  <w:pPr>
                    <w:pStyle w:val="77"/>
                    <w:spacing w:line="240" w:lineRule="auto"/>
                    <w:rPr>
                      <w:color w:val="FF0000"/>
                      <w:sz w:val="21"/>
                      <w:szCs w:val="21"/>
                    </w:rPr>
                  </w:pPr>
                  <w:r>
                    <w:rPr>
                      <w:color w:val="FF0000"/>
                      <w:sz w:val="21"/>
                      <w:szCs w:val="21"/>
                      <w:lang w:bidi="ar"/>
                    </w:rPr>
                    <w:t>1</w:t>
                  </w:r>
                </w:p>
              </w:tc>
              <w:tc>
                <w:tcPr>
                  <w:tcW w:w="680" w:type="pct"/>
                  <w:noWrap/>
                  <w:vAlign w:val="center"/>
                </w:tcPr>
                <w:p w14:paraId="54E41E5F">
                  <w:pPr>
                    <w:pStyle w:val="77"/>
                    <w:spacing w:line="240" w:lineRule="auto"/>
                    <w:rPr>
                      <w:rFonts w:hint="default" w:eastAsia="宋体"/>
                      <w:color w:val="FF0000"/>
                      <w:sz w:val="21"/>
                      <w:szCs w:val="21"/>
                      <w:lang w:val="en-US" w:eastAsia="zh-CN"/>
                    </w:rPr>
                  </w:pPr>
                  <w:r>
                    <w:rPr>
                      <w:rFonts w:hint="eastAsia"/>
                      <w:color w:val="FF0000"/>
                      <w:sz w:val="21"/>
                      <w:szCs w:val="21"/>
                      <w:lang w:val="en-US" w:eastAsia="zh-CN" w:bidi="ar"/>
                    </w:rPr>
                    <w:t>回流焊机</w:t>
                  </w:r>
                </w:p>
              </w:tc>
              <w:tc>
                <w:tcPr>
                  <w:tcW w:w="488" w:type="pct"/>
                  <w:vAlign w:val="center"/>
                </w:tcPr>
                <w:p w14:paraId="4C605D5F">
                  <w:pPr>
                    <w:pStyle w:val="77"/>
                    <w:spacing w:line="240" w:lineRule="auto"/>
                    <w:rPr>
                      <w:rFonts w:hint="default" w:eastAsia="宋体"/>
                      <w:color w:val="FF0000"/>
                      <w:sz w:val="21"/>
                      <w:szCs w:val="21"/>
                      <w:lang w:val="en-US" w:eastAsia="zh-CN"/>
                    </w:rPr>
                  </w:pPr>
                  <w:r>
                    <w:rPr>
                      <w:rFonts w:hint="eastAsia"/>
                      <w:color w:val="FF0000"/>
                      <w:sz w:val="21"/>
                      <w:szCs w:val="21"/>
                      <w:lang w:val="en-US" w:eastAsia="zh-CN"/>
                    </w:rPr>
                    <w:t>4台</w:t>
                  </w:r>
                </w:p>
              </w:tc>
              <w:tc>
                <w:tcPr>
                  <w:tcW w:w="854" w:type="pct"/>
                  <w:noWrap/>
                  <w:vAlign w:val="center"/>
                </w:tcPr>
                <w:p w14:paraId="0EFBA37D">
                  <w:pPr>
                    <w:pStyle w:val="77"/>
                    <w:spacing w:line="240" w:lineRule="auto"/>
                    <w:rPr>
                      <w:rFonts w:hint="default" w:eastAsia="宋体"/>
                      <w:b w:val="0"/>
                      <w:bCs w:val="0"/>
                      <w:color w:val="FF0000"/>
                      <w:sz w:val="21"/>
                      <w:szCs w:val="21"/>
                      <w:lang w:val="en-US" w:eastAsia="zh-CN"/>
                    </w:rPr>
                  </w:pPr>
                  <w:r>
                    <w:rPr>
                      <w:rFonts w:hint="eastAsia"/>
                      <w:b w:val="0"/>
                      <w:bCs w:val="0"/>
                      <w:color w:val="FF0000"/>
                      <w:sz w:val="21"/>
                      <w:szCs w:val="21"/>
                      <w:lang w:val="en-US" w:eastAsia="zh-CN" w:bidi="ar"/>
                    </w:rPr>
                    <w:t>120块/h</w:t>
                  </w:r>
                </w:p>
              </w:tc>
              <w:tc>
                <w:tcPr>
                  <w:tcW w:w="540" w:type="pct"/>
                  <w:vAlign w:val="center"/>
                </w:tcPr>
                <w:p w14:paraId="05761518">
                  <w:pPr>
                    <w:pStyle w:val="77"/>
                    <w:spacing w:line="240" w:lineRule="auto"/>
                    <w:rPr>
                      <w:rFonts w:hint="default" w:eastAsia="宋体"/>
                      <w:b w:val="0"/>
                      <w:bCs w:val="0"/>
                      <w:color w:val="FF0000"/>
                      <w:sz w:val="21"/>
                      <w:szCs w:val="21"/>
                      <w:lang w:val="en-US" w:eastAsia="zh-CN"/>
                    </w:rPr>
                  </w:pPr>
                  <w:r>
                    <w:rPr>
                      <w:rFonts w:hint="eastAsia"/>
                      <w:b w:val="0"/>
                      <w:bCs w:val="0"/>
                      <w:color w:val="FF0000"/>
                      <w:sz w:val="21"/>
                      <w:szCs w:val="21"/>
                      <w:lang w:val="en-US" w:eastAsia="zh-CN"/>
                    </w:rPr>
                    <w:t>24h</w:t>
                  </w:r>
                </w:p>
              </w:tc>
              <w:tc>
                <w:tcPr>
                  <w:tcW w:w="564" w:type="pct"/>
                  <w:vAlign w:val="center"/>
                </w:tcPr>
                <w:p w14:paraId="4C3A32BD">
                  <w:pPr>
                    <w:pStyle w:val="77"/>
                    <w:spacing w:line="240" w:lineRule="auto"/>
                    <w:rPr>
                      <w:rFonts w:hint="default"/>
                      <w:b w:val="0"/>
                      <w:bCs w:val="0"/>
                      <w:color w:val="FF0000"/>
                      <w:sz w:val="21"/>
                      <w:szCs w:val="21"/>
                      <w:lang w:val="en-US" w:eastAsia="zh-CN"/>
                    </w:rPr>
                  </w:pPr>
                  <w:r>
                    <w:rPr>
                      <w:rFonts w:hint="eastAsia"/>
                      <w:b w:val="0"/>
                      <w:bCs w:val="0"/>
                      <w:color w:val="FF0000"/>
                      <w:sz w:val="21"/>
                      <w:szCs w:val="21"/>
                      <w:lang w:val="en-US" w:eastAsia="zh-CN"/>
                    </w:rPr>
                    <w:t>300</w:t>
                  </w:r>
                  <w:r>
                    <w:rPr>
                      <w:rFonts w:hint="eastAsia"/>
                      <w:b w:val="0"/>
                      <w:bCs w:val="0"/>
                      <w:color w:val="FF0000"/>
                      <w:sz w:val="21"/>
                      <w:szCs w:val="21"/>
                      <w:lang w:val="en-US" w:eastAsia="zh-CN" w:bidi="ar"/>
                    </w:rPr>
                    <w:t>d</w:t>
                  </w:r>
                </w:p>
              </w:tc>
              <w:tc>
                <w:tcPr>
                  <w:tcW w:w="762" w:type="pct"/>
                  <w:vAlign w:val="center"/>
                </w:tcPr>
                <w:p w14:paraId="6AAD31F8">
                  <w:pPr>
                    <w:pStyle w:val="77"/>
                    <w:spacing w:line="240" w:lineRule="auto"/>
                    <w:rPr>
                      <w:rFonts w:hint="default"/>
                      <w:b w:val="0"/>
                      <w:bCs w:val="0"/>
                      <w:color w:val="FF0000"/>
                      <w:sz w:val="21"/>
                      <w:szCs w:val="21"/>
                      <w:lang w:val="en-US" w:eastAsia="zh-CN"/>
                    </w:rPr>
                  </w:pPr>
                  <w:r>
                    <w:rPr>
                      <w:rFonts w:hint="eastAsia"/>
                      <w:b w:val="0"/>
                      <w:bCs w:val="0"/>
                      <w:color w:val="FF0000"/>
                      <w:sz w:val="21"/>
                      <w:szCs w:val="21"/>
                      <w:lang w:val="en-US" w:eastAsia="zh-CN"/>
                    </w:rPr>
                    <w:t>346</w:t>
                  </w:r>
                  <w:r>
                    <w:rPr>
                      <w:rFonts w:hint="eastAsia"/>
                      <w:b w:val="0"/>
                      <w:bCs w:val="0"/>
                      <w:color w:val="FF0000"/>
                      <w:sz w:val="21"/>
                      <w:szCs w:val="21"/>
                      <w:lang w:val="en-US" w:eastAsia="zh-CN" w:bidi="ar"/>
                    </w:rPr>
                    <w:t>万件</w:t>
                  </w:r>
                </w:p>
              </w:tc>
              <w:tc>
                <w:tcPr>
                  <w:tcW w:w="776" w:type="pct"/>
                  <w:vAlign w:val="center"/>
                </w:tcPr>
                <w:p w14:paraId="2EE2B5B2">
                  <w:pPr>
                    <w:pStyle w:val="77"/>
                    <w:spacing w:line="240" w:lineRule="auto"/>
                    <w:rPr>
                      <w:rFonts w:hint="default"/>
                      <w:b w:val="0"/>
                      <w:bCs w:val="0"/>
                      <w:color w:val="FF0000"/>
                      <w:sz w:val="21"/>
                      <w:szCs w:val="21"/>
                      <w:lang w:val="en-US" w:eastAsia="zh-CN"/>
                    </w:rPr>
                  </w:pPr>
                  <w:r>
                    <w:rPr>
                      <w:rFonts w:hint="eastAsia"/>
                      <w:b w:val="0"/>
                      <w:bCs w:val="0"/>
                      <w:color w:val="FF0000"/>
                      <w:sz w:val="21"/>
                      <w:szCs w:val="21"/>
                      <w:lang w:val="en-US" w:eastAsia="zh-CN"/>
                    </w:rPr>
                    <w:t>300</w:t>
                  </w:r>
                  <w:r>
                    <w:rPr>
                      <w:rFonts w:hint="eastAsia"/>
                      <w:b w:val="0"/>
                      <w:bCs w:val="0"/>
                      <w:color w:val="FF0000"/>
                      <w:sz w:val="21"/>
                      <w:szCs w:val="21"/>
                      <w:lang w:val="en-US" w:eastAsia="zh-CN" w:bidi="ar"/>
                    </w:rPr>
                    <w:t>万件</w:t>
                  </w:r>
                </w:p>
              </w:tc>
            </w:tr>
          </w:tbl>
          <w:p w14:paraId="55CFDF98">
            <w:pPr>
              <w:pStyle w:val="52"/>
              <w:rPr>
                <w:rFonts w:hint="eastAsia"/>
              </w:rPr>
            </w:pPr>
          </w:p>
          <w:p w14:paraId="1C493CA3">
            <w:pPr>
              <w:pStyle w:val="52"/>
              <w:rPr>
                <w:rFonts w:hint="eastAsia"/>
              </w:rPr>
            </w:pPr>
          </w:p>
          <w:p w14:paraId="49EBDAF5">
            <w:pPr>
              <w:pStyle w:val="52"/>
              <w:rPr>
                <w:rFonts w:hint="eastAsia"/>
              </w:rPr>
            </w:pPr>
          </w:p>
          <w:p w14:paraId="3DE02FC1">
            <w:pPr>
              <w:pStyle w:val="52"/>
              <w:rPr>
                <w:rFonts w:hint="eastAsia"/>
              </w:rPr>
            </w:pPr>
          </w:p>
          <w:p w14:paraId="07C9AD6D">
            <w:pPr>
              <w:pStyle w:val="52"/>
              <w:rPr>
                <w:rFonts w:hint="eastAsia"/>
              </w:rPr>
            </w:pPr>
          </w:p>
          <w:p w14:paraId="1681A637">
            <w:pPr>
              <w:pStyle w:val="52"/>
              <w:rPr>
                <w:color w:val="FF0000"/>
              </w:rPr>
            </w:pPr>
            <w:r>
              <w:rPr>
                <w:rFonts w:hint="eastAsia"/>
                <w:color w:val="FF0000"/>
              </w:rPr>
              <w:t>表</w:t>
            </w:r>
            <w:r>
              <w:rPr>
                <w:color w:val="FF0000"/>
              </w:rPr>
              <w:t>2</w:t>
            </w:r>
            <w:r>
              <w:rPr>
                <w:rFonts w:hint="eastAsia"/>
                <w:color w:val="FF0000"/>
              </w:rPr>
              <w:t>-</w:t>
            </w:r>
            <w:r>
              <w:rPr>
                <w:rFonts w:hint="eastAsia"/>
                <w:color w:val="FF0000"/>
                <w:lang w:val="en-US" w:eastAsia="zh-CN"/>
              </w:rPr>
              <w:t>5</w:t>
            </w:r>
            <w:r>
              <w:rPr>
                <w:rFonts w:hint="eastAsia"/>
                <w:color w:val="FF0000"/>
              </w:rPr>
              <w:t xml:space="preserve">  </w:t>
            </w:r>
            <w:r>
              <w:rPr>
                <w:rFonts w:hint="eastAsia"/>
                <w:color w:val="FF0000"/>
                <w:lang w:val="en-US" w:eastAsia="zh-CN"/>
              </w:rPr>
              <w:t>COB灯带</w:t>
            </w:r>
            <w:r>
              <w:rPr>
                <w:rFonts w:hint="eastAsia"/>
                <w:color w:val="FF0000"/>
              </w:rPr>
              <w:t>关键设备产能和产品规模匹配性分析一览表</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5"/>
              <w:gridCol w:w="596"/>
              <w:gridCol w:w="740"/>
              <w:gridCol w:w="816"/>
              <w:gridCol w:w="883"/>
              <w:gridCol w:w="837"/>
              <w:gridCol w:w="1000"/>
              <w:gridCol w:w="1000"/>
              <w:gridCol w:w="943"/>
              <w:gridCol w:w="1048"/>
            </w:tblGrid>
            <w:tr w14:paraId="4AEAD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jc w:val="center"/>
              </w:trPr>
              <w:tc>
                <w:tcPr>
                  <w:tcW w:w="267" w:type="pct"/>
                  <w:vAlign w:val="center"/>
                </w:tcPr>
                <w:p w14:paraId="7E1D16EE">
                  <w:pPr>
                    <w:pStyle w:val="77"/>
                    <w:spacing w:line="240" w:lineRule="auto"/>
                    <w:rPr>
                      <w:b/>
                      <w:bCs/>
                      <w:color w:val="FF0000"/>
                      <w:sz w:val="21"/>
                      <w:szCs w:val="21"/>
                    </w:rPr>
                  </w:pPr>
                  <w:r>
                    <w:rPr>
                      <w:b/>
                      <w:bCs/>
                      <w:color w:val="FF0000"/>
                      <w:sz w:val="21"/>
                      <w:szCs w:val="21"/>
                      <w:lang w:bidi="ar"/>
                    </w:rPr>
                    <w:t>序号</w:t>
                  </w:r>
                </w:p>
              </w:tc>
              <w:tc>
                <w:tcPr>
                  <w:tcW w:w="358" w:type="pct"/>
                  <w:noWrap/>
                  <w:vAlign w:val="center"/>
                </w:tcPr>
                <w:p w14:paraId="0BC6158F">
                  <w:pPr>
                    <w:pStyle w:val="77"/>
                    <w:spacing w:line="240" w:lineRule="auto"/>
                    <w:rPr>
                      <w:b/>
                      <w:bCs/>
                      <w:color w:val="FF0000"/>
                      <w:sz w:val="21"/>
                      <w:szCs w:val="21"/>
                    </w:rPr>
                  </w:pPr>
                  <w:r>
                    <w:rPr>
                      <w:b/>
                      <w:bCs/>
                      <w:color w:val="FF0000"/>
                      <w:sz w:val="21"/>
                      <w:szCs w:val="21"/>
                      <w:lang w:bidi="ar"/>
                    </w:rPr>
                    <w:t>设备名称</w:t>
                  </w:r>
                </w:p>
              </w:tc>
              <w:tc>
                <w:tcPr>
                  <w:tcW w:w="445" w:type="pct"/>
                  <w:noWrap/>
                  <w:vAlign w:val="center"/>
                </w:tcPr>
                <w:p w14:paraId="2F1CE675">
                  <w:pPr>
                    <w:pStyle w:val="77"/>
                    <w:spacing w:line="240" w:lineRule="auto"/>
                    <w:rPr>
                      <w:rFonts w:hint="eastAsia" w:eastAsia="宋体"/>
                      <w:b/>
                      <w:bCs/>
                      <w:color w:val="FF0000"/>
                      <w:sz w:val="21"/>
                      <w:szCs w:val="21"/>
                      <w:lang w:val="en-US" w:eastAsia="zh-CN"/>
                    </w:rPr>
                  </w:pPr>
                  <w:r>
                    <w:rPr>
                      <w:rFonts w:hint="eastAsia"/>
                      <w:b/>
                      <w:bCs/>
                      <w:color w:val="FF0000"/>
                      <w:sz w:val="21"/>
                      <w:szCs w:val="21"/>
                      <w:lang w:val="en-US" w:eastAsia="zh-CN"/>
                    </w:rPr>
                    <w:t>数量（台）</w:t>
                  </w:r>
                </w:p>
              </w:tc>
              <w:tc>
                <w:tcPr>
                  <w:tcW w:w="491" w:type="pct"/>
                  <w:vAlign w:val="center"/>
                </w:tcPr>
                <w:p w14:paraId="59E04525">
                  <w:pPr>
                    <w:pStyle w:val="77"/>
                    <w:spacing w:line="240" w:lineRule="auto"/>
                    <w:rPr>
                      <w:rFonts w:hint="default" w:eastAsia="宋体"/>
                      <w:b/>
                      <w:bCs/>
                      <w:color w:val="FF0000"/>
                      <w:sz w:val="21"/>
                      <w:szCs w:val="21"/>
                      <w:lang w:val="en-US" w:eastAsia="zh-CN"/>
                    </w:rPr>
                  </w:pPr>
                  <w:r>
                    <w:rPr>
                      <w:rFonts w:hint="eastAsia"/>
                      <w:b/>
                      <w:bCs/>
                      <w:color w:val="FF0000"/>
                      <w:sz w:val="21"/>
                      <w:szCs w:val="21"/>
                      <w:lang w:val="en-US" w:eastAsia="zh-CN" w:bidi="ar"/>
                    </w:rPr>
                    <w:t>单机产能</w:t>
                  </w:r>
                </w:p>
              </w:tc>
              <w:tc>
                <w:tcPr>
                  <w:tcW w:w="531" w:type="pct"/>
                  <w:noWrap/>
                  <w:vAlign w:val="center"/>
                </w:tcPr>
                <w:p w14:paraId="30E1EC9C">
                  <w:pPr>
                    <w:pStyle w:val="77"/>
                    <w:spacing w:line="240" w:lineRule="auto"/>
                    <w:rPr>
                      <w:rFonts w:hint="default"/>
                      <w:b/>
                      <w:bCs/>
                      <w:color w:val="FF0000"/>
                      <w:sz w:val="21"/>
                      <w:szCs w:val="21"/>
                      <w:lang w:val="en-US" w:eastAsia="zh-CN" w:bidi="ar"/>
                    </w:rPr>
                  </w:pPr>
                  <w:r>
                    <w:rPr>
                      <w:rFonts w:hint="eastAsia"/>
                      <w:b/>
                      <w:bCs/>
                      <w:color w:val="FF0000"/>
                      <w:sz w:val="21"/>
                      <w:szCs w:val="21"/>
                      <w:lang w:val="en-US" w:eastAsia="zh-CN" w:bidi="ar"/>
                    </w:rPr>
                    <w:t>单件平均长度（m）</w:t>
                  </w:r>
                </w:p>
              </w:tc>
              <w:tc>
                <w:tcPr>
                  <w:tcW w:w="503" w:type="pct"/>
                  <w:noWrap/>
                  <w:vAlign w:val="center"/>
                </w:tcPr>
                <w:p w14:paraId="220084F5">
                  <w:pPr>
                    <w:pStyle w:val="77"/>
                    <w:spacing w:line="240" w:lineRule="auto"/>
                    <w:rPr>
                      <w:rFonts w:hint="default"/>
                      <w:b/>
                      <w:bCs/>
                      <w:color w:val="FF0000"/>
                      <w:sz w:val="21"/>
                      <w:szCs w:val="21"/>
                      <w:lang w:val="en-US" w:eastAsia="zh-CN" w:bidi="ar"/>
                    </w:rPr>
                  </w:pPr>
                  <w:r>
                    <w:rPr>
                      <w:rFonts w:hint="eastAsia"/>
                      <w:b/>
                      <w:bCs/>
                      <w:color w:val="FF0000"/>
                      <w:sz w:val="21"/>
                      <w:szCs w:val="21"/>
                      <w:lang w:val="en-US" w:eastAsia="zh-CN" w:bidi="ar"/>
                    </w:rPr>
                    <w:t>每米数量</w:t>
                  </w:r>
                </w:p>
              </w:tc>
              <w:tc>
                <w:tcPr>
                  <w:tcW w:w="601" w:type="pct"/>
                  <w:noWrap/>
                  <w:vAlign w:val="center"/>
                </w:tcPr>
                <w:p w14:paraId="6FAE2654">
                  <w:pPr>
                    <w:pStyle w:val="77"/>
                    <w:spacing w:line="240" w:lineRule="auto"/>
                    <w:rPr>
                      <w:rFonts w:hint="default" w:eastAsia="宋体"/>
                      <w:b/>
                      <w:bCs/>
                      <w:color w:val="FF0000"/>
                      <w:sz w:val="21"/>
                      <w:szCs w:val="21"/>
                      <w:lang w:val="en-US" w:eastAsia="zh-CN"/>
                    </w:rPr>
                  </w:pPr>
                  <w:r>
                    <w:rPr>
                      <w:rFonts w:hint="eastAsia"/>
                      <w:b/>
                      <w:bCs/>
                      <w:color w:val="FF0000"/>
                      <w:sz w:val="21"/>
                      <w:szCs w:val="21"/>
                      <w:lang w:val="en-US" w:eastAsia="zh-CN"/>
                    </w:rPr>
                    <w:t>日工作时间（h）</w:t>
                  </w:r>
                </w:p>
              </w:tc>
              <w:tc>
                <w:tcPr>
                  <w:tcW w:w="601" w:type="pct"/>
                  <w:noWrap/>
                  <w:vAlign w:val="center"/>
                </w:tcPr>
                <w:p w14:paraId="42D3384C">
                  <w:pPr>
                    <w:pStyle w:val="77"/>
                    <w:spacing w:line="240" w:lineRule="auto"/>
                    <w:rPr>
                      <w:rFonts w:hint="default"/>
                      <w:b/>
                      <w:bCs/>
                      <w:color w:val="FF0000"/>
                      <w:sz w:val="21"/>
                      <w:szCs w:val="21"/>
                      <w:lang w:val="en-US" w:eastAsia="zh-CN" w:bidi="ar"/>
                    </w:rPr>
                  </w:pPr>
                  <w:r>
                    <w:rPr>
                      <w:rFonts w:hint="eastAsia"/>
                      <w:b/>
                      <w:bCs/>
                      <w:color w:val="FF0000"/>
                      <w:sz w:val="21"/>
                      <w:szCs w:val="21"/>
                      <w:lang w:val="en-US" w:eastAsia="zh-CN" w:bidi="ar"/>
                    </w:rPr>
                    <w:t>年工作天数（d）</w:t>
                  </w:r>
                </w:p>
              </w:tc>
              <w:tc>
                <w:tcPr>
                  <w:tcW w:w="567" w:type="pct"/>
                  <w:noWrap/>
                  <w:vAlign w:val="center"/>
                </w:tcPr>
                <w:p w14:paraId="65EFBB0F">
                  <w:pPr>
                    <w:pStyle w:val="77"/>
                    <w:spacing w:line="240" w:lineRule="auto"/>
                    <w:rPr>
                      <w:rFonts w:hint="default"/>
                      <w:b/>
                      <w:bCs/>
                      <w:color w:val="FF0000"/>
                      <w:sz w:val="21"/>
                      <w:szCs w:val="21"/>
                      <w:lang w:val="en-US" w:eastAsia="zh-CN" w:bidi="ar"/>
                    </w:rPr>
                  </w:pPr>
                  <w:r>
                    <w:rPr>
                      <w:rFonts w:hint="eastAsia"/>
                      <w:b/>
                      <w:bCs/>
                      <w:color w:val="FF0000"/>
                      <w:sz w:val="21"/>
                      <w:szCs w:val="21"/>
                      <w:lang w:val="en-US" w:eastAsia="zh-CN" w:bidi="ar"/>
                    </w:rPr>
                    <w:t>年产量（万件）</w:t>
                  </w:r>
                </w:p>
              </w:tc>
              <w:tc>
                <w:tcPr>
                  <w:tcW w:w="630" w:type="pct"/>
                  <w:noWrap/>
                  <w:vAlign w:val="center"/>
                </w:tcPr>
                <w:p w14:paraId="1FD0DA85">
                  <w:pPr>
                    <w:pStyle w:val="77"/>
                    <w:spacing w:line="240" w:lineRule="auto"/>
                    <w:rPr>
                      <w:rFonts w:hint="default"/>
                      <w:b/>
                      <w:bCs/>
                      <w:color w:val="FF0000"/>
                      <w:sz w:val="21"/>
                      <w:szCs w:val="21"/>
                      <w:lang w:val="en-US" w:eastAsia="zh-CN" w:bidi="ar"/>
                    </w:rPr>
                  </w:pPr>
                  <w:r>
                    <w:rPr>
                      <w:rFonts w:hint="eastAsia"/>
                      <w:b/>
                      <w:bCs/>
                      <w:color w:val="FF0000"/>
                      <w:sz w:val="21"/>
                      <w:szCs w:val="21"/>
                      <w:lang w:val="en-US" w:eastAsia="zh-CN" w:bidi="ar"/>
                    </w:rPr>
                    <w:t>设计产量（万件）</w:t>
                  </w:r>
                </w:p>
              </w:tc>
            </w:tr>
            <w:tr w14:paraId="3A106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7" w:type="pct"/>
                  <w:noWrap/>
                  <w:vAlign w:val="center"/>
                </w:tcPr>
                <w:p w14:paraId="2E1602BD">
                  <w:pPr>
                    <w:pStyle w:val="77"/>
                    <w:spacing w:line="240" w:lineRule="auto"/>
                    <w:rPr>
                      <w:color w:val="FF0000"/>
                      <w:sz w:val="21"/>
                      <w:szCs w:val="21"/>
                    </w:rPr>
                  </w:pPr>
                  <w:r>
                    <w:rPr>
                      <w:color w:val="FF0000"/>
                      <w:sz w:val="21"/>
                      <w:szCs w:val="21"/>
                      <w:lang w:bidi="ar"/>
                    </w:rPr>
                    <w:t>1</w:t>
                  </w:r>
                </w:p>
              </w:tc>
              <w:tc>
                <w:tcPr>
                  <w:tcW w:w="358" w:type="pct"/>
                  <w:noWrap/>
                  <w:vAlign w:val="center"/>
                </w:tcPr>
                <w:p w14:paraId="5B443A43">
                  <w:pPr>
                    <w:pStyle w:val="77"/>
                    <w:spacing w:line="240" w:lineRule="auto"/>
                    <w:rPr>
                      <w:rFonts w:hint="default" w:eastAsia="宋体"/>
                      <w:color w:val="FF0000"/>
                      <w:sz w:val="21"/>
                      <w:szCs w:val="21"/>
                      <w:lang w:val="en-US" w:eastAsia="zh-CN"/>
                    </w:rPr>
                  </w:pPr>
                  <w:r>
                    <w:rPr>
                      <w:rFonts w:hint="eastAsia"/>
                      <w:color w:val="FF0000"/>
                      <w:sz w:val="21"/>
                      <w:szCs w:val="21"/>
                      <w:lang w:val="en-US" w:eastAsia="zh-CN" w:bidi="ar"/>
                    </w:rPr>
                    <w:t>固晶机</w:t>
                  </w:r>
                </w:p>
              </w:tc>
              <w:tc>
                <w:tcPr>
                  <w:tcW w:w="445" w:type="pct"/>
                  <w:vAlign w:val="center"/>
                </w:tcPr>
                <w:p w14:paraId="07B9CCEF">
                  <w:pPr>
                    <w:pStyle w:val="77"/>
                    <w:spacing w:line="240" w:lineRule="auto"/>
                    <w:rPr>
                      <w:rFonts w:hint="default" w:eastAsia="宋体"/>
                      <w:color w:val="FF0000"/>
                      <w:sz w:val="21"/>
                      <w:szCs w:val="21"/>
                      <w:lang w:val="en-US" w:eastAsia="zh-CN"/>
                    </w:rPr>
                  </w:pPr>
                  <w:r>
                    <w:rPr>
                      <w:rFonts w:hint="eastAsia"/>
                      <w:color w:val="FF0000"/>
                      <w:sz w:val="21"/>
                      <w:szCs w:val="21"/>
                      <w:lang w:val="en-US" w:eastAsia="zh-CN"/>
                    </w:rPr>
                    <w:t>20</w:t>
                  </w:r>
                </w:p>
              </w:tc>
              <w:tc>
                <w:tcPr>
                  <w:tcW w:w="491" w:type="pct"/>
                  <w:noWrap/>
                  <w:vAlign w:val="center"/>
                </w:tcPr>
                <w:p w14:paraId="57B2DC31">
                  <w:pPr>
                    <w:pStyle w:val="77"/>
                    <w:spacing w:line="240" w:lineRule="auto"/>
                    <w:rPr>
                      <w:rFonts w:hint="default" w:eastAsia="宋体"/>
                      <w:color w:val="FF0000"/>
                      <w:sz w:val="21"/>
                      <w:szCs w:val="21"/>
                      <w:lang w:val="en-US" w:eastAsia="zh-CN"/>
                    </w:rPr>
                  </w:pPr>
                  <w:r>
                    <w:rPr>
                      <w:rFonts w:hint="eastAsia"/>
                      <w:color w:val="FF0000"/>
                      <w:sz w:val="21"/>
                      <w:szCs w:val="21"/>
                      <w:lang w:val="en-US" w:eastAsia="zh-CN"/>
                    </w:rPr>
                    <w:t>90000件晶片/h</w:t>
                  </w:r>
                </w:p>
              </w:tc>
              <w:tc>
                <w:tcPr>
                  <w:tcW w:w="531" w:type="pct"/>
                  <w:vAlign w:val="center"/>
                </w:tcPr>
                <w:p w14:paraId="51437281">
                  <w:pPr>
                    <w:pStyle w:val="77"/>
                    <w:spacing w:line="240" w:lineRule="auto"/>
                    <w:rPr>
                      <w:rFonts w:hint="default" w:eastAsia="宋体"/>
                      <w:color w:val="FF0000"/>
                      <w:sz w:val="21"/>
                      <w:szCs w:val="21"/>
                      <w:lang w:val="en-US" w:eastAsia="zh-CN"/>
                    </w:rPr>
                  </w:pPr>
                  <w:r>
                    <w:rPr>
                      <w:rFonts w:hint="eastAsia"/>
                      <w:color w:val="FF0000"/>
                      <w:sz w:val="21"/>
                      <w:szCs w:val="21"/>
                      <w:lang w:val="en-US" w:eastAsia="zh-CN"/>
                    </w:rPr>
                    <w:t>10</w:t>
                  </w:r>
                </w:p>
              </w:tc>
              <w:tc>
                <w:tcPr>
                  <w:tcW w:w="503" w:type="pct"/>
                  <w:vAlign w:val="center"/>
                </w:tcPr>
                <w:p w14:paraId="720462FA">
                  <w:pPr>
                    <w:pStyle w:val="77"/>
                    <w:spacing w:line="240" w:lineRule="auto"/>
                    <w:rPr>
                      <w:rFonts w:hint="default"/>
                      <w:color w:val="FF0000"/>
                      <w:sz w:val="21"/>
                      <w:szCs w:val="21"/>
                      <w:lang w:val="en-US" w:eastAsia="zh-CN"/>
                    </w:rPr>
                  </w:pPr>
                  <w:r>
                    <w:rPr>
                      <w:rFonts w:hint="eastAsia"/>
                      <w:color w:val="FF0000"/>
                      <w:sz w:val="21"/>
                      <w:szCs w:val="21"/>
                      <w:lang w:val="en-US" w:eastAsia="zh-CN"/>
                    </w:rPr>
                    <w:t>320件晶片/m</w:t>
                  </w:r>
                </w:p>
              </w:tc>
              <w:tc>
                <w:tcPr>
                  <w:tcW w:w="601" w:type="pct"/>
                  <w:vAlign w:val="center"/>
                </w:tcPr>
                <w:p w14:paraId="6E7635CD">
                  <w:pPr>
                    <w:pStyle w:val="77"/>
                    <w:spacing w:line="240" w:lineRule="auto"/>
                    <w:rPr>
                      <w:rFonts w:hint="default" w:eastAsia="宋体"/>
                      <w:color w:val="FF0000"/>
                      <w:sz w:val="21"/>
                      <w:szCs w:val="21"/>
                      <w:lang w:val="en-US" w:eastAsia="zh-CN"/>
                    </w:rPr>
                  </w:pPr>
                  <w:r>
                    <w:rPr>
                      <w:rFonts w:hint="eastAsia"/>
                      <w:color w:val="FF0000"/>
                      <w:sz w:val="21"/>
                      <w:szCs w:val="21"/>
                      <w:lang w:val="en-US" w:eastAsia="zh-CN"/>
                    </w:rPr>
                    <w:t>24</w:t>
                  </w:r>
                </w:p>
              </w:tc>
              <w:tc>
                <w:tcPr>
                  <w:tcW w:w="601" w:type="pct"/>
                  <w:vAlign w:val="center"/>
                </w:tcPr>
                <w:p w14:paraId="7C03E318">
                  <w:pPr>
                    <w:pStyle w:val="77"/>
                    <w:spacing w:line="240" w:lineRule="auto"/>
                    <w:rPr>
                      <w:rFonts w:hint="default"/>
                      <w:color w:val="FF0000"/>
                      <w:sz w:val="21"/>
                      <w:szCs w:val="21"/>
                      <w:lang w:val="en-US" w:eastAsia="zh-CN"/>
                    </w:rPr>
                  </w:pPr>
                  <w:r>
                    <w:rPr>
                      <w:rFonts w:hint="eastAsia"/>
                      <w:color w:val="FF0000"/>
                      <w:sz w:val="21"/>
                      <w:szCs w:val="21"/>
                      <w:lang w:val="en-US" w:eastAsia="zh-CN"/>
                    </w:rPr>
                    <w:t>300</w:t>
                  </w:r>
                </w:p>
              </w:tc>
              <w:tc>
                <w:tcPr>
                  <w:tcW w:w="567" w:type="pct"/>
                  <w:vAlign w:val="center"/>
                </w:tcPr>
                <w:p w14:paraId="5B125261">
                  <w:pPr>
                    <w:pStyle w:val="77"/>
                    <w:spacing w:line="240" w:lineRule="auto"/>
                    <w:rPr>
                      <w:rFonts w:hint="default"/>
                      <w:color w:val="FF0000"/>
                      <w:sz w:val="21"/>
                      <w:szCs w:val="21"/>
                      <w:lang w:val="en-US" w:eastAsia="zh-CN"/>
                    </w:rPr>
                  </w:pPr>
                  <w:r>
                    <w:rPr>
                      <w:rFonts w:hint="eastAsia"/>
                      <w:color w:val="FF0000"/>
                      <w:sz w:val="21"/>
                      <w:szCs w:val="21"/>
                      <w:lang w:val="en-US" w:eastAsia="zh-CN"/>
                    </w:rPr>
                    <w:t>405</w:t>
                  </w:r>
                </w:p>
              </w:tc>
              <w:tc>
                <w:tcPr>
                  <w:tcW w:w="630" w:type="pct"/>
                  <w:vAlign w:val="center"/>
                </w:tcPr>
                <w:p w14:paraId="1A46118C">
                  <w:pPr>
                    <w:pStyle w:val="77"/>
                    <w:spacing w:line="240" w:lineRule="auto"/>
                    <w:rPr>
                      <w:rFonts w:hint="default"/>
                      <w:color w:val="FF0000"/>
                      <w:sz w:val="21"/>
                      <w:szCs w:val="21"/>
                      <w:lang w:val="en-US" w:eastAsia="zh-CN"/>
                    </w:rPr>
                  </w:pPr>
                  <w:r>
                    <w:rPr>
                      <w:rFonts w:hint="eastAsia"/>
                      <w:color w:val="FF0000"/>
                      <w:sz w:val="21"/>
                      <w:szCs w:val="21"/>
                      <w:lang w:val="en-US" w:eastAsia="zh-CN"/>
                    </w:rPr>
                    <w:t>400</w:t>
                  </w:r>
                </w:p>
              </w:tc>
            </w:tr>
            <w:tr w14:paraId="00FCF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7" w:type="pct"/>
                  <w:noWrap/>
                  <w:vAlign w:val="center"/>
                </w:tcPr>
                <w:p w14:paraId="1316459E">
                  <w:pPr>
                    <w:pStyle w:val="77"/>
                    <w:spacing w:line="240" w:lineRule="auto"/>
                    <w:rPr>
                      <w:rFonts w:hint="eastAsia" w:eastAsia="宋体"/>
                      <w:color w:val="FF0000"/>
                      <w:sz w:val="21"/>
                      <w:szCs w:val="21"/>
                      <w:lang w:val="en-US" w:eastAsia="zh-CN" w:bidi="ar"/>
                    </w:rPr>
                  </w:pPr>
                  <w:r>
                    <w:rPr>
                      <w:rFonts w:hint="eastAsia"/>
                      <w:color w:val="FF0000"/>
                      <w:sz w:val="21"/>
                      <w:szCs w:val="21"/>
                      <w:lang w:val="en-US" w:eastAsia="zh-CN" w:bidi="ar"/>
                    </w:rPr>
                    <w:t>2</w:t>
                  </w:r>
                </w:p>
              </w:tc>
              <w:tc>
                <w:tcPr>
                  <w:tcW w:w="358" w:type="pct"/>
                  <w:noWrap/>
                  <w:vAlign w:val="center"/>
                </w:tcPr>
                <w:p w14:paraId="3E672A8C">
                  <w:pPr>
                    <w:pStyle w:val="77"/>
                    <w:spacing w:line="240" w:lineRule="auto"/>
                    <w:rPr>
                      <w:rFonts w:hint="default"/>
                      <w:color w:val="FF0000"/>
                      <w:sz w:val="21"/>
                      <w:szCs w:val="21"/>
                      <w:lang w:val="en-US" w:eastAsia="zh-CN" w:bidi="ar"/>
                    </w:rPr>
                  </w:pPr>
                  <w:r>
                    <w:rPr>
                      <w:rFonts w:hint="eastAsia"/>
                      <w:color w:val="FF0000"/>
                      <w:sz w:val="21"/>
                      <w:szCs w:val="21"/>
                      <w:lang w:val="en-US" w:eastAsia="zh-CN" w:bidi="ar"/>
                    </w:rPr>
                    <w:t>回流焊机</w:t>
                  </w:r>
                </w:p>
              </w:tc>
              <w:tc>
                <w:tcPr>
                  <w:tcW w:w="445" w:type="pct"/>
                  <w:vAlign w:val="center"/>
                </w:tcPr>
                <w:p w14:paraId="3FF9EE9F">
                  <w:pPr>
                    <w:pStyle w:val="77"/>
                    <w:spacing w:line="240" w:lineRule="auto"/>
                    <w:rPr>
                      <w:rFonts w:hint="default"/>
                      <w:color w:val="FF0000"/>
                      <w:sz w:val="21"/>
                      <w:szCs w:val="21"/>
                      <w:lang w:val="en-US" w:eastAsia="zh-CN"/>
                    </w:rPr>
                  </w:pPr>
                  <w:r>
                    <w:rPr>
                      <w:rFonts w:hint="eastAsia"/>
                      <w:color w:val="FF0000"/>
                      <w:sz w:val="21"/>
                      <w:szCs w:val="21"/>
                      <w:lang w:val="en-US" w:eastAsia="zh-CN"/>
                    </w:rPr>
                    <w:t>20</w:t>
                  </w:r>
                </w:p>
              </w:tc>
              <w:tc>
                <w:tcPr>
                  <w:tcW w:w="491" w:type="pct"/>
                  <w:noWrap/>
                  <w:vAlign w:val="center"/>
                </w:tcPr>
                <w:p w14:paraId="65CCA2D8">
                  <w:pPr>
                    <w:pStyle w:val="77"/>
                    <w:spacing w:line="240" w:lineRule="auto"/>
                    <w:rPr>
                      <w:rFonts w:hint="default"/>
                      <w:color w:val="FF0000"/>
                      <w:sz w:val="21"/>
                      <w:szCs w:val="21"/>
                      <w:lang w:val="en-US" w:eastAsia="zh-CN" w:bidi="ar"/>
                    </w:rPr>
                  </w:pPr>
                  <w:r>
                    <w:rPr>
                      <w:rFonts w:hint="eastAsia"/>
                      <w:color w:val="FF0000"/>
                      <w:sz w:val="21"/>
                      <w:szCs w:val="21"/>
                      <w:lang w:val="en-US" w:eastAsia="zh-CN" w:bidi="ar"/>
                    </w:rPr>
                    <w:t>280m/h</w:t>
                  </w:r>
                </w:p>
              </w:tc>
              <w:tc>
                <w:tcPr>
                  <w:tcW w:w="531" w:type="pct"/>
                  <w:shd w:val="clear" w:color="auto" w:fill="auto"/>
                  <w:vAlign w:val="center"/>
                </w:tcPr>
                <w:p w14:paraId="192993AF">
                  <w:pPr>
                    <w:spacing w:line="240" w:lineRule="auto"/>
                    <w:jc w:val="center"/>
                    <w:rPr>
                      <w:rFonts w:hint="eastAsia"/>
                      <w:color w:val="FF0000"/>
                      <w:sz w:val="21"/>
                      <w:szCs w:val="21"/>
                      <w:lang w:val="en-US" w:eastAsia="zh-CN" w:bidi="ar"/>
                    </w:rPr>
                  </w:pPr>
                  <w:r>
                    <w:rPr>
                      <w:rFonts w:hint="eastAsia"/>
                      <w:color w:val="FF0000"/>
                      <w:sz w:val="21"/>
                      <w:szCs w:val="21"/>
                      <w:lang w:val="en-US" w:eastAsia="zh-CN"/>
                    </w:rPr>
                    <w:t>10</w:t>
                  </w:r>
                </w:p>
              </w:tc>
              <w:tc>
                <w:tcPr>
                  <w:tcW w:w="503" w:type="pct"/>
                  <w:shd w:val="clear" w:color="auto" w:fill="auto"/>
                  <w:vAlign w:val="center"/>
                </w:tcPr>
                <w:p w14:paraId="6F4DF72A">
                  <w:pPr>
                    <w:spacing w:line="240" w:lineRule="auto"/>
                    <w:jc w:val="center"/>
                    <w:rPr>
                      <w:rFonts w:hint="default"/>
                      <w:color w:val="FF0000"/>
                      <w:sz w:val="21"/>
                      <w:szCs w:val="21"/>
                      <w:lang w:val="en-US" w:eastAsia="zh-CN"/>
                    </w:rPr>
                  </w:pPr>
                  <w:r>
                    <w:rPr>
                      <w:rFonts w:hint="eastAsia"/>
                      <w:color w:val="FF0000"/>
                      <w:sz w:val="21"/>
                      <w:szCs w:val="21"/>
                      <w:lang w:val="en-US" w:eastAsia="zh-CN"/>
                    </w:rPr>
                    <w:t>/</w:t>
                  </w:r>
                </w:p>
              </w:tc>
              <w:tc>
                <w:tcPr>
                  <w:tcW w:w="601" w:type="pct"/>
                  <w:shd w:val="clear" w:color="auto" w:fill="auto"/>
                  <w:vAlign w:val="center"/>
                </w:tcPr>
                <w:p w14:paraId="3873D6A3">
                  <w:pPr>
                    <w:pStyle w:val="77"/>
                    <w:spacing w:line="240" w:lineRule="auto"/>
                    <w:ind w:firstLine="0" w:firstLineChars="0"/>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24</w:t>
                  </w:r>
                </w:p>
              </w:tc>
              <w:tc>
                <w:tcPr>
                  <w:tcW w:w="601" w:type="pct"/>
                  <w:shd w:val="clear" w:color="auto" w:fill="auto"/>
                  <w:vAlign w:val="center"/>
                </w:tcPr>
                <w:p w14:paraId="7569629D">
                  <w:pPr>
                    <w:pStyle w:val="77"/>
                    <w:spacing w:line="240" w:lineRule="auto"/>
                    <w:ind w:firstLine="0" w:firstLineChars="0"/>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300</w:t>
                  </w:r>
                </w:p>
              </w:tc>
              <w:tc>
                <w:tcPr>
                  <w:tcW w:w="567" w:type="pct"/>
                  <w:vAlign w:val="center"/>
                </w:tcPr>
                <w:p w14:paraId="78E228FB">
                  <w:pPr>
                    <w:pStyle w:val="77"/>
                    <w:spacing w:line="240" w:lineRule="auto"/>
                    <w:rPr>
                      <w:rFonts w:hint="default"/>
                      <w:color w:val="FF0000"/>
                      <w:sz w:val="21"/>
                      <w:szCs w:val="21"/>
                      <w:lang w:val="en-US" w:eastAsia="zh-CN"/>
                    </w:rPr>
                  </w:pPr>
                  <w:r>
                    <w:rPr>
                      <w:rFonts w:hint="eastAsia"/>
                      <w:color w:val="FF0000"/>
                      <w:sz w:val="21"/>
                      <w:szCs w:val="21"/>
                      <w:lang w:val="en-US" w:eastAsia="zh-CN"/>
                    </w:rPr>
                    <w:t>403</w:t>
                  </w:r>
                </w:p>
              </w:tc>
              <w:tc>
                <w:tcPr>
                  <w:tcW w:w="630" w:type="pct"/>
                  <w:vAlign w:val="center"/>
                </w:tcPr>
                <w:p w14:paraId="1F0E7E7B">
                  <w:pPr>
                    <w:spacing w:line="240" w:lineRule="auto"/>
                    <w:jc w:val="center"/>
                    <w:rPr>
                      <w:rFonts w:hint="eastAsia"/>
                      <w:color w:val="FF0000"/>
                      <w:sz w:val="21"/>
                      <w:szCs w:val="21"/>
                      <w:lang w:val="en-US" w:eastAsia="zh-CN"/>
                    </w:rPr>
                  </w:pPr>
                  <w:r>
                    <w:rPr>
                      <w:rFonts w:hint="eastAsia"/>
                      <w:color w:val="FF0000"/>
                      <w:sz w:val="21"/>
                      <w:szCs w:val="21"/>
                      <w:lang w:val="en-US" w:eastAsia="zh-CN"/>
                    </w:rPr>
                    <w:t>400</w:t>
                  </w:r>
                </w:p>
              </w:tc>
            </w:tr>
            <w:tr w14:paraId="19E0F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7" w:type="pct"/>
                  <w:noWrap/>
                  <w:vAlign w:val="center"/>
                </w:tcPr>
                <w:p w14:paraId="6986955C">
                  <w:pPr>
                    <w:pStyle w:val="77"/>
                    <w:spacing w:line="240" w:lineRule="auto"/>
                    <w:rPr>
                      <w:rFonts w:hint="eastAsia" w:eastAsia="宋体"/>
                      <w:color w:val="FF0000"/>
                      <w:sz w:val="21"/>
                      <w:szCs w:val="21"/>
                      <w:lang w:val="en-US" w:eastAsia="zh-CN" w:bidi="ar"/>
                    </w:rPr>
                  </w:pPr>
                  <w:r>
                    <w:rPr>
                      <w:rFonts w:hint="eastAsia"/>
                      <w:color w:val="FF0000"/>
                      <w:sz w:val="21"/>
                      <w:szCs w:val="21"/>
                      <w:lang w:val="en-US" w:eastAsia="zh-CN" w:bidi="ar"/>
                    </w:rPr>
                    <w:t>3</w:t>
                  </w:r>
                </w:p>
              </w:tc>
              <w:tc>
                <w:tcPr>
                  <w:tcW w:w="358" w:type="pct"/>
                  <w:noWrap/>
                  <w:vAlign w:val="center"/>
                </w:tcPr>
                <w:p w14:paraId="201D89C1">
                  <w:pPr>
                    <w:pStyle w:val="77"/>
                    <w:spacing w:line="240" w:lineRule="auto"/>
                    <w:rPr>
                      <w:rFonts w:hint="default"/>
                      <w:color w:val="FF0000"/>
                      <w:sz w:val="21"/>
                      <w:szCs w:val="21"/>
                      <w:lang w:val="en-US" w:eastAsia="zh-CN" w:bidi="ar"/>
                    </w:rPr>
                  </w:pPr>
                  <w:r>
                    <w:rPr>
                      <w:rFonts w:hint="eastAsia"/>
                      <w:color w:val="FF0000"/>
                      <w:sz w:val="21"/>
                      <w:szCs w:val="21"/>
                      <w:lang w:val="en-US" w:eastAsia="zh-CN" w:bidi="ar"/>
                    </w:rPr>
                    <w:t>拉胶机</w:t>
                  </w:r>
                </w:p>
              </w:tc>
              <w:tc>
                <w:tcPr>
                  <w:tcW w:w="445" w:type="pct"/>
                  <w:vAlign w:val="center"/>
                </w:tcPr>
                <w:p w14:paraId="1B62B4C5">
                  <w:pPr>
                    <w:pStyle w:val="77"/>
                    <w:spacing w:line="240" w:lineRule="auto"/>
                    <w:rPr>
                      <w:rFonts w:hint="default"/>
                      <w:color w:val="FF0000"/>
                      <w:sz w:val="21"/>
                      <w:szCs w:val="21"/>
                      <w:lang w:val="en-US" w:eastAsia="zh-CN"/>
                    </w:rPr>
                  </w:pPr>
                  <w:r>
                    <w:rPr>
                      <w:rFonts w:hint="eastAsia"/>
                      <w:color w:val="FF0000"/>
                      <w:sz w:val="21"/>
                      <w:szCs w:val="21"/>
                      <w:lang w:val="en-US" w:eastAsia="zh-CN"/>
                    </w:rPr>
                    <w:t>5</w:t>
                  </w:r>
                </w:p>
              </w:tc>
              <w:tc>
                <w:tcPr>
                  <w:tcW w:w="491" w:type="pct"/>
                  <w:noWrap/>
                  <w:vAlign w:val="center"/>
                </w:tcPr>
                <w:p w14:paraId="0E32EA06">
                  <w:pPr>
                    <w:pStyle w:val="77"/>
                    <w:spacing w:line="240" w:lineRule="auto"/>
                    <w:rPr>
                      <w:rFonts w:hint="default"/>
                      <w:color w:val="FF0000"/>
                      <w:sz w:val="21"/>
                      <w:szCs w:val="21"/>
                      <w:lang w:val="en-US" w:eastAsia="zh-CN" w:bidi="ar"/>
                    </w:rPr>
                  </w:pPr>
                  <w:r>
                    <w:rPr>
                      <w:rFonts w:hint="eastAsia"/>
                      <w:color w:val="FF0000"/>
                      <w:sz w:val="21"/>
                      <w:szCs w:val="21"/>
                      <w:lang w:val="en-US" w:eastAsia="zh-CN" w:bidi="ar"/>
                    </w:rPr>
                    <w:t>1150m/h</w:t>
                  </w:r>
                </w:p>
              </w:tc>
              <w:tc>
                <w:tcPr>
                  <w:tcW w:w="531" w:type="pct"/>
                  <w:shd w:val="clear" w:color="auto" w:fill="auto"/>
                  <w:vAlign w:val="center"/>
                </w:tcPr>
                <w:p w14:paraId="508697B7">
                  <w:pPr>
                    <w:spacing w:line="240" w:lineRule="auto"/>
                    <w:jc w:val="center"/>
                    <w:rPr>
                      <w:rFonts w:hint="eastAsia"/>
                      <w:color w:val="FF0000"/>
                      <w:sz w:val="21"/>
                      <w:szCs w:val="21"/>
                      <w:lang w:val="en-US" w:eastAsia="zh-CN" w:bidi="ar"/>
                    </w:rPr>
                  </w:pPr>
                  <w:r>
                    <w:rPr>
                      <w:rFonts w:hint="eastAsia"/>
                      <w:color w:val="FF0000"/>
                      <w:sz w:val="21"/>
                      <w:szCs w:val="21"/>
                      <w:lang w:val="en-US" w:eastAsia="zh-CN"/>
                    </w:rPr>
                    <w:t>10</w:t>
                  </w:r>
                </w:p>
              </w:tc>
              <w:tc>
                <w:tcPr>
                  <w:tcW w:w="503" w:type="pct"/>
                  <w:shd w:val="clear" w:color="auto" w:fill="auto"/>
                  <w:vAlign w:val="center"/>
                </w:tcPr>
                <w:p w14:paraId="520ADEA4">
                  <w:pPr>
                    <w:spacing w:line="240" w:lineRule="auto"/>
                    <w:jc w:val="center"/>
                    <w:rPr>
                      <w:rFonts w:hint="default"/>
                      <w:color w:val="FF0000"/>
                      <w:sz w:val="21"/>
                      <w:szCs w:val="21"/>
                      <w:lang w:val="en-US" w:eastAsia="zh-CN"/>
                    </w:rPr>
                  </w:pPr>
                  <w:r>
                    <w:rPr>
                      <w:rFonts w:hint="eastAsia"/>
                      <w:color w:val="FF0000"/>
                      <w:sz w:val="21"/>
                      <w:szCs w:val="21"/>
                      <w:lang w:val="en-US" w:eastAsia="zh-CN"/>
                    </w:rPr>
                    <w:t>/</w:t>
                  </w:r>
                </w:p>
              </w:tc>
              <w:tc>
                <w:tcPr>
                  <w:tcW w:w="601" w:type="pct"/>
                  <w:shd w:val="clear" w:color="auto" w:fill="auto"/>
                  <w:vAlign w:val="center"/>
                </w:tcPr>
                <w:p w14:paraId="7578453A">
                  <w:pPr>
                    <w:pStyle w:val="77"/>
                    <w:spacing w:line="240" w:lineRule="auto"/>
                    <w:ind w:firstLine="0" w:firstLineChars="0"/>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24</w:t>
                  </w:r>
                </w:p>
              </w:tc>
              <w:tc>
                <w:tcPr>
                  <w:tcW w:w="601" w:type="pct"/>
                  <w:shd w:val="clear" w:color="auto" w:fill="auto"/>
                  <w:vAlign w:val="center"/>
                </w:tcPr>
                <w:p w14:paraId="61D3C20C">
                  <w:pPr>
                    <w:pStyle w:val="77"/>
                    <w:spacing w:line="240" w:lineRule="auto"/>
                    <w:ind w:firstLine="0" w:firstLineChars="0"/>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300</w:t>
                  </w:r>
                </w:p>
              </w:tc>
              <w:tc>
                <w:tcPr>
                  <w:tcW w:w="567" w:type="pct"/>
                  <w:vAlign w:val="center"/>
                </w:tcPr>
                <w:p w14:paraId="3C6574C2">
                  <w:pPr>
                    <w:pStyle w:val="77"/>
                    <w:spacing w:line="240" w:lineRule="auto"/>
                    <w:rPr>
                      <w:rFonts w:hint="default"/>
                      <w:color w:val="FF0000"/>
                      <w:sz w:val="21"/>
                      <w:szCs w:val="21"/>
                      <w:lang w:val="en-US" w:eastAsia="zh-CN"/>
                    </w:rPr>
                  </w:pPr>
                  <w:r>
                    <w:rPr>
                      <w:rFonts w:hint="eastAsia"/>
                      <w:color w:val="FF0000"/>
                      <w:sz w:val="21"/>
                      <w:szCs w:val="21"/>
                      <w:lang w:val="en-US" w:eastAsia="zh-CN"/>
                    </w:rPr>
                    <w:t>414</w:t>
                  </w:r>
                </w:p>
              </w:tc>
              <w:tc>
                <w:tcPr>
                  <w:tcW w:w="630" w:type="pct"/>
                  <w:vAlign w:val="center"/>
                </w:tcPr>
                <w:p w14:paraId="591DC084">
                  <w:pPr>
                    <w:spacing w:line="240" w:lineRule="auto"/>
                    <w:jc w:val="center"/>
                    <w:rPr>
                      <w:rFonts w:hint="eastAsia"/>
                      <w:color w:val="FF0000"/>
                      <w:sz w:val="21"/>
                      <w:szCs w:val="21"/>
                      <w:lang w:val="en-US" w:eastAsia="zh-CN"/>
                    </w:rPr>
                  </w:pPr>
                  <w:r>
                    <w:rPr>
                      <w:rFonts w:hint="eastAsia"/>
                      <w:color w:val="FF0000"/>
                      <w:sz w:val="21"/>
                      <w:szCs w:val="21"/>
                      <w:lang w:val="en-US" w:eastAsia="zh-CN"/>
                    </w:rPr>
                    <w:t>400</w:t>
                  </w:r>
                </w:p>
              </w:tc>
            </w:tr>
            <w:tr w14:paraId="451CB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7" w:type="pct"/>
                  <w:noWrap/>
                  <w:vAlign w:val="center"/>
                </w:tcPr>
                <w:p w14:paraId="1318A0DC">
                  <w:pPr>
                    <w:pStyle w:val="77"/>
                    <w:spacing w:line="240" w:lineRule="auto"/>
                    <w:rPr>
                      <w:rFonts w:hint="eastAsia" w:eastAsia="宋体"/>
                      <w:color w:val="FF0000"/>
                      <w:sz w:val="21"/>
                      <w:szCs w:val="21"/>
                      <w:lang w:val="en-US" w:eastAsia="zh-CN" w:bidi="ar"/>
                    </w:rPr>
                  </w:pPr>
                  <w:r>
                    <w:rPr>
                      <w:rFonts w:hint="eastAsia"/>
                      <w:color w:val="FF0000"/>
                      <w:sz w:val="21"/>
                      <w:szCs w:val="21"/>
                      <w:lang w:val="en-US" w:eastAsia="zh-CN" w:bidi="ar"/>
                    </w:rPr>
                    <w:t>4</w:t>
                  </w:r>
                </w:p>
              </w:tc>
              <w:tc>
                <w:tcPr>
                  <w:tcW w:w="358" w:type="pct"/>
                  <w:noWrap/>
                  <w:vAlign w:val="center"/>
                </w:tcPr>
                <w:p w14:paraId="4D3727B8">
                  <w:pPr>
                    <w:pStyle w:val="77"/>
                    <w:spacing w:line="240" w:lineRule="auto"/>
                    <w:rPr>
                      <w:rFonts w:hint="default"/>
                      <w:color w:val="FF0000"/>
                      <w:sz w:val="21"/>
                      <w:szCs w:val="21"/>
                      <w:lang w:val="en-US" w:eastAsia="zh-CN" w:bidi="ar"/>
                    </w:rPr>
                  </w:pPr>
                  <w:r>
                    <w:rPr>
                      <w:rFonts w:hint="eastAsia"/>
                      <w:color w:val="FF0000"/>
                      <w:sz w:val="21"/>
                      <w:szCs w:val="21"/>
                      <w:lang w:val="en-US" w:eastAsia="zh-CN" w:bidi="ar"/>
                    </w:rPr>
                    <w:t>隧道炉</w:t>
                  </w:r>
                </w:p>
              </w:tc>
              <w:tc>
                <w:tcPr>
                  <w:tcW w:w="445" w:type="pct"/>
                  <w:vAlign w:val="center"/>
                </w:tcPr>
                <w:p w14:paraId="035EE4CA">
                  <w:pPr>
                    <w:pStyle w:val="77"/>
                    <w:spacing w:line="240" w:lineRule="auto"/>
                    <w:rPr>
                      <w:rFonts w:hint="default"/>
                      <w:color w:val="FF0000"/>
                      <w:sz w:val="21"/>
                      <w:szCs w:val="21"/>
                      <w:lang w:val="en-US" w:eastAsia="zh-CN"/>
                    </w:rPr>
                  </w:pPr>
                  <w:r>
                    <w:rPr>
                      <w:rFonts w:hint="eastAsia"/>
                      <w:color w:val="FF0000"/>
                      <w:sz w:val="21"/>
                      <w:szCs w:val="21"/>
                      <w:lang w:val="en-US" w:eastAsia="zh-CN"/>
                    </w:rPr>
                    <w:t>10</w:t>
                  </w:r>
                </w:p>
              </w:tc>
              <w:tc>
                <w:tcPr>
                  <w:tcW w:w="491" w:type="pct"/>
                  <w:noWrap/>
                  <w:vAlign w:val="center"/>
                </w:tcPr>
                <w:p w14:paraId="2DB6CC29">
                  <w:pPr>
                    <w:pStyle w:val="77"/>
                    <w:spacing w:line="240" w:lineRule="auto"/>
                    <w:rPr>
                      <w:rFonts w:hint="default"/>
                      <w:color w:val="FF0000"/>
                      <w:sz w:val="21"/>
                      <w:szCs w:val="21"/>
                      <w:lang w:val="en-US" w:eastAsia="zh-CN" w:bidi="ar"/>
                    </w:rPr>
                  </w:pPr>
                  <w:r>
                    <w:rPr>
                      <w:rFonts w:hint="eastAsia"/>
                      <w:color w:val="FF0000"/>
                      <w:sz w:val="21"/>
                      <w:szCs w:val="21"/>
                      <w:lang w:val="en-US" w:eastAsia="zh-CN" w:bidi="ar"/>
                    </w:rPr>
                    <w:t>560m/h</w:t>
                  </w:r>
                </w:p>
              </w:tc>
              <w:tc>
                <w:tcPr>
                  <w:tcW w:w="531" w:type="pct"/>
                  <w:shd w:val="clear" w:color="auto" w:fill="auto"/>
                  <w:vAlign w:val="center"/>
                </w:tcPr>
                <w:p w14:paraId="2B5506A5">
                  <w:pPr>
                    <w:spacing w:line="240" w:lineRule="auto"/>
                    <w:jc w:val="center"/>
                    <w:rPr>
                      <w:rFonts w:hint="eastAsia"/>
                      <w:color w:val="FF0000"/>
                      <w:sz w:val="21"/>
                      <w:szCs w:val="21"/>
                      <w:lang w:val="en-US" w:eastAsia="zh-CN" w:bidi="ar"/>
                    </w:rPr>
                  </w:pPr>
                  <w:r>
                    <w:rPr>
                      <w:rFonts w:hint="eastAsia"/>
                      <w:color w:val="FF0000"/>
                      <w:sz w:val="21"/>
                      <w:szCs w:val="21"/>
                      <w:lang w:val="en-US" w:eastAsia="zh-CN"/>
                    </w:rPr>
                    <w:t>10</w:t>
                  </w:r>
                </w:p>
              </w:tc>
              <w:tc>
                <w:tcPr>
                  <w:tcW w:w="503" w:type="pct"/>
                  <w:shd w:val="clear" w:color="auto" w:fill="auto"/>
                  <w:vAlign w:val="center"/>
                </w:tcPr>
                <w:p w14:paraId="559309C2">
                  <w:pPr>
                    <w:spacing w:line="240" w:lineRule="auto"/>
                    <w:jc w:val="center"/>
                    <w:rPr>
                      <w:rFonts w:hint="default"/>
                      <w:color w:val="FF0000"/>
                      <w:sz w:val="21"/>
                      <w:szCs w:val="21"/>
                      <w:lang w:val="en-US" w:eastAsia="zh-CN"/>
                    </w:rPr>
                  </w:pPr>
                  <w:r>
                    <w:rPr>
                      <w:rFonts w:hint="eastAsia"/>
                      <w:color w:val="FF0000"/>
                      <w:sz w:val="21"/>
                      <w:szCs w:val="21"/>
                      <w:lang w:val="en-US" w:eastAsia="zh-CN"/>
                    </w:rPr>
                    <w:t>/</w:t>
                  </w:r>
                </w:p>
              </w:tc>
              <w:tc>
                <w:tcPr>
                  <w:tcW w:w="601" w:type="pct"/>
                  <w:shd w:val="clear" w:color="auto" w:fill="auto"/>
                  <w:vAlign w:val="center"/>
                </w:tcPr>
                <w:p w14:paraId="4ABE3A04">
                  <w:pPr>
                    <w:pStyle w:val="77"/>
                    <w:spacing w:line="240" w:lineRule="auto"/>
                    <w:ind w:firstLine="0" w:firstLineChars="0"/>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24</w:t>
                  </w:r>
                </w:p>
              </w:tc>
              <w:tc>
                <w:tcPr>
                  <w:tcW w:w="601" w:type="pct"/>
                  <w:shd w:val="clear" w:color="auto" w:fill="auto"/>
                  <w:vAlign w:val="center"/>
                </w:tcPr>
                <w:p w14:paraId="0151BA06">
                  <w:pPr>
                    <w:pStyle w:val="77"/>
                    <w:spacing w:line="240" w:lineRule="auto"/>
                    <w:ind w:firstLine="0" w:firstLineChars="0"/>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300</w:t>
                  </w:r>
                </w:p>
              </w:tc>
              <w:tc>
                <w:tcPr>
                  <w:tcW w:w="567" w:type="pct"/>
                  <w:vAlign w:val="center"/>
                </w:tcPr>
                <w:p w14:paraId="2D09C6C2">
                  <w:pPr>
                    <w:pStyle w:val="77"/>
                    <w:spacing w:line="240" w:lineRule="auto"/>
                    <w:rPr>
                      <w:rFonts w:hint="default"/>
                      <w:color w:val="FF0000"/>
                      <w:sz w:val="21"/>
                      <w:szCs w:val="21"/>
                      <w:lang w:val="en-US" w:eastAsia="zh-CN"/>
                    </w:rPr>
                  </w:pPr>
                  <w:r>
                    <w:rPr>
                      <w:rFonts w:hint="eastAsia"/>
                      <w:color w:val="FF0000"/>
                      <w:sz w:val="21"/>
                      <w:szCs w:val="21"/>
                      <w:lang w:val="en-US" w:eastAsia="zh-CN"/>
                    </w:rPr>
                    <w:t>403</w:t>
                  </w:r>
                </w:p>
              </w:tc>
              <w:tc>
                <w:tcPr>
                  <w:tcW w:w="630" w:type="pct"/>
                  <w:vAlign w:val="center"/>
                </w:tcPr>
                <w:p w14:paraId="0FFC63C5">
                  <w:pPr>
                    <w:spacing w:line="240" w:lineRule="auto"/>
                    <w:jc w:val="center"/>
                    <w:rPr>
                      <w:rFonts w:hint="eastAsia"/>
                      <w:color w:val="FF0000"/>
                      <w:sz w:val="21"/>
                      <w:szCs w:val="21"/>
                      <w:lang w:val="en-US" w:eastAsia="zh-CN"/>
                    </w:rPr>
                  </w:pPr>
                  <w:r>
                    <w:rPr>
                      <w:rFonts w:hint="eastAsia"/>
                      <w:color w:val="FF0000"/>
                      <w:sz w:val="21"/>
                      <w:szCs w:val="21"/>
                      <w:lang w:val="en-US" w:eastAsia="zh-CN"/>
                    </w:rPr>
                    <w:t>400</w:t>
                  </w:r>
                </w:p>
              </w:tc>
            </w:tr>
            <w:tr w14:paraId="64A89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7" w:type="pct"/>
                  <w:noWrap/>
                  <w:vAlign w:val="center"/>
                </w:tcPr>
                <w:p w14:paraId="71EBFA5D">
                  <w:pPr>
                    <w:pStyle w:val="77"/>
                    <w:spacing w:line="240" w:lineRule="auto"/>
                    <w:rPr>
                      <w:rFonts w:hint="eastAsia" w:eastAsia="宋体"/>
                      <w:color w:val="FF0000"/>
                      <w:sz w:val="21"/>
                      <w:szCs w:val="21"/>
                      <w:lang w:val="en-US" w:eastAsia="zh-CN" w:bidi="ar"/>
                    </w:rPr>
                  </w:pPr>
                  <w:r>
                    <w:rPr>
                      <w:rFonts w:hint="eastAsia"/>
                      <w:color w:val="FF0000"/>
                      <w:sz w:val="21"/>
                      <w:szCs w:val="21"/>
                      <w:lang w:val="en-US" w:eastAsia="zh-CN" w:bidi="ar"/>
                    </w:rPr>
                    <w:t>5</w:t>
                  </w:r>
                </w:p>
              </w:tc>
              <w:tc>
                <w:tcPr>
                  <w:tcW w:w="358" w:type="pct"/>
                  <w:noWrap/>
                  <w:vAlign w:val="center"/>
                </w:tcPr>
                <w:p w14:paraId="37E79EDC">
                  <w:pPr>
                    <w:pStyle w:val="77"/>
                    <w:spacing w:line="240" w:lineRule="auto"/>
                    <w:rPr>
                      <w:rFonts w:hint="default"/>
                      <w:color w:val="FF0000"/>
                      <w:sz w:val="21"/>
                      <w:szCs w:val="21"/>
                      <w:lang w:val="en-US" w:eastAsia="zh-CN" w:bidi="ar"/>
                    </w:rPr>
                  </w:pPr>
                  <w:r>
                    <w:rPr>
                      <w:rFonts w:hint="eastAsia"/>
                      <w:color w:val="FF0000"/>
                      <w:sz w:val="21"/>
                      <w:szCs w:val="21"/>
                      <w:lang w:val="en-US" w:eastAsia="zh-CN" w:bidi="ar"/>
                    </w:rPr>
                    <w:t>分光机</w:t>
                  </w:r>
                </w:p>
              </w:tc>
              <w:tc>
                <w:tcPr>
                  <w:tcW w:w="445" w:type="pct"/>
                  <w:shd w:val="clear" w:color="auto" w:fill="auto"/>
                  <w:vAlign w:val="center"/>
                </w:tcPr>
                <w:p w14:paraId="7C5342CD">
                  <w:pPr>
                    <w:pStyle w:val="77"/>
                    <w:spacing w:line="240" w:lineRule="auto"/>
                    <w:ind w:firstLine="0" w:firstLineChars="0"/>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bidi="ar"/>
                    </w:rPr>
                    <w:t>20</w:t>
                  </w:r>
                </w:p>
              </w:tc>
              <w:tc>
                <w:tcPr>
                  <w:tcW w:w="491" w:type="pct"/>
                  <w:shd w:val="clear" w:color="auto" w:fill="auto"/>
                  <w:noWrap/>
                  <w:vAlign w:val="center"/>
                </w:tcPr>
                <w:p w14:paraId="0E69427E">
                  <w:pPr>
                    <w:pStyle w:val="77"/>
                    <w:spacing w:line="240" w:lineRule="auto"/>
                    <w:ind w:firstLine="0" w:firstLineChars="0"/>
                    <w:rPr>
                      <w:rFonts w:hint="eastAsia" w:ascii="Times New Roman" w:hAnsi="Times New Roman" w:eastAsia="宋体" w:cs="Times New Roman"/>
                      <w:color w:val="FF0000"/>
                      <w:kern w:val="0"/>
                      <w:sz w:val="21"/>
                      <w:szCs w:val="21"/>
                      <w:lang w:val="en-US" w:eastAsia="zh-CN" w:bidi="ar"/>
                    </w:rPr>
                  </w:pPr>
                  <w:r>
                    <w:rPr>
                      <w:rFonts w:hint="eastAsia"/>
                      <w:color w:val="FF0000"/>
                      <w:sz w:val="21"/>
                      <w:szCs w:val="21"/>
                      <w:lang w:val="en-US" w:eastAsia="zh-CN" w:bidi="ar"/>
                    </w:rPr>
                    <w:t>280m/h</w:t>
                  </w:r>
                </w:p>
              </w:tc>
              <w:tc>
                <w:tcPr>
                  <w:tcW w:w="531" w:type="pct"/>
                  <w:shd w:val="clear" w:color="auto" w:fill="auto"/>
                  <w:vAlign w:val="center"/>
                </w:tcPr>
                <w:p w14:paraId="71999E0E">
                  <w:pPr>
                    <w:spacing w:line="240" w:lineRule="auto"/>
                    <w:jc w:val="center"/>
                    <w:rPr>
                      <w:rFonts w:hint="eastAsia" w:ascii="Times New Roman" w:hAnsi="Times New Roman" w:eastAsia="宋体" w:cs="Times New Roman"/>
                      <w:color w:val="FF0000"/>
                      <w:kern w:val="2"/>
                      <w:sz w:val="21"/>
                      <w:szCs w:val="21"/>
                      <w:lang w:val="en-US" w:eastAsia="zh-CN" w:bidi="ar"/>
                    </w:rPr>
                  </w:pPr>
                  <w:r>
                    <w:rPr>
                      <w:rFonts w:hint="eastAsia"/>
                      <w:color w:val="FF0000"/>
                      <w:sz w:val="21"/>
                      <w:szCs w:val="21"/>
                      <w:lang w:val="en-US" w:eastAsia="zh-CN"/>
                    </w:rPr>
                    <w:t>10</w:t>
                  </w:r>
                </w:p>
              </w:tc>
              <w:tc>
                <w:tcPr>
                  <w:tcW w:w="503" w:type="pct"/>
                  <w:shd w:val="clear" w:color="auto" w:fill="auto"/>
                  <w:vAlign w:val="center"/>
                </w:tcPr>
                <w:p w14:paraId="2C56D693">
                  <w:pPr>
                    <w:spacing w:line="240" w:lineRule="auto"/>
                    <w:jc w:val="center"/>
                    <w:rPr>
                      <w:rFonts w:hint="eastAsia" w:ascii="Times New Roman" w:hAnsi="Times New Roman" w:eastAsia="宋体" w:cs="Times New Roman"/>
                      <w:color w:val="FF0000"/>
                      <w:kern w:val="2"/>
                      <w:sz w:val="21"/>
                      <w:szCs w:val="21"/>
                      <w:lang w:val="en-US" w:eastAsia="zh-CN" w:bidi="ar-SA"/>
                    </w:rPr>
                  </w:pPr>
                  <w:r>
                    <w:rPr>
                      <w:rFonts w:hint="eastAsia"/>
                      <w:color w:val="FF0000"/>
                      <w:sz w:val="21"/>
                      <w:szCs w:val="21"/>
                      <w:lang w:val="en-US" w:eastAsia="zh-CN"/>
                    </w:rPr>
                    <w:t>/</w:t>
                  </w:r>
                </w:p>
              </w:tc>
              <w:tc>
                <w:tcPr>
                  <w:tcW w:w="601" w:type="pct"/>
                  <w:shd w:val="clear" w:color="auto" w:fill="auto"/>
                  <w:vAlign w:val="center"/>
                </w:tcPr>
                <w:p w14:paraId="144ABCB8">
                  <w:pPr>
                    <w:pStyle w:val="77"/>
                    <w:spacing w:line="240" w:lineRule="auto"/>
                    <w:ind w:firstLine="0" w:firstLineChars="0"/>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24</w:t>
                  </w:r>
                </w:p>
              </w:tc>
              <w:tc>
                <w:tcPr>
                  <w:tcW w:w="601" w:type="pct"/>
                  <w:shd w:val="clear" w:color="auto" w:fill="auto"/>
                  <w:vAlign w:val="center"/>
                </w:tcPr>
                <w:p w14:paraId="795FE89D">
                  <w:pPr>
                    <w:pStyle w:val="77"/>
                    <w:spacing w:line="240" w:lineRule="auto"/>
                    <w:ind w:firstLine="0" w:firstLineChars="0"/>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300</w:t>
                  </w:r>
                </w:p>
              </w:tc>
              <w:tc>
                <w:tcPr>
                  <w:tcW w:w="567" w:type="pct"/>
                  <w:shd w:val="clear" w:color="auto" w:fill="auto"/>
                  <w:vAlign w:val="center"/>
                </w:tcPr>
                <w:p w14:paraId="6CED0C7C">
                  <w:pPr>
                    <w:pStyle w:val="77"/>
                    <w:spacing w:line="240" w:lineRule="auto"/>
                    <w:ind w:firstLine="0" w:firstLineChars="0"/>
                    <w:rPr>
                      <w:rFonts w:hint="default"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403</w:t>
                  </w:r>
                </w:p>
              </w:tc>
              <w:tc>
                <w:tcPr>
                  <w:tcW w:w="630" w:type="pct"/>
                  <w:vAlign w:val="center"/>
                </w:tcPr>
                <w:p w14:paraId="6C1894CA">
                  <w:pPr>
                    <w:spacing w:line="240" w:lineRule="auto"/>
                    <w:jc w:val="center"/>
                    <w:rPr>
                      <w:rFonts w:hint="eastAsia"/>
                      <w:color w:val="FF0000"/>
                      <w:sz w:val="21"/>
                      <w:szCs w:val="21"/>
                      <w:lang w:val="en-US" w:eastAsia="zh-CN"/>
                    </w:rPr>
                  </w:pPr>
                  <w:r>
                    <w:rPr>
                      <w:rFonts w:hint="eastAsia"/>
                      <w:color w:val="FF0000"/>
                      <w:sz w:val="21"/>
                      <w:szCs w:val="21"/>
                      <w:lang w:val="en-US" w:eastAsia="zh-CN"/>
                    </w:rPr>
                    <w:t>400</w:t>
                  </w:r>
                </w:p>
              </w:tc>
            </w:tr>
            <w:tr w14:paraId="74B3C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7" w:type="pct"/>
                  <w:noWrap/>
                  <w:vAlign w:val="center"/>
                </w:tcPr>
                <w:p w14:paraId="1E38EF03">
                  <w:pPr>
                    <w:pStyle w:val="77"/>
                    <w:spacing w:line="240" w:lineRule="auto"/>
                    <w:rPr>
                      <w:rFonts w:hint="eastAsia" w:eastAsia="宋体"/>
                      <w:color w:val="FF0000"/>
                      <w:sz w:val="21"/>
                      <w:szCs w:val="21"/>
                      <w:lang w:val="en-US" w:eastAsia="zh-CN" w:bidi="ar"/>
                    </w:rPr>
                  </w:pPr>
                  <w:r>
                    <w:rPr>
                      <w:rFonts w:hint="eastAsia"/>
                      <w:color w:val="FF0000"/>
                      <w:sz w:val="21"/>
                      <w:szCs w:val="21"/>
                      <w:lang w:val="en-US" w:eastAsia="zh-CN" w:bidi="ar"/>
                    </w:rPr>
                    <w:t>6</w:t>
                  </w:r>
                </w:p>
              </w:tc>
              <w:tc>
                <w:tcPr>
                  <w:tcW w:w="358" w:type="pct"/>
                  <w:noWrap/>
                  <w:vAlign w:val="center"/>
                </w:tcPr>
                <w:p w14:paraId="0D42CD45">
                  <w:pPr>
                    <w:pStyle w:val="77"/>
                    <w:spacing w:line="240" w:lineRule="auto"/>
                    <w:rPr>
                      <w:rFonts w:hint="default"/>
                      <w:color w:val="FF0000"/>
                      <w:sz w:val="21"/>
                      <w:szCs w:val="21"/>
                      <w:lang w:val="en-US" w:eastAsia="zh-CN" w:bidi="ar"/>
                    </w:rPr>
                  </w:pPr>
                  <w:r>
                    <w:rPr>
                      <w:rFonts w:hint="eastAsia"/>
                      <w:color w:val="FF0000"/>
                      <w:sz w:val="21"/>
                      <w:szCs w:val="21"/>
                      <w:lang w:val="en-US" w:eastAsia="zh-CN" w:bidi="ar"/>
                    </w:rPr>
                    <w:t>分板机</w:t>
                  </w:r>
                </w:p>
              </w:tc>
              <w:tc>
                <w:tcPr>
                  <w:tcW w:w="445" w:type="pct"/>
                  <w:shd w:val="clear" w:color="auto" w:fill="auto"/>
                  <w:vAlign w:val="center"/>
                </w:tcPr>
                <w:p w14:paraId="6723673B">
                  <w:pPr>
                    <w:pStyle w:val="77"/>
                    <w:spacing w:line="240" w:lineRule="auto"/>
                    <w:ind w:firstLine="0" w:firstLineChars="0"/>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bidi="ar"/>
                    </w:rPr>
                    <w:t>20</w:t>
                  </w:r>
                </w:p>
              </w:tc>
              <w:tc>
                <w:tcPr>
                  <w:tcW w:w="491" w:type="pct"/>
                  <w:shd w:val="clear" w:color="auto" w:fill="auto"/>
                  <w:noWrap/>
                  <w:vAlign w:val="center"/>
                </w:tcPr>
                <w:p w14:paraId="4D25C6D8">
                  <w:pPr>
                    <w:pStyle w:val="77"/>
                    <w:spacing w:line="240" w:lineRule="auto"/>
                    <w:ind w:firstLine="0" w:firstLineChars="0"/>
                    <w:rPr>
                      <w:rFonts w:hint="eastAsia" w:ascii="Times New Roman" w:hAnsi="Times New Roman" w:eastAsia="宋体" w:cs="Times New Roman"/>
                      <w:color w:val="FF0000"/>
                      <w:kern w:val="0"/>
                      <w:sz w:val="21"/>
                      <w:szCs w:val="21"/>
                      <w:lang w:val="en-US" w:eastAsia="zh-CN" w:bidi="ar"/>
                    </w:rPr>
                  </w:pPr>
                  <w:r>
                    <w:rPr>
                      <w:rFonts w:hint="eastAsia"/>
                      <w:color w:val="FF0000"/>
                      <w:sz w:val="21"/>
                      <w:szCs w:val="21"/>
                      <w:lang w:val="en-US" w:eastAsia="zh-CN" w:bidi="ar"/>
                    </w:rPr>
                    <w:t>280m/h</w:t>
                  </w:r>
                </w:p>
              </w:tc>
              <w:tc>
                <w:tcPr>
                  <w:tcW w:w="531" w:type="pct"/>
                  <w:shd w:val="clear" w:color="auto" w:fill="auto"/>
                  <w:vAlign w:val="center"/>
                </w:tcPr>
                <w:p w14:paraId="4C05A81D">
                  <w:pPr>
                    <w:spacing w:line="240" w:lineRule="auto"/>
                    <w:jc w:val="center"/>
                    <w:rPr>
                      <w:rFonts w:hint="eastAsia" w:ascii="Times New Roman" w:hAnsi="Times New Roman" w:eastAsia="宋体" w:cs="Times New Roman"/>
                      <w:color w:val="FF0000"/>
                      <w:kern w:val="2"/>
                      <w:sz w:val="21"/>
                      <w:szCs w:val="21"/>
                      <w:lang w:val="en-US" w:eastAsia="zh-CN" w:bidi="ar"/>
                    </w:rPr>
                  </w:pPr>
                  <w:r>
                    <w:rPr>
                      <w:rFonts w:hint="eastAsia"/>
                      <w:color w:val="FF0000"/>
                      <w:sz w:val="21"/>
                      <w:szCs w:val="21"/>
                      <w:lang w:val="en-US" w:eastAsia="zh-CN"/>
                    </w:rPr>
                    <w:t>10</w:t>
                  </w:r>
                </w:p>
              </w:tc>
              <w:tc>
                <w:tcPr>
                  <w:tcW w:w="503" w:type="pct"/>
                  <w:shd w:val="clear" w:color="auto" w:fill="auto"/>
                  <w:vAlign w:val="center"/>
                </w:tcPr>
                <w:p w14:paraId="1E138055">
                  <w:pPr>
                    <w:spacing w:line="240" w:lineRule="auto"/>
                    <w:jc w:val="center"/>
                    <w:rPr>
                      <w:rFonts w:hint="eastAsia" w:ascii="Times New Roman" w:hAnsi="Times New Roman" w:eastAsia="宋体" w:cs="Times New Roman"/>
                      <w:color w:val="FF0000"/>
                      <w:kern w:val="2"/>
                      <w:sz w:val="21"/>
                      <w:szCs w:val="21"/>
                      <w:lang w:val="en-US" w:eastAsia="zh-CN" w:bidi="ar-SA"/>
                    </w:rPr>
                  </w:pPr>
                  <w:r>
                    <w:rPr>
                      <w:rFonts w:hint="eastAsia"/>
                      <w:color w:val="FF0000"/>
                      <w:sz w:val="21"/>
                      <w:szCs w:val="21"/>
                      <w:lang w:val="en-US" w:eastAsia="zh-CN"/>
                    </w:rPr>
                    <w:t>/</w:t>
                  </w:r>
                </w:p>
              </w:tc>
              <w:tc>
                <w:tcPr>
                  <w:tcW w:w="601" w:type="pct"/>
                  <w:shd w:val="clear" w:color="auto" w:fill="auto"/>
                  <w:vAlign w:val="center"/>
                </w:tcPr>
                <w:p w14:paraId="2F797B9C">
                  <w:pPr>
                    <w:pStyle w:val="77"/>
                    <w:spacing w:line="240" w:lineRule="auto"/>
                    <w:ind w:firstLine="0" w:firstLineChars="0"/>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24</w:t>
                  </w:r>
                </w:p>
              </w:tc>
              <w:tc>
                <w:tcPr>
                  <w:tcW w:w="601" w:type="pct"/>
                  <w:shd w:val="clear" w:color="auto" w:fill="auto"/>
                  <w:vAlign w:val="center"/>
                </w:tcPr>
                <w:p w14:paraId="785F7A00">
                  <w:pPr>
                    <w:pStyle w:val="77"/>
                    <w:spacing w:line="240" w:lineRule="auto"/>
                    <w:ind w:firstLine="0" w:firstLineChars="0"/>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300</w:t>
                  </w:r>
                </w:p>
              </w:tc>
              <w:tc>
                <w:tcPr>
                  <w:tcW w:w="567" w:type="pct"/>
                  <w:shd w:val="clear" w:color="auto" w:fill="auto"/>
                  <w:vAlign w:val="center"/>
                </w:tcPr>
                <w:p w14:paraId="0C014346">
                  <w:pPr>
                    <w:pStyle w:val="77"/>
                    <w:spacing w:line="240" w:lineRule="auto"/>
                    <w:ind w:firstLine="0" w:firstLineChars="0"/>
                    <w:rPr>
                      <w:rFonts w:hint="default"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403</w:t>
                  </w:r>
                </w:p>
              </w:tc>
              <w:tc>
                <w:tcPr>
                  <w:tcW w:w="630" w:type="pct"/>
                  <w:vAlign w:val="center"/>
                </w:tcPr>
                <w:p w14:paraId="0171CD18">
                  <w:pPr>
                    <w:spacing w:line="240" w:lineRule="auto"/>
                    <w:jc w:val="center"/>
                    <w:rPr>
                      <w:rFonts w:hint="eastAsia"/>
                      <w:color w:val="FF0000"/>
                      <w:sz w:val="21"/>
                      <w:szCs w:val="21"/>
                      <w:lang w:val="en-US" w:eastAsia="zh-CN"/>
                    </w:rPr>
                  </w:pPr>
                  <w:r>
                    <w:rPr>
                      <w:rFonts w:hint="eastAsia"/>
                      <w:color w:val="FF0000"/>
                      <w:sz w:val="21"/>
                      <w:szCs w:val="21"/>
                      <w:lang w:val="en-US" w:eastAsia="zh-CN"/>
                    </w:rPr>
                    <w:t>400</w:t>
                  </w:r>
                </w:p>
              </w:tc>
            </w:tr>
            <w:tr w14:paraId="0610E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7" w:type="pct"/>
                  <w:noWrap/>
                  <w:vAlign w:val="center"/>
                </w:tcPr>
                <w:p w14:paraId="5FC11943">
                  <w:pPr>
                    <w:pStyle w:val="77"/>
                    <w:spacing w:line="240" w:lineRule="auto"/>
                    <w:rPr>
                      <w:rFonts w:hint="eastAsia" w:eastAsia="宋体"/>
                      <w:color w:val="FF0000"/>
                      <w:sz w:val="21"/>
                      <w:szCs w:val="21"/>
                      <w:lang w:val="en-US" w:eastAsia="zh-CN" w:bidi="ar"/>
                    </w:rPr>
                  </w:pPr>
                  <w:r>
                    <w:rPr>
                      <w:rFonts w:hint="eastAsia"/>
                      <w:color w:val="FF0000"/>
                      <w:sz w:val="21"/>
                      <w:szCs w:val="21"/>
                      <w:lang w:val="en-US" w:eastAsia="zh-CN" w:bidi="ar"/>
                    </w:rPr>
                    <w:t>7</w:t>
                  </w:r>
                </w:p>
              </w:tc>
              <w:tc>
                <w:tcPr>
                  <w:tcW w:w="358" w:type="pct"/>
                  <w:noWrap/>
                  <w:vAlign w:val="center"/>
                </w:tcPr>
                <w:p w14:paraId="5A1F3DF5">
                  <w:pPr>
                    <w:pStyle w:val="77"/>
                    <w:spacing w:line="240" w:lineRule="auto"/>
                    <w:rPr>
                      <w:rFonts w:hint="default"/>
                      <w:color w:val="FF0000"/>
                      <w:sz w:val="21"/>
                      <w:szCs w:val="21"/>
                      <w:lang w:val="en-US" w:eastAsia="zh-CN" w:bidi="ar"/>
                    </w:rPr>
                  </w:pPr>
                  <w:r>
                    <w:rPr>
                      <w:rFonts w:hint="eastAsia"/>
                      <w:color w:val="FF0000"/>
                      <w:sz w:val="21"/>
                      <w:szCs w:val="21"/>
                      <w:lang w:val="en-US" w:eastAsia="zh-CN" w:bidi="ar"/>
                    </w:rPr>
                    <w:t>焊线机</w:t>
                  </w:r>
                </w:p>
              </w:tc>
              <w:tc>
                <w:tcPr>
                  <w:tcW w:w="445" w:type="pct"/>
                  <w:shd w:val="clear" w:color="auto" w:fill="auto"/>
                  <w:vAlign w:val="center"/>
                </w:tcPr>
                <w:p w14:paraId="5BFAA6EF">
                  <w:pPr>
                    <w:pStyle w:val="77"/>
                    <w:spacing w:line="240" w:lineRule="auto"/>
                    <w:ind w:firstLine="0" w:firstLineChars="0"/>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bidi="ar"/>
                    </w:rPr>
                    <w:t>40</w:t>
                  </w:r>
                </w:p>
              </w:tc>
              <w:tc>
                <w:tcPr>
                  <w:tcW w:w="491" w:type="pct"/>
                  <w:shd w:val="clear" w:color="auto" w:fill="auto"/>
                  <w:noWrap/>
                  <w:vAlign w:val="center"/>
                </w:tcPr>
                <w:p w14:paraId="56C5E4C4">
                  <w:pPr>
                    <w:pStyle w:val="77"/>
                    <w:spacing w:line="240" w:lineRule="auto"/>
                    <w:ind w:firstLine="0" w:firstLineChars="0"/>
                    <w:rPr>
                      <w:rFonts w:hint="default" w:ascii="Times New Roman" w:hAnsi="Times New Roman" w:eastAsia="宋体" w:cs="Times New Roman"/>
                      <w:color w:val="FF0000"/>
                      <w:kern w:val="0"/>
                      <w:sz w:val="21"/>
                      <w:szCs w:val="21"/>
                      <w:lang w:val="en-US" w:eastAsia="zh-CN" w:bidi="ar"/>
                    </w:rPr>
                  </w:pPr>
                  <w:r>
                    <w:rPr>
                      <w:rFonts w:hint="eastAsia"/>
                      <w:color w:val="FF0000"/>
                      <w:sz w:val="21"/>
                      <w:szCs w:val="21"/>
                      <w:lang w:val="en-US" w:eastAsia="zh-CN" w:bidi="ar"/>
                    </w:rPr>
                    <w:t>140m/h</w:t>
                  </w:r>
                </w:p>
              </w:tc>
              <w:tc>
                <w:tcPr>
                  <w:tcW w:w="531" w:type="pct"/>
                  <w:shd w:val="clear" w:color="auto" w:fill="auto"/>
                  <w:vAlign w:val="center"/>
                </w:tcPr>
                <w:p w14:paraId="6F2C0477">
                  <w:pPr>
                    <w:spacing w:line="240" w:lineRule="auto"/>
                    <w:jc w:val="center"/>
                    <w:rPr>
                      <w:rFonts w:hint="eastAsia" w:ascii="Times New Roman" w:hAnsi="Times New Roman" w:eastAsia="宋体" w:cs="Times New Roman"/>
                      <w:color w:val="FF0000"/>
                      <w:kern w:val="2"/>
                      <w:sz w:val="21"/>
                      <w:szCs w:val="21"/>
                      <w:lang w:val="en-US" w:eastAsia="zh-CN" w:bidi="ar"/>
                    </w:rPr>
                  </w:pPr>
                  <w:r>
                    <w:rPr>
                      <w:rFonts w:hint="eastAsia"/>
                      <w:color w:val="FF0000"/>
                      <w:sz w:val="21"/>
                      <w:szCs w:val="21"/>
                      <w:lang w:val="en-US" w:eastAsia="zh-CN"/>
                    </w:rPr>
                    <w:t>10</w:t>
                  </w:r>
                </w:p>
              </w:tc>
              <w:tc>
                <w:tcPr>
                  <w:tcW w:w="503" w:type="pct"/>
                  <w:shd w:val="clear" w:color="auto" w:fill="auto"/>
                  <w:vAlign w:val="center"/>
                </w:tcPr>
                <w:p w14:paraId="4022D486">
                  <w:pPr>
                    <w:spacing w:line="240" w:lineRule="auto"/>
                    <w:jc w:val="center"/>
                    <w:rPr>
                      <w:rFonts w:hint="eastAsia" w:ascii="Times New Roman" w:hAnsi="Times New Roman" w:eastAsia="宋体" w:cs="Times New Roman"/>
                      <w:color w:val="FF0000"/>
                      <w:kern w:val="2"/>
                      <w:sz w:val="21"/>
                      <w:szCs w:val="21"/>
                      <w:lang w:val="en-US" w:eastAsia="zh-CN" w:bidi="ar-SA"/>
                    </w:rPr>
                  </w:pPr>
                  <w:r>
                    <w:rPr>
                      <w:rFonts w:hint="eastAsia"/>
                      <w:color w:val="FF0000"/>
                      <w:sz w:val="21"/>
                      <w:szCs w:val="21"/>
                      <w:lang w:val="en-US" w:eastAsia="zh-CN"/>
                    </w:rPr>
                    <w:t>/</w:t>
                  </w:r>
                </w:p>
              </w:tc>
              <w:tc>
                <w:tcPr>
                  <w:tcW w:w="601" w:type="pct"/>
                  <w:shd w:val="clear" w:color="auto" w:fill="auto"/>
                  <w:vAlign w:val="center"/>
                </w:tcPr>
                <w:p w14:paraId="6533E9D2">
                  <w:pPr>
                    <w:pStyle w:val="77"/>
                    <w:spacing w:line="240" w:lineRule="auto"/>
                    <w:ind w:firstLine="0" w:firstLineChars="0"/>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24</w:t>
                  </w:r>
                </w:p>
              </w:tc>
              <w:tc>
                <w:tcPr>
                  <w:tcW w:w="601" w:type="pct"/>
                  <w:shd w:val="clear" w:color="auto" w:fill="auto"/>
                  <w:vAlign w:val="center"/>
                </w:tcPr>
                <w:p w14:paraId="1C655038">
                  <w:pPr>
                    <w:pStyle w:val="77"/>
                    <w:spacing w:line="240" w:lineRule="auto"/>
                    <w:ind w:firstLine="0" w:firstLineChars="0"/>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300</w:t>
                  </w:r>
                </w:p>
              </w:tc>
              <w:tc>
                <w:tcPr>
                  <w:tcW w:w="567" w:type="pct"/>
                  <w:shd w:val="clear" w:color="auto" w:fill="auto"/>
                  <w:vAlign w:val="center"/>
                </w:tcPr>
                <w:p w14:paraId="32269700">
                  <w:pPr>
                    <w:pStyle w:val="77"/>
                    <w:spacing w:line="240" w:lineRule="auto"/>
                    <w:ind w:firstLine="0" w:firstLineChars="0"/>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403</w:t>
                  </w:r>
                </w:p>
              </w:tc>
              <w:tc>
                <w:tcPr>
                  <w:tcW w:w="630" w:type="pct"/>
                  <w:vAlign w:val="center"/>
                </w:tcPr>
                <w:p w14:paraId="636C5D2C">
                  <w:pPr>
                    <w:spacing w:line="240" w:lineRule="auto"/>
                    <w:jc w:val="center"/>
                    <w:rPr>
                      <w:rFonts w:hint="eastAsia"/>
                      <w:color w:val="FF0000"/>
                      <w:sz w:val="21"/>
                      <w:szCs w:val="21"/>
                      <w:lang w:val="en-US" w:eastAsia="zh-CN"/>
                    </w:rPr>
                  </w:pPr>
                  <w:r>
                    <w:rPr>
                      <w:rFonts w:hint="eastAsia"/>
                      <w:color w:val="FF0000"/>
                      <w:sz w:val="21"/>
                      <w:szCs w:val="21"/>
                      <w:lang w:val="en-US" w:eastAsia="zh-CN"/>
                    </w:rPr>
                    <w:t>400</w:t>
                  </w:r>
                </w:p>
              </w:tc>
            </w:tr>
            <w:tr w14:paraId="311FE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267" w:type="pct"/>
                  <w:noWrap/>
                  <w:vAlign w:val="center"/>
                </w:tcPr>
                <w:p w14:paraId="7FBE46AD">
                  <w:pPr>
                    <w:pStyle w:val="77"/>
                    <w:spacing w:line="240" w:lineRule="auto"/>
                    <w:rPr>
                      <w:rFonts w:hint="eastAsia" w:eastAsia="宋体"/>
                      <w:color w:val="FF0000"/>
                      <w:sz w:val="21"/>
                      <w:szCs w:val="21"/>
                      <w:lang w:val="en-US" w:eastAsia="zh-CN" w:bidi="ar"/>
                    </w:rPr>
                  </w:pPr>
                  <w:r>
                    <w:rPr>
                      <w:rFonts w:hint="eastAsia"/>
                      <w:color w:val="FF0000"/>
                      <w:sz w:val="21"/>
                      <w:szCs w:val="21"/>
                      <w:lang w:val="en-US" w:eastAsia="zh-CN" w:bidi="ar"/>
                    </w:rPr>
                    <w:t>8</w:t>
                  </w:r>
                </w:p>
              </w:tc>
              <w:tc>
                <w:tcPr>
                  <w:tcW w:w="358" w:type="pct"/>
                  <w:noWrap/>
                  <w:vAlign w:val="center"/>
                </w:tcPr>
                <w:p w14:paraId="12839343">
                  <w:pPr>
                    <w:pStyle w:val="77"/>
                    <w:spacing w:line="240" w:lineRule="auto"/>
                    <w:rPr>
                      <w:rFonts w:hint="default"/>
                      <w:color w:val="FF0000"/>
                      <w:sz w:val="21"/>
                      <w:szCs w:val="21"/>
                      <w:lang w:val="en-US" w:eastAsia="zh-CN" w:bidi="ar"/>
                    </w:rPr>
                  </w:pPr>
                  <w:r>
                    <w:rPr>
                      <w:rFonts w:hint="eastAsia"/>
                      <w:color w:val="FF0000"/>
                      <w:sz w:val="21"/>
                      <w:szCs w:val="21"/>
                      <w:lang w:val="en-US" w:eastAsia="zh-CN" w:bidi="ar"/>
                    </w:rPr>
                    <w:t>编带机</w:t>
                  </w:r>
                </w:p>
              </w:tc>
              <w:tc>
                <w:tcPr>
                  <w:tcW w:w="445" w:type="pct"/>
                  <w:shd w:val="clear" w:color="auto" w:fill="auto"/>
                  <w:vAlign w:val="center"/>
                </w:tcPr>
                <w:p w14:paraId="093E6651">
                  <w:pPr>
                    <w:pStyle w:val="77"/>
                    <w:spacing w:line="240" w:lineRule="auto"/>
                    <w:ind w:firstLine="0" w:firstLineChars="0"/>
                    <w:rPr>
                      <w:rFonts w:hint="eastAsia" w:ascii="Times New Roman" w:hAnsi="Times New Roman" w:eastAsia="宋体" w:cs="Times New Roman"/>
                      <w:color w:val="FF0000"/>
                      <w:kern w:val="0"/>
                      <w:sz w:val="21"/>
                      <w:szCs w:val="21"/>
                      <w:highlight w:val="yellow"/>
                      <w:lang w:val="en-US" w:eastAsia="zh-CN" w:bidi="ar-SA"/>
                    </w:rPr>
                  </w:pPr>
                  <w:r>
                    <w:rPr>
                      <w:rFonts w:hint="eastAsia"/>
                      <w:color w:val="FF0000"/>
                      <w:sz w:val="21"/>
                      <w:szCs w:val="21"/>
                      <w:lang w:val="en-US" w:eastAsia="zh-CN" w:bidi="ar"/>
                    </w:rPr>
                    <w:t>40</w:t>
                  </w:r>
                </w:p>
              </w:tc>
              <w:tc>
                <w:tcPr>
                  <w:tcW w:w="491" w:type="pct"/>
                  <w:noWrap/>
                  <w:vAlign w:val="center"/>
                </w:tcPr>
                <w:p w14:paraId="1BB04FC6">
                  <w:pPr>
                    <w:pStyle w:val="77"/>
                    <w:spacing w:line="240" w:lineRule="auto"/>
                    <w:rPr>
                      <w:rFonts w:hint="default"/>
                      <w:color w:val="FF0000"/>
                      <w:sz w:val="21"/>
                      <w:szCs w:val="21"/>
                      <w:lang w:val="en-US" w:eastAsia="zh-CN" w:bidi="ar"/>
                    </w:rPr>
                  </w:pPr>
                  <w:r>
                    <w:rPr>
                      <w:rFonts w:hint="eastAsia"/>
                      <w:color w:val="FF0000"/>
                      <w:sz w:val="21"/>
                      <w:szCs w:val="21"/>
                      <w:lang w:val="en-US" w:eastAsia="zh-CN" w:bidi="ar"/>
                    </w:rPr>
                    <w:t>140m/h</w:t>
                  </w:r>
                </w:p>
              </w:tc>
              <w:tc>
                <w:tcPr>
                  <w:tcW w:w="531" w:type="pct"/>
                  <w:shd w:val="clear" w:color="auto" w:fill="auto"/>
                  <w:vAlign w:val="center"/>
                </w:tcPr>
                <w:p w14:paraId="2A8EE4A1">
                  <w:pPr>
                    <w:spacing w:line="240" w:lineRule="auto"/>
                    <w:jc w:val="center"/>
                    <w:rPr>
                      <w:rFonts w:hint="eastAsia"/>
                      <w:color w:val="FF0000"/>
                      <w:sz w:val="21"/>
                      <w:szCs w:val="21"/>
                      <w:lang w:val="en-US" w:eastAsia="zh-CN" w:bidi="ar"/>
                    </w:rPr>
                  </w:pPr>
                  <w:r>
                    <w:rPr>
                      <w:rFonts w:hint="eastAsia"/>
                      <w:color w:val="FF0000"/>
                      <w:sz w:val="21"/>
                      <w:szCs w:val="21"/>
                      <w:lang w:val="en-US" w:eastAsia="zh-CN"/>
                    </w:rPr>
                    <w:t>10</w:t>
                  </w:r>
                </w:p>
              </w:tc>
              <w:tc>
                <w:tcPr>
                  <w:tcW w:w="503" w:type="pct"/>
                  <w:shd w:val="clear" w:color="auto" w:fill="auto"/>
                  <w:vAlign w:val="center"/>
                </w:tcPr>
                <w:p w14:paraId="3FAD489D">
                  <w:pPr>
                    <w:spacing w:line="240" w:lineRule="auto"/>
                    <w:jc w:val="center"/>
                    <w:rPr>
                      <w:rFonts w:hint="default"/>
                      <w:color w:val="FF0000"/>
                      <w:sz w:val="21"/>
                      <w:szCs w:val="21"/>
                      <w:lang w:val="en-US" w:eastAsia="zh-CN"/>
                    </w:rPr>
                  </w:pPr>
                  <w:r>
                    <w:rPr>
                      <w:rFonts w:hint="eastAsia"/>
                      <w:color w:val="FF0000"/>
                      <w:sz w:val="21"/>
                      <w:szCs w:val="21"/>
                      <w:lang w:val="en-US" w:eastAsia="zh-CN"/>
                    </w:rPr>
                    <w:t>/</w:t>
                  </w:r>
                </w:p>
              </w:tc>
              <w:tc>
                <w:tcPr>
                  <w:tcW w:w="601" w:type="pct"/>
                  <w:shd w:val="clear" w:color="auto" w:fill="auto"/>
                  <w:vAlign w:val="center"/>
                </w:tcPr>
                <w:p w14:paraId="5BE1202B">
                  <w:pPr>
                    <w:pStyle w:val="77"/>
                    <w:spacing w:line="240" w:lineRule="auto"/>
                    <w:ind w:firstLine="0" w:firstLineChars="0"/>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24</w:t>
                  </w:r>
                </w:p>
              </w:tc>
              <w:tc>
                <w:tcPr>
                  <w:tcW w:w="601" w:type="pct"/>
                  <w:shd w:val="clear" w:color="auto" w:fill="auto"/>
                  <w:vAlign w:val="center"/>
                </w:tcPr>
                <w:p w14:paraId="025923C4">
                  <w:pPr>
                    <w:pStyle w:val="77"/>
                    <w:spacing w:line="240" w:lineRule="auto"/>
                    <w:ind w:firstLine="0" w:firstLineChars="0"/>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300</w:t>
                  </w:r>
                </w:p>
              </w:tc>
              <w:tc>
                <w:tcPr>
                  <w:tcW w:w="567" w:type="pct"/>
                  <w:vAlign w:val="center"/>
                </w:tcPr>
                <w:p w14:paraId="79ACEE5B">
                  <w:pPr>
                    <w:pStyle w:val="77"/>
                    <w:spacing w:line="240" w:lineRule="auto"/>
                    <w:rPr>
                      <w:rFonts w:hint="default"/>
                      <w:color w:val="FF0000"/>
                      <w:sz w:val="21"/>
                      <w:szCs w:val="21"/>
                      <w:lang w:val="en-US" w:eastAsia="zh-CN"/>
                    </w:rPr>
                  </w:pPr>
                  <w:r>
                    <w:rPr>
                      <w:rFonts w:hint="eastAsia"/>
                      <w:color w:val="FF0000"/>
                      <w:sz w:val="21"/>
                      <w:szCs w:val="21"/>
                      <w:lang w:val="en-US" w:eastAsia="zh-CN"/>
                    </w:rPr>
                    <w:t>403</w:t>
                  </w:r>
                </w:p>
              </w:tc>
              <w:tc>
                <w:tcPr>
                  <w:tcW w:w="630" w:type="pct"/>
                  <w:vAlign w:val="center"/>
                </w:tcPr>
                <w:p w14:paraId="3A41CE4B">
                  <w:pPr>
                    <w:spacing w:line="240" w:lineRule="auto"/>
                    <w:jc w:val="center"/>
                    <w:rPr>
                      <w:rFonts w:hint="eastAsia"/>
                      <w:color w:val="FF0000"/>
                      <w:sz w:val="21"/>
                      <w:szCs w:val="21"/>
                      <w:lang w:val="en-US" w:eastAsia="zh-CN"/>
                    </w:rPr>
                  </w:pPr>
                  <w:r>
                    <w:rPr>
                      <w:rFonts w:hint="eastAsia"/>
                      <w:color w:val="FF0000"/>
                      <w:sz w:val="21"/>
                      <w:szCs w:val="21"/>
                      <w:lang w:val="en-US" w:eastAsia="zh-CN"/>
                    </w:rPr>
                    <w:t>400</w:t>
                  </w:r>
                </w:p>
              </w:tc>
            </w:tr>
          </w:tbl>
          <w:p w14:paraId="0A1A50FB">
            <w:pPr>
              <w:pStyle w:val="51"/>
              <w:keepNext w:val="0"/>
              <w:keepLines w:val="0"/>
              <w:pageBreakBefore w:val="0"/>
              <w:widowControl w:val="0"/>
              <w:kinsoku/>
              <w:wordWrap/>
              <w:overflowPunct/>
              <w:topLinePunct w:val="0"/>
              <w:autoSpaceDE/>
              <w:autoSpaceDN/>
              <w:bidi w:val="0"/>
              <w:adjustRightInd w:val="0"/>
              <w:snapToGrid w:val="0"/>
              <w:spacing w:before="157" w:beforeLines="50"/>
              <w:ind w:firstLine="482"/>
              <w:textAlignment w:val="auto"/>
              <w:rPr>
                <w:b/>
                <w:bCs/>
              </w:rPr>
            </w:pPr>
            <w:r>
              <w:rPr>
                <w:b/>
                <w:bCs/>
              </w:rPr>
              <w:t>5</w:t>
            </w:r>
            <w:r>
              <w:rPr>
                <w:rFonts w:hint="eastAsia"/>
                <w:b/>
                <w:bCs/>
              </w:rPr>
              <w:t>、原辅材料及能源消耗</w:t>
            </w:r>
          </w:p>
          <w:p w14:paraId="28CB3430">
            <w:pPr>
              <w:pStyle w:val="51"/>
              <w:ind w:firstLine="482"/>
              <w:rPr>
                <w:b/>
                <w:bCs/>
              </w:rPr>
            </w:pPr>
            <w:r>
              <w:rPr>
                <w:rFonts w:hint="eastAsia"/>
                <w:b/>
                <w:bCs/>
              </w:rPr>
              <w:t>（1）原辅材料消耗情况</w:t>
            </w:r>
          </w:p>
          <w:p w14:paraId="6384F0A4">
            <w:pPr>
              <w:pStyle w:val="51"/>
              <w:ind w:firstLine="480"/>
            </w:pPr>
            <w:r>
              <w:rPr>
                <w:rFonts w:hint="eastAsia"/>
              </w:rPr>
              <w:t>本项目原辅材料及能源种类、消耗量见表</w:t>
            </w:r>
            <w:r>
              <w:t>2-</w:t>
            </w:r>
            <w:r>
              <w:rPr>
                <w:rFonts w:hint="eastAsia"/>
                <w:lang w:val="en-US" w:eastAsia="zh-CN"/>
              </w:rPr>
              <w:t>6</w:t>
            </w:r>
            <w:r>
              <w:rPr>
                <w:rFonts w:hint="eastAsia"/>
              </w:rPr>
              <w:t>所示。</w:t>
            </w:r>
          </w:p>
          <w:p w14:paraId="4FA12A34">
            <w:pPr>
              <w:pStyle w:val="52"/>
            </w:pPr>
            <w:r>
              <w:rPr>
                <w:rFonts w:hint="eastAsia"/>
              </w:rPr>
              <w:t>表</w:t>
            </w:r>
            <w:r>
              <w:t>2-</w:t>
            </w:r>
            <w:r>
              <w:rPr>
                <w:rFonts w:hint="eastAsia"/>
                <w:lang w:val="en-US" w:eastAsia="zh-CN"/>
              </w:rPr>
              <w:t>6</w:t>
            </w:r>
            <w:r>
              <w:rPr>
                <w:rFonts w:hint="eastAsia"/>
              </w:rPr>
              <w:t xml:space="preserve"> 项目主要原辅材料消耗情况一览表</w:t>
            </w:r>
          </w:p>
          <w:tbl>
            <w:tblPr>
              <w:tblStyle w:val="23"/>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1"/>
              <w:gridCol w:w="1268"/>
              <w:gridCol w:w="843"/>
              <w:gridCol w:w="923"/>
              <w:gridCol w:w="876"/>
              <w:gridCol w:w="596"/>
              <w:gridCol w:w="1006"/>
              <w:gridCol w:w="779"/>
              <w:gridCol w:w="1498"/>
            </w:tblGrid>
            <w:tr w14:paraId="44302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308" w:type="pct"/>
                  <w:vAlign w:val="center"/>
                </w:tcPr>
                <w:p w14:paraId="64A5C6CD">
                  <w:pPr>
                    <w:jc w:val="center"/>
                    <w:rPr>
                      <w:b/>
                      <w:bCs/>
                      <w:szCs w:val="21"/>
                    </w:rPr>
                  </w:pPr>
                  <w:bookmarkStart w:id="4" w:name="_Hlk69570265"/>
                  <w:r>
                    <w:rPr>
                      <w:b/>
                      <w:bCs/>
                      <w:szCs w:val="21"/>
                    </w:rPr>
                    <w:t>序号</w:t>
                  </w:r>
                </w:p>
              </w:tc>
              <w:tc>
                <w:tcPr>
                  <w:tcW w:w="764" w:type="pct"/>
                  <w:vAlign w:val="center"/>
                </w:tcPr>
                <w:p w14:paraId="46C893DE">
                  <w:pPr>
                    <w:jc w:val="center"/>
                    <w:rPr>
                      <w:b/>
                      <w:bCs/>
                      <w:szCs w:val="21"/>
                    </w:rPr>
                  </w:pPr>
                  <w:r>
                    <w:rPr>
                      <w:b/>
                      <w:bCs/>
                      <w:szCs w:val="21"/>
                    </w:rPr>
                    <w:t>原辅材料名称</w:t>
                  </w:r>
                </w:p>
              </w:tc>
              <w:tc>
                <w:tcPr>
                  <w:tcW w:w="508" w:type="pct"/>
                  <w:vAlign w:val="center"/>
                </w:tcPr>
                <w:p w14:paraId="29765127">
                  <w:pPr>
                    <w:jc w:val="center"/>
                    <w:rPr>
                      <w:b/>
                      <w:bCs/>
                      <w:szCs w:val="21"/>
                    </w:rPr>
                  </w:pPr>
                  <w:r>
                    <w:rPr>
                      <w:b/>
                      <w:bCs/>
                      <w:szCs w:val="21"/>
                    </w:rPr>
                    <w:t>年用量</w:t>
                  </w:r>
                </w:p>
              </w:tc>
              <w:tc>
                <w:tcPr>
                  <w:tcW w:w="556" w:type="pct"/>
                  <w:vAlign w:val="center"/>
                </w:tcPr>
                <w:p w14:paraId="0E3E2262">
                  <w:pPr>
                    <w:jc w:val="center"/>
                    <w:rPr>
                      <w:b/>
                      <w:bCs/>
                      <w:szCs w:val="21"/>
                    </w:rPr>
                  </w:pPr>
                  <w:r>
                    <w:rPr>
                      <w:rFonts w:hint="eastAsia"/>
                      <w:b/>
                      <w:bCs/>
                      <w:szCs w:val="21"/>
                    </w:rPr>
                    <w:t>单位</w:t>
                  </w:r>
                </w:p>
              </w:tc>
              <w:tc>
                <w:tcPr>
                  <w:tcW w:w="528" w:type="pct"/>
                  <w:vAlign w:val="center"/>
                </w:tcPr>
                <w:p w14:paraId="2226215B">
                  <w:pPr>
                    <w:jc w:val="center"/>
                    <w:rPr>
                      <w:b/>
                      <w:bCs/>
                      <w:szCs w:val="21"/>
                    </w:rPr>
                  </w:pPr>
                  <w:r>
                    <w:rPr>
                      <w:rFonts w:hint="eastAsia"/>
                      <w:b/>
                      <w:bCs/>
                      <w:szCs w:val="21"/>
                    </w:rPr>
                    <w:t>最大储存量</w:t>
                  </w:r>
                </w:p>
              </w:tc>
              <w:tc>
                <w:tcPr>
                  <w:tcW w:w="359" w:type="pct"/>
                  <w:vAlign w:val="center"/>
                </w:tcPr>
                <w:p w14:paraId="058AC8ED">
                  <w:pPr>
                    <w:jc w:val="center"/>
                    <w:rPr>
                      <w:rFonts w:hint="default" w:eastAsia="宋体"/>
                      <w:b/>
                      <w:bCs/>
                      <w:szCs w:val="21"/>
                      <w:lang w:val="en-US" w:eastAsia="zh-CN"/>
                    </w:rPr>
                  </w:pPr>
                  <w:r>
                    <w:rPr>
                      <w:rFonts w:hint="eastAsia"/>
                      <w:b/>
                      <w:bCs/>
                      <w:szCs w:val="21"/>
                      <w:lang w:val="en-US" w:eastAsia="zh-CN"/>
                    </w:rPr>
                    <w:t>形态</w:t>
                  </w:r>
                </w:p>
              </w:tc>
              <w:tc>
                <w:tcPr>
                  <w:tcW w:w="606" w:type="pct"/>
                  <w:vAlign w:val="center"/>
                </w:tcPr>
                <w:p w14:paraId="09A0D352">
                  <w:pPr>
                    <w:jc w:val="center"/>
                    <w:rPr>
                      <w:rFonts w:hint="default" w:eastAsia="宋体"/>
                      <w:b/>
                      <w:bCs/>
                      <w:szCs w:val="21"/>
                      <w:lang w:val="en-US" w:eastAsia="zh-CN"/>
                    </w:rPr>
                  </w:pPr>
                  <w:r>
                    <w:rPr>
                      <w:rFonts w:hint="eastAsia"/>
                      <w:b/>
                      <w:bCs/>
                      <w:color w:val="FF0000"/>
                      <w:szCs w:val="21"/>
                      <w:lang w:val="en-US" w:eastAsia="zh-CN"/>
                    </w:rPr>
                    <w:t>包装方式</w:t>
                  </w:r>
                </w:p>
              </w:tc>
              <w:tc>
                <w:tcPr>
                  <w:tcW w:w="469" w:type="pct"/>
                  <w:vAlign w:val="center"/>
                </w:tcPr>
                <w:p w14:paraId="79D7B5A5">
                  <w:pPr>
                    <w:jc w:val="center"/>
                    <w:rPr>
                      <w:b/>
                      <w:bCs/>
                      <w:szCs w:val="21"/>
                    </w:rPr>
                  </w:pPr>
                  <w:r>
                    <w:rPr>
                      <w:b/>
                      <w:bCs/>
                      <w:szCs w:val="21"/>
                    </w:rPr>
                    <w:t>来源</w:t>
                  </w:r>
                </w:p>
              </w:tc>
              <w:tc>
                <w:tcPr>
                  <w:tcW w:w="898" w:type="pct"/>
                  <w:vAlign w:val="center"/>
                </w:tcPr>
                <w:p w14:paraId="753A2439">
                  <w:pPr>
                    <w:jc w:val="center"/>
                    <w:rPr>
                      <w:rFonts w:hint="default" w:eastAsia="宋体"/>
                      <w:b/>
                      <w:bCs/>
                      <w:szCs w:val="21"/>
                      <w:lang w:val="en-US" w:eastAsia="zh-CN"/>
                    </w:rPr>
                  </w:pPr>
                  <w:r>
                    <w:rPr>
                      <w:rFonts w:hint="eastAsia"/>
                      <w:b/>
                      <w:bCs/>
                      <w:color w:val="FF0000"/>
                      <w:szCs w:val="21"/>
                      <w:lang w:val="en-US" w:eastAsia="zh-CN"/>
                    </w:rPr>
                    <w:t>储存位置</w:t>
                  </w:r>
                </w:p>
              </w:tc>
            </w:tr>
            <w:tr w14:paraId="6011A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5000" w:type="pct"/>
                  <w:gridSpan w:val="9"/>
                  <w:vAlign w:val="center"/>
                </w:tcPr>
                <w:p w14:paraId="2EC63D64">
                  <w:pPr>
                    <w:jc w:val="both"/>
                    <w:rPr>
                      <w:rFonts w:hint="eastAsia"/>
                      <w:b/>
                      <w:bCs/>
                      <w:szCs w:val="21"/>
                      <w:lang w:val="en-US" w:eastAsia="zh-CN"/>
                    </w:rPr>
                  </w:pPr>
                  <w:r>
                    <w:rPr>
                      <w:rFonts w:hint="eastAsia"/>
                      <w:b/>
                      <w:bCs/>
                      <w:szCs w:val="21"/>
                      <w:lang w:val="en-US" w:eastAsia="zh-CN"/>
                    </w:rPr>
                    <w:t>一、LED显示模组</w:t>
                  </w:r>
                </w:p>
              </w:tc>
            </w:tr>
            <w:tr w14:paraId="7D3F0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Align w:val="center"/>
                </w:tcPr>
                <w:p w14:paraId="4548C79A">
                  <w:pPr>
                    <w:jc w:val="center"/>
                    <w:rPr>
                      <w:szCs w:val="21"/>
                    </w:rPr>
                  </w:pPr>
                  <w:r>
                    <w:rPr>
                      <w:szCs w:val="21"/>
                    </w:rPr>
                    <w:t>1</w:t>
                  </w:r>
                </w:p>
              </w:tc>
              <w:tc>
                <w:tcPr>
                  <w:tcW w:w="764" w:type="pct"/>
                  <w:vAlign w:val="center"/>
                </w:tcPr>
                <w:p w14:paraId="141E3AA9">
                  <w:pPr>
                    <w:jc w:val="center"/>
                    <w:rPr>
                      <w:rFonts w:hint="default" w:eastAsia="宋体"/>
                      <w:szCs w:val="21"/>
                      <w:lang w:val="en-US" w:eastAsia="zh-CN"/>
                    </w:rPr>
                  </w:pPr>
                  <w:r>
                    <w:rPr>
                      <w:rFonts w:hint="eastAsia"/>
                      <w:szCs w:val="21"/>
                      <w:lang w:val="en-US" w:eastAsia="zh-CN"/>
                    </w:rPr>
                    <w:t>PCB板</w:t>
                  </w:r>
                </w:p>
              </w:tc>
              <w:tc>
                <w:tcPr>
                  <w:tcW w:w="508" w:type="pct"/>
                  <w:vAlign w:val="center"/>
                </w:tcPr>
                <w:p w14:paraId="0152DEF6">
                  <w:pPr>
                    <w:jc w:val="center"/>
                    <w:rPr>
                      <w:rFonts w:hint="default" w:eastAsia="宋体"/>
                      <w:szCs w:val="21"/>
                      <w:lang w:val="en-US" w:eastAsia="zh-CN"/>
                    </w:rPr>
                  </w:pPr>
                  <w:r>
                    <w:rPr>
                      <w:rFonts w:hint="eastAsia"/>
                      <w:szCs w:val="21"/>
                      <w:lang w:val="en-US" w:eastAsia="zh-CN"/>
                    </w:rPr>
                    <w:t>300</w:t>
                  </w:r>
                </w:p>
              </w:tc>
              <w:tc>
                <w:tcPr>
                  <w:tcW w:w="556" w:type="pct"/>
                  <w:vAlign w:val="center"/>
                </w:tcPr>
                <w:p w14:paraId="6F022C2B">
                  <w:pPr>
                    <w:jc w:val="center"/>
                    <w:rPr>
                      <w:rFonts w:hint="default" w:eastAsia="宋体"/>
                      <w:szCs w:val="21"/>
                      <w:lang w:val="en-US" w:eastAsia="zh-CN"/>
                    </w:rPr>
                  </w:pPr>
                  <w:r>
                    <w:rPr>
                      <w:rFonts w:hint="eastAsia"/>
                      <w:szCs w:val="21"/>
                      <w:lang w:val="en-US" w:eastAsia="zh-CN"/>
                    </w:rPr>
                    <w:t>万件/a</w:t>
                  </w:r>
                </w:p>
              </w:tc>
              <w:tc>
                <w:tcPr>
                  <w:tcW w:w="528" w:type="pct"/>
                  <w:vAlign w:val="center"/>
                </w:tcPr>
                <w:p w14:paraId="76CE265F">
                  <w:pPr>
                    <w:jc w:val="center"/>
                    <w:rPr>
                      <w:szCs w:val="21"/>
                    </w:rPr>
                  </w:pPr>
                  <w:r>
                    <w:rPr>
                      <w:rFonts w:hint="eastAsia"/>
                      <w:szCs w:val="21"/>
                    </w:rPr>
                    <w:t>1</w:t>
                  </w:r>
                  <w:r>
                    <w:rPr>
                      <w:szCs w:val="21"/>
                    </w:rPr>
                    <w:t>0</w:t>
                  </w:r>
                </w:p>
              </w:tc>
              <w:tc>
                <w:tcPr>
                  <w:tcW w:w="359" w:type="pct"/>
                  <w:vAlign w:val="center"/>
                </w:tcPr>
                <w:p w14:paraId="0ECE476F">
                  <w:pPr>
                    <w:jc w:val="center"/>
                    <w:rPr>
                      <w:rFonts w:hint="eastAsia" w:eastAsia="宋体"/>
                      <w:szCs w:val="21"/>
                      <w:lang w:val="en-US" w:eastAsia="zh-CN"/>
                    </w:rPr>
                  </w:pPr>
                  <w:r>
                    <w:rPr>
                      <w:rFonts w:hint="eastAsia"/>
                      <w:szCs w:val="21"/>
                      <w:lang w:val="en-US" w:eastAsia="zh-CN"/>
                    </w:rPr>
                    <w:t>固</w:t>
                  </w:r>
                </w:p>
              </w:tc>
              <w:tc>
                <w:tcPr>
                  <w:tcW w:w="606" w:type="pct"/>
                  <w:vAlign w:val="center"/>
                </w:tcPr>
                <w:p w14:paraId="312E9206">
                  <w:pPr>
                    <w:jc w:val="center"/>
                    <w:rPr>
                      <w:rFonts w:hint="eastAsia" w:eastAsia="宋体"/>
                      <w:color w:val="FF0000"/>
                      <w:szCs w:val="21"/>
                      <w:lang w:eastAsia="zh-CN"/>
                    </w:rPr>
                  </w:pPr>
                  <w:r>
                    <w:rPr>
                      <w:rFonts w:hint="eastAsia"/>
                      <w:color w:val="FF0000"/>
                      <w:szCs w:val="21"/>
                      <w:lang w:val="en-US" w:eastAsia="zh-CN"/>
                    </w:rPr>
                    <w:t>箱装</w:t>
                  </w:r>
                </w:p>
              </w:tc>
              <w:tc>
                <w:tcPr>
                  <w:tcW w:w="469" w:type="pct"/>
                  <w:vAlign w:val="center"/>
                </w:tcPr>
                <w:p w14:paraId="62A4B736">
                  <w:pPr>
                    <w:jc w:val="center"/>
                    <w:rPr>
                      <w:szCs w:val="21"/>
                    </w:rPr>
                  </w:pPr>
                  <w:r>
                    <w:rPr>
                      <w:szCs w:val="21"/>
                    </w:rPr>
                    <w:t>外购</w:t>
                  </w:r>
                </w:p>
              </w:tc>
              <w:tc>
                <w:tcPr>
                  <w:tcW w:w="898" w:type="pct"/>
                  <w:vAlign w:val="center"/>
                </w:tcPr>
                <w:p w14:paraId="7BED3AD2">
                  <w:pPr>
                    <w:jc w:val="center"/>
                    <w:rPr>
                      <w:rFonts w:hint="default" w:eastAsia="宋体"/>
                      <w:color w:val="FF0000"/>
                      <w:szCs w:val="21"/>
                      <w:lang w:val="en-US" w:eastAsia="zh-CN"/>
                    </w:rPr>
                  </w:pPr>
                  <w:r>
                    <w:rPr>
                      <w:rFonts w:hint="eastAsia"/>
                      <w:color w:val="FF0000"/>
                      <w:szCs w:val="21"/>
                      <w:lang w:val="en-US" w:eastAsia="zh-CN"/>
                    </w:rPr>
                    <w:t>原料库</w:t>
                  </w:r>
                </w:p>
              </w:tc>
            </w:tr>
            <w:tr w14:paraId="2CE7C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Align w:val="center"/>
                </w:tcPr>
                <w:p w14:paraId="103DE4DF">
                  <w:pPr>
                    <w:jc w:val="center"/>
                    <w:rPr>
                      <w:szCs w:val="21"/>
                    </w:rPr>
                  </w:pPr>
                  <w:r>
                    <w:rPr>
                      <w:rFonts w:hint="eastAsia"/>
                      <w:szCs w:val="21"/>
                    </w:rPr>
                    <w:t>2</w:t>
                  </w:r>
                </w:p>
              </w:tc>
              <w:tc>
                <w:tcPr>
                  <w:tcW w:w="764" w:type="pct"/>
                  <w:vAlign w:val="center"/>
                </w:tcPr>
                <w:p w14:paraId="318200F3">
                  <w:pPr>
                    <w:jc w:val="center"/>
                    <w:rPr>
                      <w:rFonts w:hint="default" w:eastAsia="宋体"/>
                      <w:szCs w:val="21"/>
                      <w:lang w:val="en-US" w:eastAsia="zh-CN"/>
                    </w:rPr>
                  </w:pPr>
                  <w:r>
                    <w:rPr>
                      <w:rFonts w:hint="eastAsia"/>
                      <w:szCs w:val="21"/>
                      <w:lang w:val="en-US" w:eastAsia="zh-CN"/>
                    </w:rPr>
                    <w:t>LED灯</w:t>
                  </w:r>
                </w:p>
              </w:tc>
              <w:tc>
                <w:tcPr>
                  <w:tcW w:w="508" w:type="pct"/>
                  <w:vAlign w:val="center"/>
                </w:tcPr>
                <w:p w14:paraId="636B3E1F">
                  <w:pPr>
                    <w:jc w:val="center"/>
                    <w:rPr>
                      <w:rFonts w:hint="default" w:eastAsia="宋体"/>
                      <w:szCs w:val="21"/>
                      <w:lang w:val="en-US" w:eastAsia="zh-CN"/>
                    </w:rPr>
                  </w:pPr>
                  <w:r>
                    <w:rPr>
                      <w:rFonts w:hint="eastAsia"/>
                      <w:szCs w:val="21"/>
                      <w:lang w:val="en-US" w:eastAsia="zh-CN"/>
                    </w:rPr>
                    <w:t>3.1</w:t>
                  </w:r>
                </w:p>
              </w:tc>
              <w:tc>
                <w:tcPr>
                  <w:tcW w:w="556" w:type="pct"/>
                  <w:vAlign w:val="center"/>
                </w:tcPr>
                <w:p w14:paraId="243B0EEB">
                  <w:pPr>
                    <w:jc w:val="center"/>
                    <w:rPr>
                      <w:rFonts w:hint="default" w:eastAsia="宋体"/>
                      <w:szCs w:val="21"/>
                      <w:lang w:val="en-US" w:eastAsia="zh-CN"/>
                    </w:rPr>
                  </w:pPr>
                  <w:r>
                    <w:rPr>
                      <w:rFonts w:hint="eastAsia"/>
                      <w:szCs w:val="21"/>
                      <w:lang w:val="en-US" w:eastAsia="zh-CN"/>
                    </w:rPr>
                    <w:t>亿颗/a</w:t>
                  </w:r>
                </w:p>
              </w:tc>
              <w:tc>
                <w:tcPr>
                  <w:tcW w:w="528" w:type="pct"/>
                  <w:vAlign w:val="center"/>
                </w:tcPr>
                <w:p w14:paraId="08B8172E">
                  <w:pPr>
                    <w:jc w:val="center"/>
                    <w:rPr>
                      <w:rFonts w:hint="default" w:eastAsia="宋体"/>
                      <w:szCs w:val="21"/>
                      <w:lang w:val="en-US" w:eastAsia="zh-CN"/>
                    </w:rPr>
                  </w:pPr>
                  <w:r>
                    <w:rPr>
                      <w:rFonts w:hint="eastAsia"/>
                      <w:szCs w:val="21"/>
                      <w:lang w:val="en-US" w:eastAsia="zh-CN"/>
                    </w:rPr>
                    <w:t>0.06</w:t>
                  </w:r>
                </w:p>
              </w:tc>
              <w:tc>
                <w:tcPr>
                  <w:tcW w:w="359" w:type="pct"/>
                  <w:vAlign w:val="center"/>
                </w:tcPr>
                <w:p w14:paraId="0F0499FC">
                  <w:pPr>
                    <w:jc w:val="center"/>
                    <w:rPr>
                      <w:rFonts w:hint="default"/>
                      <w:szCs w:val="21"/>
                      <w:lang w:val="en-US" w:eastAsia="zh-CN"/>
                    </w:rPr>
                  </w:pPr>
                  <w:r>
                    <w:rPr>
                      <w:rFonts w:hint="eastAsia"/>
                      <w:szCs w:val="21"/>
                      <w:lang w:val="en-US" w:eastAsia="zh-CN"/>
                    </w:rPr>
                    <w:t>固</w:t>
                  </w:r>
                </w:p>
              </w:tc>
              <w:tc>
                <w:tcPr>
                  <w:tcW w:w="606" w:type="pct"/>
                  <w:vAlign w:val="center"/>
                </w:tcPr>
                <w:p w14:paraId="195DEFF8">
                  <w:pPr>
                    <w:jc w:val="center"/>
                    <w:rPr>
                      <w:rFonts w:hint="eastAsia" w:eastAsia="宋体"/>
                      <w:color w:val="FF0000"/>
                      <w:szCs w:val="21"/>
                      <w:lang w:val="en-US" w:eastAsia="zh-CN"/>
                    </w:rPr>
                  </w:pPr>
                  <w:r>
                    <w:rPr>
                      <w:rFonts w:hint="eastAsia"/>
                      <w:color w:val="FF0000"/>
                      <w:szCs w:val="21"/>
                      <w:lang w:val="en-US" w:eastAsia="zh-CN"/>
                    </w:rPr>
                    <w:t>箱装</w:t>
                  </w:r>
                </w:p>
              </w:tc>
              <w:tc>
                <w:tcPr>
                  <w:tcW w:w="469" w:type="pct"/>
                  <w:vAlign w:val="center"/>
                </w:tcPr>
                <w:p w14:paraId="43CBAFAC">
                  <w:pPr>
                    <w:jc w:val="center"/>
                    <w:rPr>
                      <w:szCs w:val="21"/>
                    </w:rPr>
                  </w:pPr>
                  <w:r>
                    <w:rPr>
                      <w:rFonts w:hint="eastAsia"/>
                      <w:szCs w:val="21"/>
                    </w:rPr>
                    <w:t>外购</w:t>
                  </w:r>
                </w:p>
              </w:tc>
              <w:tc>
                <w:tcPr>
                  <w:tcW w:w="898" w:type="pct"/>
                  <w:vAlign w:val="center"/>
                </w:tcPr>
                <w:p w14:paraId="479C8D3C">
                  <w:pPr>
                    <w:jc w:val="center"/>
                    <w:rPr>
                      <w:rFonts w:hint="eastAsia"/>
                      <w:color w:val="FF0000"/>
                      <w:szCs w:val="21"/>
                    </w:rPr>
                  </w:pPr>
                  <w:r>
                    <w:rPr>
                      <w:rFonts w:hint="eastAsia"/>
                      <w:color w:val="FF0000"/>
                      <w:szCs w:val="21"/>
                      <w:lang w:val="en-US" w:eastAsia="zh-CN"/>
                    </w:rPr>
                    <w:t>原料库</w:t>
                  </w:r>
                </w:p>
              </w:tc>
            </w:tr>
            <w:tr w14:paraId="3449F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Align w:val="center"/>
                </w:tcPr>
                <w:p w14:paraId="77A49A38">
                  <w:pPr>
                    <w:jc w:val="center"/>
                    <w:rPr>
                      <w:szCs w:val="21"/>
                    </w:rPr>
                  </w:pPr>
                  <w:r>
                    <w:rPr>
                      <w:rFonts w:hint="eastAsia"/>
                      <w:szCs w:val="21"/>
                    </w:rPr>
                    <w:t>3</w:t>
                  </w:r>
                </w:p>
              </w:tc>
              <w:tc>
                <w:tcPr>
                  <w:tcW w:w="764" w:type="pct"/>
                  <w:vAlign w:val="center"/>
                </w:tcPr>
                <w:p w14:paraId="00BD5EDE">
                  <w:pPr>
                    <w:jc w:val="center"/>
                    <w:rPr>
                      <w:rFonts w:hint="default" w:eastAsia="宋体"/>
                      <w:szCs w:val="21"/>
                      <w:lang w:val="en-US" w:eastAsia="zh-CN"/>
                    </w:rPr>
                  </w:pPr>
                  <w:r>
                    <w:rPr>
                      <w:rFonts w:hint="eastAsia"/>
                      <w:szCs w:val="21"/>
                      <w:lang w:val="en-US" w:eastAsia="zh-CN"/>
                    </w:rPr>
                    <w:t>电子元器件</w:t>
                  </w:r>
                </w:p>
              </w:tc>
              <w:tc>
                <w:tcPr>
                  <w:tcW w:w="508" w:type="pct"/>
                  <w:vAlign w:val="center"/>
                </w:tcPr>
                <w:p w14:paraId="52648667">
                  <w:pPr>
                    <w:jc w:val="center"/>
                    <w:rPr>
                      <w:rFonts w:hint="default" w:eastAsia="宋体"/>
                      <w:szCs w:val="21"/>
                      <w:lang w:val="en-US" w:eastAsia="zh-CN"/>
                    </w:rPr>
                  </w:pPr>
                  <w:r>
                    <w:rPr>
                      <w:rFonts w:hint="eastAsia"/>
                      <w:szCs w:val="21"/>
                      <w:lang w:val="en-US" w:eastAsia="zh-CN"/>
                    </w:rPr>
                    <w:t>1</w:t>
                  </w:r>
                </w:p>
              </w:tc>
              <w:tc>
                <w:tcPr>
                  <w:tcW w:w="556" w:type="pct"/>
                  <w:vAlign w:val="center"/>
                </w:tcPr>
                <w:p w14:paraId="6BF96BF0">
                  <w:pPr>
                    <w:jc w:val="center"/>
                    <w:rPr>
                      <w:rFonts w:hint="default" w:eastAsia="宋体"/>
                      <w:szCs w:val="21"/>
                      <w:lang w:val="en-US" w:eastAsia="zh-CN"/>
                    </w:rPr>
                  </w:pPr>
                  <w:r>
                    <w:rPr>
                      <w:rFonts w:hint="eastAsia"/>
                      <w:szCs w:val="21"/>
                      <w:lang w:val="en-US" w:eastAsia="zh-CN"/>
                    </w:rPr>
                    <w:t>亿件/a</w:t>
                  </w:r>
                </w:p>
              </w:tc>
              <w:tc>
                <w:tcPr>
                  <w:tcW w:w="528" w:type="pct"/>
                  <w:vAlign w:val="center"/>
                </w:tcPr>
                <w:p w14:paraId="51779078">
                  <w:pPr>
                    <w:jc w:val="center"/>
                    <w:rPr>
                      <w:rFonts w:hint="default" w:eastAsia="宋体"/>
                      <w:szCs w:val="21"/>
                      <w:lang w:val="en-US" w:eastAsia="zh-CN"/>
                    </w:rPr>
                  </w:pPr>
                  <w:r>
                    <w:rPr>
                      <w:rFonts w:hint="eastAsia"/>
                      <w:szCs w:val="21"/>
                      <w:lang w:val="en-US" w:eastAsia="zh-CN"/>
                    </w:rPr>
                    <w:t>0.1</w:t>
                  </w:r>
                </w:p>
              </w:tc>
              <w:tc>
                <w:tcPr>
                  <w:tcW w:w="359" w:type="pct"/>
                  <w:vAlign w:val="center"/>
                </w:tcPr>
                <w:p w14:paraId="1A7EF6E2">
                  <w:pPr>
                    <w:jc w:val="center"/>
                    <w:rPr>
                      <w:rFonts w:hint="default"/>
                      <w:szCs w:val="21"/>
                      <w:lang w:val="en-US" w:eastAsia="zh-CN"/>
                    </w:rPr>
                  </w:pPr>
                  <w:r>
                    <w:rPr>
                      <w:rFonts w:hint="eastAsia"/>
                      <w:szCs w:val="21"/>
                      <w:lang w:val="en-US" w:eastAsia="zh-CN"/>
                    </w:rPr>
                    <w:t>固</w:t>
                  </w:r>
                </w:p>
              </w:tc>
              <w:tc>
                <w:tcPr>
                  <w:tcW w:w="606" w:type="pct"/>
                  <w:vAlign w:val="center"/>
                </w:tcPr>
                <w:p w14:paraId="084AF972">
                  <w:pPr>
                    <w:jc w:val="center"/>
                    <w:rPr>
                      <w:rFonts w:hint="eastAsia" w:eastAsia="宋体"/>
                      <w:color w:val="FF0000"/>
                      <w:szCs w:val="21"/>
                      <w:lang w:val="en-US" w:eastAsia="zh-CN"/>
                    </w:rPr>
                  </w:pPr>
                  <w:r>
                    <w:rPr>
                      <w:rFonts w:hint="eastAsia"/>
                      <w:color w:val="FF0000"/>
                      <w:szCs w:val="21"/>
                      <w:lang w:val="en-US" w:eastAsia="zh-CN"/>
                    </w:rPr>
                    <w:t>箱装</w:t>
                  </w:r>
                </w:p>
              </w:tc>
              <w:tc>
                <w:tcPr>
                  <w:tcW w:w="469" w:type="pct"/>
                  <w:vAlign w:val="center"/>
                </w:tcPr>
                <w:p w14:paraId="3F504947">
                  <w:pPr>
                    <w:jc w:val="center"/>
                    <w:rPr>
                      <w:szCs w:val="21"/>
                    </w:rPr>
                  </w:pPr>
                  <w:r>
                    <w:rPr>
                      <w:szCs w:val="21"/>
                    </w:rPr>
                    <w:t>外购</w:t>
                  </w:r>
                </w:p>
              </w:tc>
              <w:tc>
                <w:tcPr>
                  <w:tcW w:w="898" w:type="pct"/>
                  <w:vAlign w:val="center"/>
                </w:tcPr>
                <w:p w14:paraId="7DFF02AA">
                  <w:pPr>
                    <w:jc w:val="center"/>
                    <w:rPr>
                      <w:color w:val="FF0000"/>
                      <w:szCs w:val="21"/>
                    </w:rPr>
                  </w:pPr>
                  <w:r>
                    <w:rPr>
                      <w:rFonts w:hint="eastAsia"/>
                      <w:color w:val="FF0000"/>
                      <w:szCs w:val="21"/>
                      <w:lang w:val="en-US" w:eastAsia="zh-CN"/>
                    </w:rPr>
                    <w:t>原料库</w:t>
                  </w:r>
                </w:p>
              </w:tc>
            </w:tr>
            <w:tr w14:paraId="37D4A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Align w:val="center"/>
                </w:tcPr>
                <w:p w14:paraId="2F51F0DC">
                  <w:pPr>
                    <w:jc w:val="center"/>
                    <w:rPr>
                      <w:rFonts w:hint="eastAsia" w:eastAsia="宋体"/>
                      <w:szCs w:val="21"/>
                      <w:lang w:val="en-US" w:eastAsia="zh-CN"/>
                    </w:rPr>
                  </w:pPr>
                  <w:r>
                    <w:rPr>
                      <w:rFonts w:hint="eastAsia"/>
                      <w:szCs w:val="21"/>
                      <w:lang w:val="en-US" w:eastAsia="zh-CN"/>
                    </w:rPr>
                    <w:t>4</w:t>
                  </w:r>
                </w:p>
              </w:tc>
              <w:tc>
                <w:tcPr>
                  <w:tcW w:w="764" w:type="pct"/>
                  <w:vAlign w:val="center"/>
                </w:tcPr>
                <w:p w14:paraId="50587AE1">
                  <w:pPr>
                    <w:jc w:val="center"/>
                    <w:rPr>
                      <w:rFonts w:hint="default"/>
                      <w:szCs w:val="21"/>
                      <w:lang w:val="en-US" w:eastAsia="zh-CN"/>
                    </w:rPr>
                  </w:pPr>
                  <w:r>
                    <w:rPr>
                      <w:rFonts w:hint="eastAsia"/>
                      <w:szCs w:val="21"/>
                      <w:lang w:val="en-US" w:eastAsia="zh-CN"/>
                    </w:rPr>
                    <w:t>底壳</w:t>
                  </w:r>
                </w:p>
              </w:tc>
              <w:tc>
                <w:tcPr>
                  <w:tcW w:w="508" w:type="pct"/>
                  <w:vAlign w:val="center"/>
                </w:tcPr>
                <w:p w14:paraId="706D09FC">
                  <w:pPr>
                    <w:jc w:val="center"/>
                    <w:rPr>
                      <w:rFonts w:hint="default" w:eastAsia="宋体"/>
                      <w:szCs w:val="21"/>
                      <w:lang w:val="en-US" w:eastAsia="zh-CN"/>
                    </w:rPr>
                  </w:pPr>
                  <w:r>
                    <w:rPr>
                      <w:rFonts w:hint="eastAsia"/>
                      <w:szCs w:val="21"/>
                      <w:lang w:val="en-US" w:eastAsia="zh-CN"/>
                    </w:rPr>
                    <w:t>300</w:t>
                  </w:r>
                </w:p>
              </w:tc>
              <w:tc>
                <w:tcPr>
                  <w:tcW w:w="556" w:type="pct"/>
                  <w:vAlign w:val="center"/>
                </w:tcPr>
                <w:p w14:paraId="5497543D">
                  <w:pPr>
                    <w:jc w:val="center"/>
                    <w:rPr>
                      <w:rFonts w:hint="default" w:eastAsia="宋体"/>
                      <w:szCs w:val="21"/>
                      <w:lang w:val="en-US" w:eastAsia="zh-CN"/>
                    </w:rPr>
                  </w:pPr>
                  <w:r>
                    <w:rPr>
                      <w:rFonts w:hint="eastAsia"/>
                      <w:szCs w:val="21"/>
                      <w:lang w:val="en-US" w:eastAsia="zh-CN"/>
                    </w:rPr>
                    <w:t>万件/a</w:t>
                  </w:r>
                </w:p>
              </w:tc>
              <w:tc>
                <w:tcPr>
                  <w:tcW w:w="528" w:type="pct"/>
                  <w:vAlign w:val="center"/>
                </w:tcPr>
                <w:p w14:paraId="7C87DA61">
                  <w:pPr>
                    <w:jc w:val="center"/>
                    <w:rPr>
                      <w:rFonts w:hint="default" w:eastAsia="宋体"/>
                      <w:szCs w:val="21"/>
                      <w:lang w:val="en-US" w:eastAsia="zh-CN"/>
                    </w:rPr>
                  </w:pPr>
                  <w:r>
                    <w:rPr>
                      <w:rFonts w:hint="eastAsia"/>
                      <w:szCs w:val="21"/>
                      <w:lang w:val="en-US" w:eastAsia="zh-CN"/>
                    </w:rPr>
                    <w:t>10</w:t>
                  </w:r>
                </w:p>
              </w:tc>
              <w:tc>
                <w:tcPr>
                  <w:tcW w:w="359" w:type="pct"/>
                  <w:vAlign w:val="center"/>
                </w:tcPr>
                <w:p w14:paraId="73FBD2D7">
                  <w:pPr>
                    <w:jc w:val="center"/>
                    <w:rPr>
                      <w:rFonts w:hint="default"/>
                      <w:szCs w:val="21"/>
                      <w:lang w:val="en-US" w:eastAsia="zh-CN"/>
                    </w:rPr>
                  </w:pPr>
                  <w:r>
                    <w:rPr>
                      <w:rFonts w:hint="eastAsia"/>
                      <w:szCs w:val="21"/>
                      <w:lang w:val="en-US" w:eastAsia="zh-CN"/>
                    </w:rPr>
                    <w:t>固</w:t>
                  </w:r>
                </w:p>
              </w:tc>
              <w:tc>
                <w:tcPr>
                  <w:tcW w:w="606" w:type="pct"/>
                  <w:vAlign w:val="center"/>
                </w:tcPr>
                <w:p w14:paraId="387C900E">
                  <w:pPr>
                    <w:jc w:val="center"/>
                    <w:rPr>
                      <w:rFonts w:hint="eastAsia" w:eastAsia="宋体"/>
                      <w:color w:val="FF0000"/>
                      <w:szCs w:val="21"/>
                      <w:lang w:val="en-US" w:eastAsia="zh-CN"/>
                    </w:rPr>
                  </w:pPr>
                  <w:r>
                    <w:rPr>
                      <w:rFonts w:hint="eastAsia"/>
                      <w:color w:val="FF0000"/>
                      <w:szCs w:val="21"/>
                      <w:lang w:val="en-US" w:eastAsia="zh-CN"/>
                    </w:rPr>
                    <w:t>箱装</w:t>
                  </w:r>
                </w:p>
              </w:tc>
              <w:tc>
                <w:tcPr>
                  <w:tcW w:w="469" w:type="pct"/>
                  <w:vAlign w:val="center"/>
                </w:tcPr>
                <w:p w14:paraId="2712B163">
                  <w:pPr>
                    <w:jc w:val="center"/>
                    <w:rPr>
                      <w:rFonts w:hint="eastAsia" w:eastAsia="宋体"/>
                      <w:szCs w:val="21"/>
                      <w:lang w:val="en-US" w:eastAsia="zh-CN"/>
                    </w:rPr>
                  </w:pPr>
                  <w:r>
                    <w:rPr>
                      <w:rFonts w:hint="eastAsia"/>
                      <w:szCs w:val="21"/>
                      <w:lang w:val="en-US" w:eastAsia="zh-CN"/>
                    </w:rPr>
                    <w:t>外购</w:t>
                  </w:r>
                </w:p>
              </w:tc>
              <w:tc>
                <w:tcPr>
                  <w:tcW w:w="898" w:type="pct"/>
                  <w:vAlign w:val="center"/>
                </w:tcPr>
                <w:p w14:paraId="30179711">
                  <w:pPr>
                    <w:jc w:val="center"/>
                    <w:rPr>
                      <w:rFonts w:hint="eastAsia"/>
                      <w:color w:val="FF0000"/>
                      <w:szCs w:val="21"/>
                      <w:lang w:val="en-US" w:eastAsia="zh-CN"/>
                    </w:rPr>
                  </w:pPr>
                  <w:r>
                    <w:rPr>
                      <w:rFonts w:hint="eastAsia"/>
                      <w:color w:val="FF0000"/>
                      <w:szCs w:val="21"/>
                      <w:lang w:val="en-US" w:eastAsia="zh-CN"/>
                    </w:rPr>
                    <w:t>原料库</w:t>
                  </w:r>
                </w:p>
              </w:tc>
            </w:tr>
            <w:tr w14:paraId="5F31F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Align w:val="center"/>
                </w:tcPr>
                <w:p w14:paraId="2A688407">
                  <w:pPr>
                    <w:jc w:val="center"/>
                    <w:rPr>
                      <w:rFonts w:hint="eastAsia" w:eastAsia="宋体"/>
                      <w:szCs w:val="21"/>
                      <w:lang w:val="en-US" w:eastAsia="zh-CN"/>
                    </w:rPr>
                  </w:pPr>
                  <w:r>
                    <w:rPr>
                      <w:rFonts w:hint="eastAsia"/>
                      <w:szCs w:val="21"/>
                      <w:lang w:val="en-US" w:eastAsia="zh-CN"/>
                    </w:rPr>
                    <w:t>5</w:t>
                  </w:r>
                </w:p>
              </w:tc>
              <w:tc>
                <w:tcPr>
                  <w:tcW w:w="764" w:type="pct"/>
                  <w:vAlign w:val="center"/>
                </w:tcPr>
                <w:p w14:paraId="703104B7">
                  <w:pPr>
                    <w:jc w:val="center"/>
                    <w:rPr>
                      <w:rFonts w:hint="default"/>
                      <w:szCs w:val="21"/>
                      <w:lang w:val="en-US" w:eastAsia="zh-CN"/>
                    </w:rPr>
                  </w:pPr>
                  <w:r>
                    <w:rPr>
                      <w:rFonts w:hint="eastAsia"/>
                      <w:szCs w:val="21"/>
                      <w:lang w:val="en-US" w:eastAsia="zh-CN"/>
                    </w:rPr>
                    <w:t>面罩</w:t>
                  </w:r>
                </w:p>
              </w:tc>
              <w:tc>
                <w:tcPr>
                  <w:tcW w:w="508" w:type="pct"/>
                  <w:vAlign w:val="center"/>
                </w:tcPr>
                <w:p w14:paraId="324B010D">
                  <w:pPr>
                    <w:jc w:val="center"/>
                    <w:rPr>
                      <w:rFonts w:hint="default" w:eastAsia="宋体"/>
                      <w:szCs w:val="21"/>
                      <w:lang w:val="en-US" w:eastAsia="zh-CN"/>
                    </w:rPr>
                  </w:pPr>
                  <w:r>
                    <w:rPr>
                      <w:rFonts w:hint="eastAsia"/>
                      <w:szCs w:val="21"/>
                      <w:lang w:val="en-US" w:eastAsia="zh-CN"/>
                    </w:rPr>
                    <w:t>300</w:t>
                  </w:r>
                </w:p>
              </w:tc>
              <w:tc>
                <w:tcPr>
                  <w:tcW w:w="556" w:type="pct"/>
                  <w:vAlign w:val="center"/>
                </w:tcPr>
                <w:p w14:paraId="30BC7FE6">
                  <w:pPr>
                    <w:jc w:val="center"/>
                    <w:rPr>
                      <w:rFonts w:hint="default" w:eastAsia="宋体"/>
                      <w:szCs w:val="21"/>
                      <w:lang w:val="en-US" w:eastAsia="zh-CN"/>
                    </w:rPr>
                  </w:pPr>
                  <w:r>
                    <w:rPr>
                      <w:rFonts w:hint="eastAsia"/>
                      <w:szCs w:val="21"/>
                      <w:lang w:val="en-US" w:eastAsia="zh-CN"/>
                    </w:rPr>
                    <w:t>万件/a</w:t>
                  </w:r>
                </w:p>
              </w:tc>
              <w:tc>
                <w:tcPr>
                  <w:tcW w:w="528" w:type="pct"/>
                  <w:vAlign w:val="center"/>
                </w:tcPr>
                <w:p w14:paraId="04B6695E">
                  <w:pPr>
                    <w:jc w:val="center"/>
                    <w:rPr>
                      <w:rFonts w:hint="default" w:eastAsia="宋体"/>
                      <w:szCs w:val="21"/>
                      <w:lang w:val="en-US" w:eastAsia="zh-CN"/>
                    </w:rPr>
                  </w:pPr>
                  <w:r>
                    <w:rPr>
                      <w:rFonts w:hint="eastAsia"/>
                      <w:szCs w:val="21"/>
                      <w:lang w:val="en-US" w:eastAsia="zh-CN"/>
                    </w:rPr>
                    <w:t>10</w:t>
                  </w:r>
                </w:p>
              </w:tc>
              <w:tc>
                <w:tcPr>
                  <w:tcW w:w="359" w:type="pct"/>
                  <w:vAlign w:val="center"/>
                </w:tcPr>
                <w:p w14:paraId="7BC5618E">
                  <w:pPr>
                    <w:jc w:val="center"/>
                    <w:rPr>
                      <w:rFonts w:hint="default"/>
                      <w:szCs w:val="21"/>
                      <w:lang w:val="en-US" w:eastAsia="zh-CN"/>
                    </w:rPr>
                  </w:pPr>
                  <w:r>
                    <w:rPr>
                      <w:rFonts w:hint="eastAsia"/>
                      <w:szCs w:val="21"/>
                      <w:lang w:val="en-US" w:eastAsia="zh-CN"/>
                    </w:rPr>
                    <w:t>固</w:t>
                  </w:r>
                </w:p>
              </w:tc>
              <w:tc>
                <w:tcPr>
                  <w:tcW w:w="606" w:type="pct"/>
                  <w:vAlign w:val="center"/>
                </w:tcPr>
                <w:p w14:paraId="105BD759">
                  <w:pPr>
                    <w:jc w:val="center"/>
                    <w:rPr>
                      <w:rFonts w:hint="eastAsia" w:eastAsia="宋体"/>
                      <w:color w:val="FF0000"/>
                      <w:szCs w:val="21"/>
                      <w:lang w:val="en-US" w:eastAsia="zh-CN"/>
                    </w:rPr>
                  </w:pPr>
                  <w:r>
                    <w:rPr>
                      <w:rFonts w:hint="eastAsia"/>
                      <w:color w:val="FF0000"/>
                      <w:szCs w:val="21"/>
                      <w:lang w:val="en-US" w:eastAsia="zh-CN"/>
                    </w:rPr>
                    <w:t>箱装</w:t>
                  </w:r>
                </w:p>
              </w:tc>
              <w:tc>
                <w:tcPr>
                  <w:tcW w:w="469" w:type="pct"/>
                  <w:vAlign w:val="center"/>
                </w:tcPr>
                <w:p w14:paraId="34571DE6">
                  <w:pPr>
                    <w:jc w:val="center"/>
                    <w:rPr>
                      <w:rFonts w:hint="eastAsia" w:eastAsia="宋体"/>
                      <w:szCs w:val="21"/>
                      <w:lang w:val="en-US" w:eastAsia="zh-CN"/>
                    </w:rPr>
                  </w:pPr>
                  <w:r>
                    <w:rPr>
                      <w:rFonts w:hint="eastAsia"/>
                      <w:szCs w:val="21"/>
                      <w:lang w:val="en-US" w:eastAsia="zh-CN"/>
                    </w:rPr>
                    <w:t>外购</w:t>
                  </w:r>
                </w:p>
              </w:tc>
              <w:tc>
                <w:tcPr>
                  <w:tcW w:w="898" w:type="pct"/>
                  <w:vAlign w:val="center"/>
                </w:tcPr>
                <w:p w14:paraId="589C97E7">
                  <w:pPr>
                    <w:jc w:val="center"/>
                    <w:rPr>
                      <w:rFonts w:hint="eastAsia"/>
                      <w:color w:val="FF0000"/>
                      <w:szCs w:val="21"/>
                      <w:lang w:val="en-US" w:eastAsia="zh-CN"/>
                    </w:rPr>
                  </w:pPr>
                  <w:r>
                    <w:rPr>
                      <w:rFonts w:hint="eastAsia"/>
                      <w:color w:val="FF0000"/>
                      <w:szCs w:val="21"/>
                      <w:lang w:val="en-US" w:eastAsia="zh-CN"/>
                    </w:rPr>
                    <w:t>原料库</w:t>
                  </w:r>
                </w:p>
              </w:tc>
            </w:tr>
            <w:tr w14:paraId="53E35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Align w:val="center"/>
                </w:tcPr>
                <w:p w14:paraId="0D9F9B59">
                  <w:pPr>
                    <w:jc w:val="center"/>
                    <w:rPr>
                      <w:rFonts w:hint="eastAsia" w:eastAsia="宋体"/>
                      <w:szCs w:val="21"/>
                      <w:lang w:eastAsia="zh-CN"/>
                    </w:rPr>
                  </w:pPr>
                  <w:r>
                    <w:rPr>
                      <w:rFonts w:hint="eastAsia"/>
                      <w:szCs w:val="21"/>
                      <w:lang w:val="en-US" w:eastAsia="zh-CN"/>
                    </w:rPr>
                    <w:t>6</w:t>
                  </w:r>
                </w:p>
              </w:tc>
              <w:tc>
                <w:tcPr>
                  <w:tcW w:w="764" w:type="pct"/>
                  <w:vAlign w:val="center"/>
                </w:tcPr>
                <w:p w14:paraId="3F175C8E">
                  <w:pPr>
                    <w:jc w:val="center"/>
                    <w:rPr>
                      <w:rFonts w:hint="default" w:eastAsia="宋体"/>
                      <w:szCs w:val="21"/>
                      <w:lang w:val="en-US" w:eastAsia="zh-CN"/>
                    </w:rPr>
                  </w:pPr>
                  <w:r>
                    <w:rPr>
                      <w:rFonts w:hint="eastAsia"/>
                      <w:szCs w:val="21"/>
                      <w:lang w:val="en-US" w:eastAsia="zh-CN"/>
                    </w:rPr>
                    <w:t>电源线</w:t>
                  </w:r>
                </w:p>
              </w:tc>
              <w:tc>
                <w:tcPr>
                  <w:tcW w:w="508" w:type="pct"/>
                  <w:vAlign w:val="center"/>
                </w:tcPr>
                <w:p w14:paraId="7E468867">
                  <w:pPr>
                    <w:jc w:val="center"/>
                    <w:rPr>
                      <w:rFonts w:hint="default" w:eastAsia="宋体"/>
                      <w:kern w:val="0"/>
                      <w:szCs w:val="21"/>
                      <w:lang w:val="en-US" w:eastAsia="zh-CN" w:bidi="ar"/>
                    </w:rPr>
                  </w:pPr>
                  <w:r>
                    <w:rPr>
                      <w:rFonts w:hint="eastAsia"/>
                      <w:kern w:val="0"/>
                      <w:szCs w:val="21"/>
                      <w:lang w:val="en-US" w:eastAsia="zh-CN" w:bidi="ar"/>
                    </w:rPr>
                    <w:t>300</w:t>
                  </w:r>
                </w:p>
              </w:tc>
              <w:tc>
                <w:tcPr>
                  <w:tcW w:w="556" w:type="pct"/>
                  <w:vAlign w:val="center"/>
                </w:tcPr>
                <w:p w14:paraId="72EBC8EE">
                  <w:pPr>
                    <w:jc w:val="center"/>
                    <w:rPr>
                      <w:rFonts w:hint="default" w:eastAsia="宋体"/>
                      <w:szCs w:val="21"/>
                      <w:lang w:val="en-US" w:eastAsia="zh-CN"/>
                    </w:rPr>
                  </w:pPr>
                  <w:r>
                    <w:rPr>
                      <w:rFonts w:hint="eastAsia"/>
                      <w:szCs w:val="21"/>
                      <w:lang w:val="en-US" w:eastAsia="zh-CN"/>
                    </w:rPr>
                    <w:t>万件/a</w:t>
                  </w:r>
                </w:p>
              </w:tc>
              <w:tc>
                <w:tcPr>
                  <w:tcW w:w="528" w:type="pct"/>
                  <w:vAlign w:val="center"/>
                </w:tcPr>
                <w:p w14:paraId="5A8859DB">
                  <w:pPr>
                    <w:jc w:val="center"/>
                    <w:rPr>
                      <w:rFonts w:hint="default" w:eastAsia="宋体"/>
                      <w:szCs w:val="21"/>
                      <w:lang w:val="en-US" w:eastAsia="zh-CN"/>
                    </w:rPr>
                  </w:pPr>
                  <w:r>
                    <w:rPr>
                      <w:rFonts w:hint="eastAsia"/>
                      <w:szCs w:val="21"/>
                      <w:lang w:val="en-US" w:eastAsia="zh-CN"/>
                    </w:rPr>
                    <w:t>10</w:t>
                  </w:r>
                </w:p>
              </w:tc>
              <w:tc>
                <w:tcPr>
                  <w:tcW w:w="359" w:type="pct"/>
                  <w:vAlign w:val="center"/>
                </w:tcPr>
                <w:p w14:paraId="774D7CDB">
                  <w:pPr>
                    <w:jc w:val="center"/>
                    <w:rPr>
                      <w:rFonts w:hint="default"/>
                      <w:szCs w:val="21"/>
                      <w:lang w:val="en-US" w:eastAsia="zh-CN"/>
                    </w:rPr>
                  </w:pPr>
                  <w:r>
                    <w:rPr>
                      <w:rFonts w:hint="eastAsia"/>
                      <w:szCs w:val="21"/>
                      <w:lang w:val="en-US" w:eastAsia="zh-CN"/>
                    </w:rPr>
                    <w:t>固</w:t>
                  </w:r>
                </w:p>
              </w:tc>
              <w:tc>
                <w:tcPr>
                  <w:tcW w:w="606" w:type="pct"/>
                  <w:vAlign w:val="center"/>
                </w:tcPr>
                <w:p w14:paraId="3BEC0917">
                  <w:pPr>
                    <w:jc w:val="center"/>
                    <w:rPr>
                      <w:color w:val="FF0000"/>
                      <w:szCs w:val="21"/>
                    </w:rPr>
                  </w:pPr>
                  <w:r>
                    <w:rPr>
                      <w:rFonts w:hint="eastAsia"/>
                      <w:color w:val="FF0000"/>
                      <w:szCs w:val="21"/>
                    </w:rPr>
                    <w:t>袋装</w:t>
                  </w:r>
                </w:p>
              </w:tc>
              <w:tc>
                <w:tcPr>
                  <w:tcW w:w="469" w:type="pct"/>
                  <w:vAlign w:val="center"/>
                </w:tcPr>
                <w:p w14:paraId="69258BB9">
                  <w:pPr>
                    <w:jc w:val="center"/>
                    <w:rPr>
                      <w:szCs w:val="21"/>
                    </w:rPr>
                  </w:pPr>
                  <w:r>
                    <w:rPr>
                      <w:szCs w:val="21"/>
                    </w:rPr>
                    <w:t>外购</w:t>
                  </w:r>
                </w:p>
              </w:tc>
              <w:tc>
                <w:tcPr>
                  <w:tcW w:w="898" w:type="pct"/>
                  <w:vAlign w:val="center"/>
                </w:tcPr>
                <w:p w14:paraId="4157F0E6">
                  <w:pPr>
                    <w:jc w:val="center"/>
                    <w:rPr>
                      <w:color w:val="FF0000"/>
                      <w:szCs w:val="21"/>
                    </w:rPr>
                  </w:pPr>
                  <w:r>
                    <w:rPr>
                      <w:rFonts w:hint="eastAsia"/>
                      <w:color w:val="FF0000"/>
                      <w:szCs w:val="21"/>
                      <w:lang w:val="en-US" w:eastAsia="zh-CN"/>
                    </w:rPr>
                    <w:t>原料库</w:t>
                  </w:r>
                </w:p>
              </w:tc>
            </w:tr>
            <w:tr w14:paraId="1CBC8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Align w:val="center"/>
                </w:tcPr>
                <w:p w14:paraId="4AC5ACF0">
                  <w:pPr>
                    <w:jc w:val="center"/>
                    <w:rPr>
                      <w:rFonts w:hint="eastAsia" w:eastAsia="宋体"/>
                      <w:szCs w:val="21"/>
                      <w:lang w:eastAsia="zh-CN"/>
                    </w:rPr>
                  </w:pPr>
                  <w:r>
                    <w:rPr>
                      <w:rFonts w:hint="eastAsia"/>
                      <w:szCs w:val="21"/>
                      <w:lang w:val="en-US" w:eastAsia="zh-CN"/>
                    </w:rPr>
                    <w:t>7</w:t>
                  </w:r>
                </w:p>
              </w:tc>
              <w:tc>
                <w:tcPr>
                  <w:tcW w:w="764" w:type="pct"/>
                  <w:vAlign w:val="center"/>
                </w:tcPr>
                <w:p w14:paraId="1C884250">
                  <w:pPr>
                    <w:jc w:val="center"/>
                    <w:rPr>
                      <w:rFonts w:hint="default" w:eastAsia="宋体"/>
                      <w:szCs w:val="21"/>
                      <w:lang w:val="en-US" w:eastAsia="zh-CN"/>
                    </w:rPr>
                  </w:pPr>
                  <w:r>
                    <w:rPr>
                      <w:rFonts w:hint="eastAsia"/>
                      <w:szCs w:val="21"/>
                      <w:lang w:val="en-US" w:eastAsia="zh-CN"/>
                    </w:rPr>
                    <w:t>锡膏</w:t>
                  </w:r>
                </w:p>
              </w:tc>
              <w:tc>
                <w:tcPr>
                  <w:tcW w:w="508" w:type="pct"/>
                  <w:vAlign w:val="center"/>
                </w:tcPr>
                <w:p w14:paraId="5F9B0C01">
                  <w:pPr>
                    <w:jc w:val="center"/>
                    <w:rPr>
                      <w:rFonts w:hint="default" w:eastAsia="宋体"/>
                      <w:szCs w:val="21"/>
                      <w:lang w:val="en-US" w:eastAsia="zh-CN"/>
                    </w:rPr>
                  </w:pPr>
                  <w:r>
                    <w:rPr>
                      <w:rFonts w:hint="eastAsia"/>
                      <w:color w:val="FF0000"/>
                      <w:szCs w:val="21"/>
                      <w:lang w:val="en-US" w:eastAsia="zh-CN"/>
                    </w:rPr>
                    <w:t>14.256</w:t>
                  </w:r>
                </w:p>
              </w:tc>
              <w:tc>
                <w:tcPr>
                  <w:tcW w:w="556" w:type="pct"/>
                  <w:vAlign w:val="center"/>
                </w:tcPr>
                <w:p w14:paraId="1DA52CDE">
                  <w:pPr>
                    <w:jc w:val="center"/>
                    <w:rPr>
                      <w:szCs w:val="21"/>
                    </w:rPr>
                  </w:pPr>
                  <w:r>
                    <w:rPr>
                      <w:rFonts w:hint="eastAsia"/>
                      <w:szCs w:val="21"/>
                    </w:rPr>
                    <w:t>t</w:t>
                  </w:r>
                  <w:r>
                    <w:rPr>
                      <w:szCs w:val="21"/>
                    </w:rPr>
                    <w:t>/a</w:t>
                  </w:r>
                </w:p>
              </w:tc>
              <w:tc>
                <w:tcPr>
                  <w:tcW w:w="528" w:type="pct"/>
                  <w:vAlign w:val="center"/>
                </w:tcPr>
                <w:p w14:paraId="3BE327BA">
                  <w:pPr>
                    <w:jc w:val="center"/>
                    <w:rPr>
                      <w:rFonts w:hint="eastAsia" w:eastAsia="宋体"/>
                      <w:szCs w:val="21"/>
                      <w:lang w:val="en-US" w:eastAsia="zh-CN"/>
                    </w:rPr>
                  </w:pPr>
                  <w:r>
                    <w:rPr>
                      <w:rFonts w:hint="eastAsia"/>
                      <w:szCs w:val="21"/>
                      <w:lang w:val="en-US" w:eastAsia="zh-CN"/>
                    </w:rPr>
                    <w:t>1</w:t>
                  </w:r>
                </w:p>
              </w:tc>
              <w:tc>
                <w:tcPr>
                  <w:tcW w:w="359" w:type="pct"/>
                  <w:vAlign w:val="center"/>
                </w:tcPr>
                <w:p w14:paraId="5239944D">
                  <w:pPr>
                    <w:jc w:val="center"/>
                    <w:rPr>
                      <w:rFonts w:hint="default"/>
                      <w:szCs w:val="21"/>
                      <w:lang w:val="en-US" w:eastAsia="zh-CN"/>
                    </w:rPr>
                  </w:pPr>
                  <w:r>
                    <w:rPr>
                      <w:rFonts w:hint="eastAsia"/>
                      <w:szCs w:val="21"/>
                      <w:lang w:val="en-US" w:eastAsia="zh-CN"/>
                    </w:rPr>
                    <w:t>液</w:t>
                  </w:r>
                </w:p>
              </w:tc>
              <w:tc>
                <w:tcPr>
                  <w:tcW w:w="606" w:type="pct"/>
                  <w:vAlign w:val="center"/>
                </w:tcPr>
                <w:p w14:paraId="5B20B4A5">
                  <w:pPr>
                    <w:jc w:val="center"/>
                    <w:rPr>
                      <w:rFonts w:hint="default" w:eastAsia="宋体"/>
                      <w:color w:val="FF0000"/>
                      <w:szCs w:val="21"/>
                      <w:lang w:val="en-US" w:eastAsia="zh-CN"/>
                    </w:rPr>
                  </w:pPr>
                  <w:r>
                    <w:rPr>
                      <w:rFonts w:hint="eastAsia"/>
                      <w:color w:val="FF0000"/>
                      <w:szCs w:val="21"/>
                      <w:lang w:val="en-US" w:eastAsia="zh-CN"/>
                    </w:rPr>
                    <w:t>500g/罐</w:t>
                  </w:r>
                </w:p>
              </w:tc>
              <w:tc>
                <w:tcPr>
                  <w:tcW w:w="469" w:type="pct"/>
                  <w:vAlign w:val="center"/>
                </w:tcPr>
                <w:p w14:paraId="10BF08DE">
                  <w:pPr>
                    <w:jc w:val="center"/>
                    <w:rPr>
                      <w:szCs w:val="21"/>
                    </w:rPr>
                  </w:pPr>
                  <w:r>
                    <w:rPr>
                      <w:szCs w:val="21"/>
                    </w:rPr>
                    <w:t>外购</w:t>
                  </w:r>
                </w:p>
              </w:tc>
              <w:tc>
                <w:tcPr>
                  <w:tcW w:w="898" w:type="pct"/>
                  <w:vAlign w:val="center"/>
                </w:tcPr>
                <w:p w14:paraId="5E794429">
                  <w:pPr>
                    <w:jc w:val="center"/>
                    <w:rPr>
                      <w:rFonts w:hint="default"/>
                      <w:color w:val="FF0000"/>
                      <w:szCs w:val="21"/>
                      <w:lang w:val="en-US"/>
                    </w:rPr>
                  </w:pPr>
                  <w:r>
                    <w:rPr>
                      <w:rFonts w:hint="eastAsia"/>
                      <w:color w:val="FF0000"/>
                      <w:szCs w:val="21"/>
                      <w:lang w:val="en-US" w:eastAsia="zh-CN"/>
                    </w:rPr>
                    <w:t>冷藏柜（0～10℃）</w:t>
                  </w:r>
                </w:p>
              </w:tc>
            </w:tr>
            <w:tr w14:paraId="0E9DE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Align w:val="center"/>
                </w:tcPr>
                <w:p w14:paraId="728EEAE5">
                  <w:pPr>
                    <w:jc w:val="center"/>
                    <w:rPr>
                      <w:rFonts w:hint="default" w:eastAsia="宋体"/>
                      <w:szCs w:val="21"/>
                      <w:lang w:val="en-US" w:eastAsia="zh-CN"/>
                    </w:rPr>
                  </w:pPr>
                  <w:r>
                    <w:rPr>
                      <w:rFonts w:hint="eastAsia"/>
                      <w:szCs w:val="21"/>
                      <w:lang w:val="en-US" w:eastAsia="zh-CN"/>
                    </w:rPr>
                    <w:t>8</w:t>
                  </w:r>
                </w:p>
              </w:tc>
              <w:tc>
                <w:tcPr>
                  <w:tcW w:w="764" w:type="pct"/>
                  <w:vAlign w:val="center"/>
                </w:tcPr>
                <w:p w14:paraId="6FD639B1">
                  <w:pPr>
                    <w:jc w:val="center"/>
                    <w:rPr>
                      <w:rFonts w:hint="default" w:eastAsia="宋体"/>
                      <w:szCs w:val="21"/>
                      <w:lang w:val="en-US" w:eastAsia="zh-CN"/>
                    </w:rPr>
                  </w:pPr>
                  <w:r>
                    <w:rPr>
                      <w:rFonts w:hint="eastAsia"/>
                      <w:szCs w:val="21"/>
                      <w:lang w:val="en-US" w:eastAsia="zh-CN"/>
                    </w:rPr>
                    <w:t>锡丝</w:t>
                  </w:r>
                </w:p>
              </w:tc>
              <w:tc>
                <w:tcPr>
                  <w:tcW w:w="508" w:type="pct"/>
                  <w:vAlign w:val="center"/>
                </w:tcPr>
                <w:p w14:paraId="51B0B7C0">
                  <w:pPr>
                    <w:jc w:val="center"/>
                    <w:rPr>
                      <w:rFonts w:hint="default" w:eastAsia="宋体"/>
                      <w:szCs w:val="21"/>
                      <w:lang w:val="en-US" w:eastAsia="zh-CN"/>
                    </w:rPr>
                  </w:pPr>
                  <w:r>
                    <w:rPr>
                      <w:rFonts w:hint="eastAsia"/>
                      <w:szCs w:val="21"/>
                      <w:lang w:val="en-US" w:eastAsia="zh-CN"/>
                    </w:rPr>
                    <w:t>0.15</w:t>
                  </w:r>
                </w:p>
              </w:tc>
              <w:tc>
                <w:tcPr>
                  <w:tcW w:w="556" w:type="pct"/>
                  <w:vAlign w:val="center"/>
                </w:tcPr>
                <w:p w14:paraId="5AE853FA">
                  <w:pPr>
                    <w:jc w:val="center"/>
                    <w:rPr>
                      <w:szCs w:val="21"/>
                    </w:rPr>
                  </w:pPr>
                  <w:r>
                    <w:rPr>
                      <w:rFonts w:hint="eastAsia"/>
                      <w:szCs w:val="21"/>
                    </w:rPr>
                    <w:t>t</w:t>
                  </w:r>
                  <w:r>
                    <w:rPr>
                      <w:szCs w:val="21"/>
                    </w:rPr>
                    <w:t>/a</w:t>
                  </w:r>
                </w:p>
              </w:tc>
              <w:tc>
                <w:tcPr>
                  <w:tcW w:w="528" w:type="pct"/>
                  <w:vAlign w:val="center"/>
                </w:tcPr>
                <w:p w14:paraId="6A016F1B">
                  <w:pPr>
                    <w:jc w:val="center"/>
                    <w:rPr>
                      <w:rFonts w:hint="default" w:eastAsia="宋体"/>
                      <w:szCs w:val="21"/>
                      <w:lang w:val="en-US" w:eastAsia="zh-CN"/>
                    </w:rPr>
                  </w:pPr>
                  <w:r>
                    <w:rPr>
                      <w:rFonts w:hint="eastAsia"/>
                      <w:szCs w:val="21"/>
                      <w:lang w:val="en-US" w:eastAsia="zh-CN"/>
                    </w:rPr>
                    <w:t>0.01</w:t>
                  </w:r>
                </w:p>
              </w:tc>
              <w:tc>
                <w:tcPr>
                  <w:tcW w:w="359" w:type="pct"/>
                  <w:vAlign w:val="center"/>
                </w:tcPr>
                <w:p w14:paraId="0FC95730">
                  <w:pPr>
                    <w:jc w:val="center"/>
                    <w:rPr>
                      <w:rFonts w:hint="default"/>
                      <w:szCs w:val="21"/>
                      <w:lang w:val="en-US" w:eastAsia="zh-CN"/>
                    </w:rPr>
                  </w:pPr>
                  <w:r>
                    <w:rPr>
                      <w:rFonts w:hint="eastAsia"/>
                      <w:szCs w:val="21"/>
                      <w:lang w:val="en-US" w:eastAsia="zh-CN"/>
                    </w:rPr>
                    <w:t>固</w:t>
                  </w:r>
                </w:p>
              </w:tc>
              <w:tc>
                <w:tcPr>
                  <w:tcW w:w="606" w:type="pct"/>
                  <w:vAlign w:val="center"/>
                </w:tcPr>
                <w:p w14:paraId="4DC1E17B">
                  <w:pPr>
                    <w:jc w:val="center"/>
                    <w:rPr>
                      <w:rFonts w:hint="eastAsia" w:eastAsia="宋体"/>
                      <w:color w:val="FF0000"/>
                      <w:szCs w:val="21"/>
                      <w:lang w:eastAsia="zh-CN"/>
                    </w:rPr>
                  </w:pPr>
                  <w:r>
                    <w:rPr>
                      <w:rFonts w:hint="eastAsia"/>
                      <w:color w:val="FF0000"/>
                      <w:szCs w:val="21"/>
                      <w:lang w:val="en-US" w:eastAsia="zh-CN"/>
                    </w:rPr>
                    <w:t>捆装</w:t>
                  </w:r>
                </w:p>
              </w:tc>
              <w:tc>
                <w:tcPr>
                  <w:tcW w:w="469" w:type="pct"/>
                  <w:vAlign w:val="center"/>
                </w:tcPr>
                <w:p w14:paraId="21F400CE">
                  <w:pPr>
                    <w:jc w:val="center"/>
                    <w:rPr>
                      <w:szCs w:val="21"/>
                    </w:rPr>
                  </w:pPr>
                  <w:r>
                    <w:rPr>
                      <w:szCs w:val="21"/>
                    </w:rPr>
                    <w:t>外购</w:t>
                  </w:r>
                </w:p>
              </w:tc>
              <w:tc>
                <w:tcPr>
                  <w:tcW w:w="898" w:type="pct"/>
                  <w:vAlign w:val="center"/>
                </w:tcPr>
                <w:p w14:paraId="060FD1A2">
                  <w:pPr>
                    <w:jc w:val="center"/>
                    <w:rPr>
                      <w:color w:val="FF0000"/>
                      <w:szCs w:val="21"/>
                    </w:rPr>
                  </w:pPr>
                  <w:r>
                    <w:rPr>
                      <w:rFonts w:hint="eastAsia"/>
                      <w:color w:val="FF0000"/>
                      <w:szCs w:val="21"/>
                      <w:lang w:val="en-US" w:eastAsia="zh-CN"/>
                    </w:rPr>
                    <w:t>原料库</w:t>
                  </w:r>
                </w:p>
              </w:tc>
            </w:tr>
            <w:tr w14:paraId="5FBD1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Align w:val="center"/>
                </w:tcPr>
                <w:p w14:paraId="3CEEEB3C">
                  <w:pPr>
                    <w:jc w:val="center"/>
                    <w:rPr>
                      <w:rFonts w:hint="default" w:eastAsia="宋体"/>
                      <w:szCs w:val="21"/>
                      <w:lang w:val="en-US" w:eastAsia="zh-CN"/>
                    </w:rPr>
                  </w:pPr>
                  <w:r>
                    <w:rPr>
                      <w:rFonts w:hint="eastAsia"/>
                      <w:szCs w:val="21"/>
                      <w:lang w:val="en-US" w:eastAsia="zh-CN"/>
                    </w:rPr>
                    <w:t>9</w:t>
                  </w:r>
                </w:p>
              </w:tc>
              <w:tc>
                <w:tcPr>
                  <w:tcW w:w="764" w:type="pct"/>
                  <w:vAlign w:val="center"/>
                </w:tcPr>
                <w:p w14:paraId="34C3422D">
                  <w:pPr>
                    <w:jc w:val="center"/>
                    <w:rPr>
                      <w:rFonts w:hint="eastAsia" w:ascii="宋体" w:eastAsia="宋体" w:cs="宋体"/>
                      <w:kern w:val="0"/>
                      <w:szCs w:val="21"/>
                      <w:lang w:eastAsia="zh-CN"/>
                    </w:rPr>
                  </w:pPr>
                  <w:r>
                    <w:rPr>
                      <w:rFonts w:hint="eastAsia" w:ascii="Times New Roman" w:hAnsi="Times New Roman" w:eastAsia="宋体" w:cs="Times New Roman"/>
                      <w:szCs w:val="21"/>
                      <w:lang w:val="en-US" w:eastAsia="zh-CN"/>
                    </w:rPr>
                    <w:t>酒精（98%）</w:t>
                  </w:r>
                </w:p>
              </w:tc>
              <w:tc>
                <w:tcPr>
                  <w:tcW w:w="508" w:type="pct"/>
                  <w:vAlign w:val="center"/>
                </w:tcPr>
                <w:p w14:paraId="41CE88F9">
                  <w:pPr>
                    <w:jc w:val="center"/>
                    <w:rPr>
                      <w:rFonts w:hint="default" w:eastAsia="宋体"/>
                      <w:szCs w:val="21"/>
                      <w:lang w:val="en-US" w:eastAsia="zh-CN"/>
                    </w:rPr>
                  </w:pPr>
                  <w:r>
                    <w:rPr>
                      <w:rFonts w:hint="eastAsia"/>
                      <w:szCs w:val="21"/>
                      <w:lang w:val="en-US" w:eastAsia="zh-CN"/>
                    </w:rPr>
                    <w:t>0.4</w:t>
                  </w:r>
                </w:p>
              </w:tc>
              <w:tc>
                <w:tcPr>
                  <w:tcW w:w="556" w:type="pct"/>
                  <w:vAlign w:val="center"/>
                </w:tcPr>
                <w:p w14:paraId="468D451C">
                  <w:pPr>
                    <w:jc w:val="center"/>
                    <w:rPr>
                      <w:szCs w:val="21"/>
                    </w:rPr>
                  </w:pPr>
                  <w:r>
                    <w:rPr>
                      <w:rFonts w:hint="eastAsia"/>
                      <w:szCs w:val="21"/>
                    </w:rPr>
                    <w:t>t</w:t>
                  </w:r>
                  <w:r>
                    <w:rPr>
                      <w:szCs w:val="21"/>
                    </w:rPr>
                    <w:t>/a</w:t>
                  </w:r>
                </w:p>
              </w:tc>
              <w:tc>
                <w:tcPr>
                  <w:tcW w:w="528" w:type="pct"/>
                  <w:vAlign w:val="center"/>
                </w:tcPr>
                <w:p w14:paraId="0FAFEF14">
                  <w:pPr>
                    <w:jc w:val="center"/>
                    <w:rPr>
                      <w:rFonts w:hint="default" w:eastAsia="宋体"/>
                      <w:szCs w:val="21"/>
                      <w:lang w:val="en-US" w:eastAsia="zh-CN"/>
                    </w:rPr>
                  </w:pPr>
                  <w:r>
                    <w:rPr>
                      <w:rFonts w:hint="eastAsia"/>
                      <w:szCs w:val="21"/>
                      <w:lang w:val="en-US" w:eastAsia="zh-CN"/>
                    </w:rPr>
                    <w:t>0.05</w:t>
                  </w:r>
                </w:p>
              </w:tc>
              <w:tc>
                <w:tcPr>
                  <w:tcW w:w="359" w:type="pct"/>
                  <w:vAlign w:val="center"/>
                </w:tcPr>
                <w:p w14:paraId="6B3595A2">
                  <w:pPr>
                    <w:jc w:val="center"/>
                    <w:rPr>
                      <w:rFonts w:hint="default"/>
                      <w:szCs w:val="21"/>
                      <w:lang w:val="en-US" w:eastAsia="zh-CN"/>
                    </w:rPr>
                  </w:pPr>
                  <w:r>
                    <w:rPr>
                      <w:rFonts w:hint="eastAsia"/>
                      <w:szCs w:val="21"/>
                      <w:lang w:val="en-US" w:eastAsia="zh-CN"/>
                    </w:rPr>
                    <w:t>液</w:t>
                  </w:r>
                </w:p>
              </w:tc>
              <w:tc>
                <w:tcPr>
                  <w:tcW w:w="606" w:type="pct"/>
                  <w:vAlign w:val="center"/>
                </w:tcPr>
                <w:p w14:paraId="2B697D05">
                  <w:pPr>
                    <w:jc w:val="center"/>
                    <w:rPr>
                      <w:rFonts w:hint="default" w:eastAsia="宋体"/>
                      <w:color w:val="FF0000"/>
                      <w:szCs w:val="21"/>
                      <w:lang w:val="en-US" w:eastAsia="zh-CN"/>
                    </w:rPr>
                  </w:pPr>
                  <w:r>
                    <w:rPr>
                      <w:rFonts w:hint="eastAsia"/>
                      <w:color w:val="FF0000"/>
                      <w:szCs w:val="21"/>
                      <w:lang w:val="en-US" w:eastAsia="zh-CN"/>
                    </w:rPr>
                    <w:t>10kg/桶</w:t>
                  </w:r>
                </w:p>
              </w:tc>
              <w:tc>
                <w:tcPr>
                  <w:tcW w:w="469" w:type="pct"/>
                  <w:vAlign w:val="center"/>
                </w:tcPr>
                <w:p w14:paraId="08EDE403">
                  <w:pPr>
                    <w:jc w:val="center"/>
                    <w:rPr>
                      <w:szCs w:val="21"/>
                    </w:rPr>
                  </w:pPr>
                  <w:r>
                    <w:rPr>
                      <w:szCs w:val="21"/>
                    </w:rPr>
                    <w:t>外购</w:t>
                  </w:r>
                </w:p>
              </w:tc>
              <w:tc>
                <w:tcPr>
                  <w:tcW w:w="898" w:type="pct"/>
                  <w:vAlign w:val="center"/>
                </w:tcPr>
                <w:p w14:paraId="16492860">
                  <w:pPr>
                    <w:jc w:val="center"/>
                    <w:rPr>
                      <w:color w:val="FF0000"/>
                      <w:szCs w:val="21"/>
                    </w:rPr>
                  </w:pPr>
                  <w:r>
                    <w:rPr>
                      <w:rFonts w:hint="eastAsia"/>
                      <w:color w:val="FF0000"/>
                      <w:szCs w:val="21"/>
                      <w:lang w:val="en-US" w:eastAsia="zh-CN"/>
                    </w:rPr>
                    <w:t>安全防爆柜</w:t>
                  </w:r>
                </w:p>
              </w:tc>
            </w:tr>
            <w:tr w14:paraId="6D6E5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Align w:val="center"/>
                </w:tcPr>
                <w:p w14:paraId="035C21B4">
                  <w:pPr>
                    <w:jc w:val="center"/>
                    <w:rPr>
                      <w:rFonts w:hint="default" w:eastAsia="宋体"/>
                      <w:szCs w:val="21"/>
                      <w:lang w:val="en-US" w:eastAsia="zh-CN"/>
                    </w:rPr>
                  </w:pPr>
                  <w:r>
                    <w:rPr>
                      <w:rFonts w:hint="eastAsia"/>
                      <w:szCs w:val="21"/>
                      <w:lang w:val="en-US" w:eastAsia="zh-CN"/>
                    </w:rPr>
                    <w:t>10</w:t>
                  </w:r>
                </w:p>
              </w:tc>
              <w:tc>
                <w:tcPr>
                  <w:tcW w:w="764" w:type="pct"/>
                  <w:vAlign w:val="center"/>
                </w:tcPr>
                <w:p w14:paraId="0FFB1085">
                  <w:pPr>
                    <w:jc w:val="center"/>
                    <w:rPr>
                      <w:rFonts w:hint="default" w:ascii="宋体" w:cs="宋体"/>
                      <w:kern w:val="0"/>
                      <w:szCs w:val="21"/>
                      <w:lang w:val="en-US" w:eastAsia="zh-CN"/>
                    </w:rPr>
                  </w:pPr>
                  <w:r>
                    <w:rPr>
                      <w:rFonts w:hint="eastAsia" w:ascii="宋体" w:cs="宋体"/>
                      <w:kern w:val="0"/>
                      <w:szCs w:val="21"/>
                      <w:lang w:val="en-US" w:eastAsia="zh-CN"/>
                    </w:rPr>
                    <w:t>无尘擦拭纸</w:t>
                  </w:r>
                </w:p>
              </w:tc>
              <w:tc>
                <w:tcPr>
                  <w:tcW w:w="508" w:type="pct"/>
                  <w:vAlign w:val="center"/>
                </w:tcPr>
                <w:p w14:paraId="4FA6AC35">
                  <w:pPr>
                    <w:jc w:val="center"/>
                    <w:rPr>
                      <w:rFonts w:hint="default" w:eastAsia="宋体"/>
                      <w:szCs w:val="21"/>
                      <w:lang w:val="en-US" w:eastAsia="zh-CN"/>
                    </w:rPr>
                  </w:pPr>
                  <w:r>
                    <w:rPr>
                      <w:rFonts w:hint="eastAsia"/>
                      <w:szCs w:val="21"/>
                      <w:lang w:val="en-US" w:eastAsia="zh-CN"/>
                    </w:rPr>
                    <w:t>10000</w:t>
                  </w:r>
                </w:p>
              </w:tc>
              <w:tc>
                <w:tcPr>
                  <w:tcW w:w="556" w:type="pct"/>
                  <w:vAlign w:val="center"/>
                </w:tcPr>
                <w:p w14:paraId="44E66463">
                  <w:pPr>
                    <w:jc w:val="center"/>
                    <w:rPr>
                      <w:rFonts w:hint="default" w:eastAsia="宋体"/>
                      <w:szCs w:val="21"/>
                      <w:lang w:val="en-US" w:eastAsia="zh-CN"/>
                    </w:rPr>
                  </w:pPr>
                  <w:r>
                    <w:rPr>
                      <w:rFonts w:hint="eastAsia"/>
                      <w:szCs w:val="21"/>
                      <w:lang w:val="en-US" w:eastAsia="zh-CN"/>
                    </w:rPr>
                    <w:t>张/a</w:t>
                  </w:r>
                </w:p>
              </w:tc>
              <w:tc>
                <w:tcPr>
                  <w:tcW w:w="528" w:type="pct"/>
                  <w:vAlign w:val="center"/>
                </w:tcPr>
                <w:p w14:paraId="70719B62">
                  <w:pPr>
                    <w:jc w:val="center"/>
                    <w:rPr>
                      <w:rFonts w:hint="default" w:eastAsia="宋体"/>
                      <w:szCs w:val="21"/>
                      <w:lang w:val="en-US" w:eastAsia="zh-CN"/>
                    </w:rPr>
                  </w:pPr>
                  <w:r>
                    <w:rPr>
                      <w:rFonts w:hint="eastAsia"/>
                      <w:szCs w:val="21"/>
                      <w:lang w:val="en-US" w:eastAsia="zh-CN"/>
                    </w:rPr>
                    <w:t>1000</w:t>
                  </w:r>
                </w:p>
              </w:tc>
              <w:tc>
                <w:tcPr>
                  <w:tcW w:w="359" w:type="pct"/>
                  <w:vAlign w:val="center"/>
                </w:tcPr>
                <w:p w14:paraId="4C48F447">
                  <w:pPr>
                    <w:jc w:val="center"/>
                    <w:rPr>
                      <w:rFonts w:hint="default"/>
                      <w:szCs w:val="21"/>
                      <w:lang w:val="en-US" w:eastAsia="zh-CN"/>
                    </w:rPr>
                  </w:pPr>
                  <w:r>
                    <w:rPr>
                      <w:rFonts w:hint="eastAsia"/>
                      <w:szCs w:val="21"/>
                      <w:lang w:val="en-US" w:eastAsia="zh-CN"/>
                    </w:rPr>
                    <w:t>固</w:t>
                  </w:r>
                </w:p>
              </w:tc>
              <w:tc>
                <w:tcPr>
                  <w:tcW w:w="606" w:type="pct"/>
                  <w:vAlign w:val="center"/>
                </w:tcPr>
                <w:p w14:paraId="5F732ACC">
                  <w:pPr>
                    <w:jc w:val="center"/>
                    <w:rPr>
                      <w:rFonts w:hint="eastAsia" w:eastAsia="宋体"/>
                      <w:color w:val="FF0000"/>
                      <w:szCs w:val="21"/>
                      <w:lang w:val="en-US" w:eastAsia="zh-CN"/>
                    </w:rPr>
                  </w:pPr>
                  <w:r>
                    <w:rPr>
                      <w:rFonts w:hint="eastAsia"/>
                      <w:color w:val="FF0000"/>
                      <w:szCs w:val="21"/>
                      <w:lang w:val="en-US" w:eastAsia="zh-CN"/>
                    </w:rPr>
                    <w:t>箱装</w:t>
                  </w:r>
                </w:p>
              </w:tc>
              <w:tc>
                <w:tcPr>
                  <w:tcW w:w="469" w:type="pct"/>
                  <w:vAlign w:val="center"/>
                </w:tcPr>
                <w:p w14:paraId="69FBB860">
                  <w:pPr>
                    <w:jc w:val="center"/>
                    <w:rPr>
                      <w:rFonts w:hint="default" w:eastAsia="宋体"/>
                      <w:szCs w:val="21"/>
                      <w:lang w:val="en-US" w:eastAsia="zh-CN"/>
                    </w:rPr>
                  </w:pPr>
                  <w:r>
                    <w:rPr>
                      <w:rFonts w:hint="eastAsia"/>
                      <w:szCs w:val="21"/>
                      <w:lang w:val="en-US" w:eastAsia="zh-CN"/>
                    </w:rPr>
                    <w:t>外购</w:t>
                  </w:r>
                </w:p>
              </w:tc>
              <w:tc>
                <w:tcPr>
                  <w:tcW w:w="898" w:type="pct"/>
                  <w:vAlign w:val="center"/>
                </w:tcPr>
                <w:p w14:paraId="2087BCBD">
                  <w:pPr>
                    <w:jc w:val="center"/>
                    <w:rPr>
                      <w:rFonts w:hint="eastAsia"/>
                      <w:color w:val="FF0000"/>
                      <w:szCs w:val="21"/>
                      <w:lang w:val="en-US" w:eastAsia="zh-CN"/>
                    </w:rPr>
                  </w:pPr>
                  <w:r>
                    <w:rPr>
                      <w:rFonts w:hint="eastAsia"/>
                      <w:color w:val="FF0000"/>
                      <w:szCs w:val="21"/>
                      <w:lang w:val="en-US" w:eastAsia="zh-CN"/>
                    </w:rPr>
                    <w:t>原料库</w:t>
                  </w:r>
                </w:p>
              </w:tc>
            </w:tr>
            <w:tr w14:paraId="420F5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Align w:val="center"/>
                </w:tcPr>
                <w:p w14:paraId="5B32EA9A">
                  <w:pPr>
                    <w:jc w:val="center"/>
                    <w:rPr>
                      <w:rFonts w:hint="default" w:eastAsia="宋体"/>
                      <w:szCs w:val="21"/>
                      <w:lang w:val="en-US" w:eastAsia="zh-CN"/>
                    </w:rPr>
                  </w:pPr>
                  <w:r>
                    <w:rPr>
                      <w:rFonts w:hint="eastAsia"/>
                      <w:szCs w:val="21"/>
                      <w:lang w:val="en-US" w:eastAsia="zh-CN"/>
                    </w:rPr>
                    <w:t>11</w:t>
                  </w:r>
                </w:p>
              </w:tc>
              <w:tc>
                <w:tcPr>
                  <w:tcW w:w="764" w:type="pct"/>
                  <w:vAlign w:val="center"/>
                </w:tcPr>
                <w:p w14:paraId="486B3731">
                  <w:pPr>
                    <w:jc w:val="center"/>
                    <w:rPr>
                      <w:rFonts w:hint="default" w:ascii="宋体" w:cs="宋体"/>
                      <w:kern w:val="0"/>
                      <w:szCs w:val="21"/>
                      <w:lang w:val="en-US" w:eastAsia="zh-CN"/>
                    </w:rPr>
                  </w:pPr>
                  <w:r>
                    <w:rPr>
                      <w:rFonts w:hint="eastAsia" w:ascii="宋体" w:cs="宋体"/>
                      <w:kern w:val="0"/>
                      <w:szCs w:val="21"/>
                      <w:lang w:val="en-US" w:eastAsia="zh-CN"/>
                    </w:rPr>
                    <w:t>纸箱</w:t>
                  </w:r>
                </w:p>
              </w:tc>
              <w:tc>
                <w:tcPr>
                  <w:tcW w:w="508" w:type="pct"/>
                  <w:vAlign w:val="center"/>
                </w:tcPr>
                <w:p w14:paraId="763B3879">
                  <w:pPr>
                    <w:jc w:val="center"/>
                    <w:rPr>
                      <w:rFonts w:hint="default" w:eastAsia="宋体"/>
                      <w:szCs w:val="21"/>
                      <w:lang w:val="en-US" w:eastAsia="zh-CN"/>
                    </w:rPr>
                  </w:pPr>
                  <w:r>
                    <w:rPr>
                      <w:rFonts w:hint="eastAsia"/>
                      <w:color w:val="FF0000"/>
                      <w:szCs w:val="21"/>
                      <w:lang w:val="en-US" w:eastAsia="zh-CN"/>
                    </w:rPr>
                    <w:t>300</w:t>
                  </w:r>
                </w:p>
              </w:tc>
              <w:tc>
                <w:tcPr>
                  <w:tcW w:w="556" w:type="pct"/>
                  <w:vAlign w:val="center"/>
                </w:tcPr>
                <w:p w14:paraId="2D5CAECB">
                  <w:pPr>
                    <w:jc w:val="center"/>
                    <w:rPr>
                      <w:rFonts w:hint="default" w:eastAsia="宋体"/>
                      <w:szCs w:val="21"/>
                      <w:lang w:val="en-US" w:eastAsia="zh-CN"/>
                    </w:rPr>
                  </w:pPr>
                  <w:r>
                    <w:rPr>
                      <w:rFonts w:hint="eastAsia"/>
                      <w:szCs w:val="21"/>
                      <w:lang w:val="en-US" w:eastAsia="zh-CN"/>
                    </w:rPr>
                    <w:t>万个/a</w:t>
                  </w:r>
                </w:p>
              </w:tc>
              <w:tc>
                <w:tcPr>
                  <w:tcW w:w="528" w:type="pct"/>
                  <w:vAlign w:val="center"/>
                </w:tcPr>
                <w:p w14:paraId="4E14C51D">
                  <w:pPr>
                    <w:jc w:val="center"/>
                    <w:rPr>
                      <w:rFonts w:hint="default" w:eastAsia="宋体"/>
                      <w:szCs w:val="21"/>
                      <w:lang w:val="en-US" w:eastAsia="zh-CN"/>
                    </w:rPr>
                  </w:pPr>
                  <w:r>
                    <w:rPr>
                      <w:rFonts w:hint="eastAsia"/>
                      <w:szCs w:val="21"/>
                      <w:lang w:val="en-US" w:eastAsia="zh-CN"/>
                    </w:rPr>
                    <w:t>0.6</w:t>
                  </w:r>
                </w:p>
              </w:tc>
              <w:tc>
                <w:tcPr>
                  <w:tcW w:w="359" w:type="pct"/>
                  <w:vAlign w:val="center"/>
                </w:tcPr>
                <w:p w14:paraId="59007F1A">
                  <w:pPr>
                    <w:jc w:val="center"/>
                    <w:rPr>
                      <w:rFonts w:hint="default"/>
                      <w:szCs w:val="21"/>
                      <w:lang w:val="en-US" w:eastAsia="zh-CN"/>
                    </w:rPr>
                  </w:pPr>
                  <w:r>
                    <w:rPr>
                      <w:rFonts w:hint="eastAsia"/>
                      <w:szCs w:val="21"/>
                      <w:lang w:val="en-US" w:eastAsia="zh-CN"/>
                    </w:rPr>
                    <w:t>固</w:t>
                  </w:r>
                </w:p>
              </w:tc>
              <w:tc>
                <w:tcPr>
                  <w:tcW w:w="606" w:type="pct"/>
                  <w:vAlign w:val="center"/>
                </w:tcPr>
                <w:p w14:paraId="593D0C75">
                  <w:pPr>
                    <w:jc w:val="center"/>
                    <w:rPr>
                      <w:rFonts w:hint="eastAsia" w:eastAsia="宋体"/>
                      <w:color w:val="FF0000"/>
                      <w:szCs w:val="21"/>
                      <w:lang w:val="en-US" w:eastAsia="zh-CN"/>
                    </w:rPr>
                  </w:pPr>
                  <w:r>
                    <w:rPr>
                      <w:rFonts w:hint="eastAsia"/>
                      <w:color w:val="FF0000"/>
                      <w:szCs w:val="21"/>
                      <w:lang w:val="en-US" w:eastAsia="zh-CN"/>
                    </w:rPr>
                    <w:t>/</w:t>
                  </w:r>
                </w:p>
              </w:tc>
              <w:tc>
                <w:tcPr>
                  <w:tcW w:w="469" w:type="pct"/>
                  <w:vAlign w:val="center"/>
                </w:tcPr>
                <w:p w14:paraId="342DF150">
                  <w:pPr>
                    <w:jc w:val="center"/>
                    <w:rPr>
                      <w:rFonts w:hint="eastAsia" w:eastAsia="宋体"/>
                      <w:szCs w:val="21"/>
                      <w:lang w:val="en-US" w:eastAsia="zh-CN"/>
                    </w:rPr>
                  </w:pPr>
                  <w:r>
                    <w:rPr>
                      <w:rFonts w:hint="eastAsia"/>
                      <w:szCs w:val="21"/>
                      <w:lang w:val="en-US" w:eastAsia="zh-CN"/>
                    </w:rPr>
                    <w:t>外购</w:t>
                  </w:r>
                </w:p>
              </w:tc>
              <w:tc>
                <w:tcPr>
                  <w:tcW w:w="898" w:type="pct"/>
                  <w:vAlign w:val="center"/>
                </w:tcPr>
                <w:p w14:paraId="0CCEDC4B">
                  <w:pPr>
                    <w:jc w:val="center"/>
                    <w:rPr>
                      <w:rFonts w:hint="eastAsia"/>
                      <w:color w:val="FF0000"/>
                      <w:szCs w:val="21"/>
                      <w:lang w:val="en-US" w:eastAsia="zh-CN"/>
                    </w:rPr>
                  </w:pPr>
                  <w:r>
                    <w:rPr>
                      <w:rFonts w:hint="eastAsia"/>
                      <w:color w:val="FF0000"/>
                      <w:szCs w:val="21"/>
                      <w:lang w:val="en-US" w:eastAsia="zh-CN"/>
                    </w:rPr>
                    <w:t>原料库</w:t>
                  </w:r>
                </w:p>
              </w:tc>
            </w:tr>
            <w:tr w14:paraId="7D607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9"/>
                  <w:vAlign w:val="center"/>
                </w:tcPr>
                <w:p w14:paraId="7F4FDF7E">
                  <w:pPr>
                    <w:jc w:val="both"/>
                    <w:rPr>
                      <w:rFonts w:hint="eastAsia"/>
                      <w:b/>
                      <w:bCs/>
                      <w:szCs w:val="21"/>
                      <w:lang w:val="en-US" w:eastAsia="zh-CN"/>
                    </w:rPr>
                  </w:pPr>
                  <w:r>
                    <w:rPr>
                      <w:rFonts w:hint="eastAsia"/>
                      <w:b/>
                      <w:bCs/>
                      <w:szCs w:val="21"/>
                      <w:lang w:val="en-US" w:eastAsia="zh-CN"/>
                    </w:rPr>
                    <w:t>二、COB灯带</w:t>
                  </w:r>
                </w:p>
              </w:tc>
            </w:tr>
            <w:tr w14:paraId="3D32F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Align w:val="center"/>
                </w:tcPr>
                <w:p w14:paraId="1BD59F55">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w:t>
                  </w:r>
                </w:p>
              </w:tc>
              <w:tc>
                <w:tcPr>
                  <w:tcW w:w="764" w:type="pct"/>
                  <w:vAlign w:val="center"/>
                </w:tcPr>
                <w:p w14:paraId="5A09A90C">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柔性PCB板</w:t>
                  </w:r>
                </w:p>
              </w:tc>
              <w:tc>
                <w:tcPr>
                  <w:tcW w:w="508" w:type="pct"/>
                  <w:vAlign w:val="center"/>
                </w:tcPr>
                <w:p w14:paraId="4977F789">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4000</w:t>
                  </w:r>
                </w:p>
              </w:tc>
              <w:tc>
                <w:tcPr>
                  <w:tcW w:w="556" w:type="pct"/>
                  <w:vAlign w:val="center"/>
                </w:tcPr>
                <w:p w14:paraId="65882CD6">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万m</w:t>
                  </w:r>
                </w:p>
              </w:tc>
              <w:tc>
                <w:tcPr>
                  <w:tcW w:w="528" w:type="pct"/>
                  <w:vAlign w:val="center"/>
                </w:tcPr>
                <w:p w14:paraId="71FE236B">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20</w:t>
                  </w:r>
                </w:p>
              </w:tc>
              <w:tc>
                <w:tcPr>
                  <w:tcW w:w="359" w:type="pct"/>
                  <w:vAlign w:val="center"/>
                </w:tcPr>
                <w:p w14:paraId="3146487A">
                  <w:pPr>
                    <w:jc w:val="center"/>
                    <w:rPr>
                      <w:rFonts w:hint="default" w:ascii="Times New Roman" w:hAnsi="Times New Roman" w:eastAsia="宋体" w:cs="Times New Roman"/>
                      <w:szCs w:val="21"/>
                      <w:lang w:val="en-US" w:eastAsia="zh-CN"/>
                    </w:rPr>
                  </w:pPr>
                  <w:r>
                    <w:rPr>
                      <w:rFonts w:hint="eastAsia" w:cs="Times New Roman"/>
                      <w:szCs w:val="21"/>
                      <w:lang w:val="en-US" w:eastAsia="zh-CN"/>
                    </w:rPr>
                    <w:t>固</w:t>
                  </w:r>
                </w:p>
              </w:tc>
              <w:tc>
                <w:tcPr>
                  <w:tcW w:w="606" w:type="pct"/>
                  <w:vAlign w:val="center"/>
                </w:tcPr>
                <w:p w14:paraId="523F1D27">
                  <w:pPr>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箱装</w:t>
                  </w:r>
                </w:p>
              </w:tc>
              <w:tc>
                <w:tcPr>
                  <w:tcW w:w="469" w:type="pct"/>
                  <w:vAlign w:val="center"/>
                </w:tcPr>
                <w:p w14:paraId="5BB1AE35">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外购</w:t>
                  </w:r>
                </w:p>
              </w:tc>
              <w:tc>
                <w:tcPr>
                  <w:tcW w:w="898" w:type="pct"/>
                  <w:vAlign w:val="center"/>
                </w:tcPr>
                <w:p w14:paraId="01C9CC5B">
                  <w:pPr>
                    <w:jc w:val="center"/>
                    <w:rPr>
                      <w:rFonts w:hint="eastAsia" w:ascii="Times New Roman" w:hAnsi="Times New Roman" w:eastAsia="宋体" w:cs="Times New Roman"/>
                      <w:color w:val="FF0000"/>
                      <w:szCs w:val="21"/>
                      <w:lang w:val="en-US" w:eastAsia="zh-CN"/>
                    </w:rPr>
                  </w:pPr>
                  <w:r>
                    <w:rPr>
                      <w:rFonts w:hint="eastAsia"/>
                      <w:color w:val="FF0000"/>
                      <w:szCs w:val="21"/>
                      <w:lang w:val="en-US" w:eastAsia="zh-CN"/>
                    </w:rPr>
                    <w:t>原料库</w:t>
                  </w:r>
                </w:p>
              </w:tc>
            </w:tr>
            <w:tr w14:paraId="1F164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Align w:val="center"/>
                </w:tcPr>
                <w:p w14:paraId="4B949D41">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2</w:t>
                  </w:r>
                </w:p>
              </w:tc>
              <w:tc>
                <w:tcPr>
                  <w:tcW w:w="764" w:type="pct"/>
                  <w:vAlign w:val="center"/>
                </w:tcPr>
                <w:p w14:paraId="59020104">
                  <w:pPr>
                    <w:jc w:val="center"/>
                    <w:rPr>
                      <w:rFonts w:hint="default" w:ascii="Times New Roman" w:hAnsi="Times New Roman" w:eastAsia="宋体" w:cs="Times New Roman"/>
                      <w:szCs w:val="21"/>
                      <w:highlight w:val="yellow"/>
                      <w:lang w:val="en-US" w:eastAsia="zh-CN"/>
                    </w:rPr>
                  </w:pPr>
                  <w:r>
                    <w:rPr>
                      <w:rFonts w:hint="eastAsia" w:ascii="Times New Roman" w:hAnsi="Times New Roman" w:eastAsia="宋体" w:cs="Times New Roman"/>
                      <w:szCs w:val="21"/>
                      <w:highlight w:val="none"/>
                      <w:lang w:val="en-US" w:eastAsia="zh-CN"/>
                    </w:rPr>
                    <w:t>晶片</w:t>
                  </w:r>
                </w:p>
              </w:tc>
              <w:tc>
                <w:tcPr>
                  <w:tcW w:w="508" w:type="pct"/>
                  <w:vAlign w:val="center"/>
                </w:tcPr>
                <w:p w14:paraId="109D8662">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130</w:t>
                  </w:r>
                </w:p>
              </w:tc>
              <w:tc>
                <w:tcPr>
                  <w:tcW w:w="556" w:type="pct"/>
                  <w:vAlign w:val="center"/>
                </w:tcPr>
                <w:p w14:paraId="1A39AB87">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亿颗/a</w:t>
                  </w:r>
                </w:p>
              </w:tc>
              <w:tc>
                <w:tcPr>
                  <w:tcW w:w="528" w:type="pct"/>
                  <w:vAlign w:val="center"/>
                </w:tcPr>
                <w:p w14:paraId="219E885B">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13</w:t>
                  </w:r>
                </w:p>
              </w:tc>
              <w:tc>
                <w:tcPr>
                  <w:tcW w:w="359" w:type="pct"/>
                  <w:vAlign w:val="center"/>
                </w:tcPr>
                <w:p w14:paraId="1BAFB968">
                  <w:pPr>
                    <w:jc w:val="center"/>
                    <w:rPr>
                      <w:rFonts w:hint="default" w:ascii="Times New Roman" w:hAnsi="Times New Roman" w:eastAsia="宋体" w:cs="Times New Roman"/>
                      <w:szCs w:val="21"/>
                      <w:lang w:val="en-US" w:eastAsia="zh-CN"/>
                    </w:rPr>
                  </w:pPr>
                  <w:r>
                    <w:rPr>
                      <w:rFonts w:hint="eastAsia" w:cs="Times New Roman"/>
                      <w:szCs w:val="21"/>
                      <w:lang w:val="en-US" w:eastAsia="zh-CN"/>
                    </w:rPr>
                    <w:t>固</w:t>
                  </w:r>
                </w:p>
              </w:tc>
              <w:tc>
                <w:tcPr>
                  <w:tcW w:w="606" w:type="pct"/>
                  <w:vAlign w:val="center"/>
                </w:tcPr>
                <w:p w14:paraId="51624AC4">
                  <w:pPr>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箱装</w:t>
                  </w:r>
                </w:p>
              </w:tc>
              <w:tc>
                <w:tcPr>
                  <w:tcW w:w="469" w:type="pct"/>
                  <w:vAlign w:val="center"/>
                </w:tcPr>
                <w:p w14:paraId="022E686F">
                  <w:pPr>
                    <w:jc w:val="center"/>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外购</w:t>
                  </w:r>
                </w:p>
              </w:tc>
              <w:tc>
                <w:tcPr>
                  <w:tcW w:w="898" w:type="pct"/>
                  <w:vAlign w:val="center"/>
                </w:tcPr>
                <w:p w14:paraId="3513AA8D">
                  <w:pPr>
                    <w:jc w:val="center"/>
                    <w:rPr>
                      <w:rFonts w:hint="eastAsia" w:ascii="Times New Roman" w:hAnsi="Times New Roman" w:eastAsia="宋体" w:cs="Times New Roman"/>
                      <w:color w:val="FF0000"/>
                      <w:szCs w:val="21"/>
                      <w:lang w:val="en-US" w:eastAsia="zh-CN"/>
                    </w:rPr>
                  </w:pPr>
                  <w:r>
                    <w:rPr>
                      <w:rFonts w:hint="eastAsia"/>
                      <w:color w:val="FF0000"/>
                      <w:szCs w:val="21"/>
                      <w:lang w:val="en-US" w:eastAsia="zh-CN"/>
                    </w:rPr>
                    <w:t>原料库</w:t>
                  </w:r>
                </w:p>
              </w:tc>
            </w:tr>
            <w:tr w14:paraId="566D8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Align w:val="center"/>
                </w:tcPr>
                <w:p w14:paraId="5DE40ADD">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3</w:t>
                  </w:r>
                </w:p>
              </w:tc>
              <w:tc>
                <w:tcPr>
                  <w:tcW w:w="764" w:type="pct"/>
                  <w:vAlign w:val="center"/>
                </w:tcPr>
                <w:p w14:paraId="1EA75E1D">
                  <w:pPr>
                    <w:jc w:val="center"/>
                    <w:rPr>
                      <w:rFonts w:hint="default" w:ascii="Times New Roman" w:hAnsi="Times New Roman" w:eastAsia="宋体" w:cs="Times New Roman"/>
                      <w:szCs w:val="21"/>
                      <w:highlight w:val="yellow"/>
                      <w:lang w:val="en-US" w:eastAsia="zh-CN"/>
                    </w:rPr>
                  </w:pPr>
                  <w:r>
                    <w:rPr>
                      <w:rFonts w:hint="eastAsia" w:ascii="Times New Roman" w:hAnsi="Times New Roman" w:eastAsia="宋体" w:cs="Times New Roman"/>
                      <w:szCs w:val="21"/>
                      <w:highlight w:val="none"/>
                      <w:lang w:val="en-US" w:eastAsia="zh-CN"/>
                    </w:rPr>
                    <w:t>电阻</w:t>
                  </w:r>
                </w:p>
              </w:tc>
              <w:tc>
                <w:tcPr>
                  <w:tcW w:w="508" w:type="pct"/>
                  <w:vAlign w:val="center"/>
                </w:tcPr>
                <w:p w14:paraId="600FE0A1">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15</w:t>
                  </w:r>
                </w:p>
              </w:tc>
              <w:tc>
                <w:tcPr>
                  <w:tcW w:w="556" w:type="pct"/>
                  <w:vAlign w:val="center"/>
                </w:tcPr>
                <w:p w14:paraId="3F729FD8">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亿颗/a</w:t>
                  </w:r>
                </w:p>
              </w:tc>
              <w:tc>
                <w:tcPr>
                  <w:tcW w:w="528" w:type="pct"/>
                  <w:vAlign w:val="center"/>
                </w:tcPr>
                <w:p w14:paraId="6CF9492E">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1.5</w:t>
                  </w:r>
                </w:p>
              </w:tc>
              <w:tc>
                <w:tcPr>
                  <w:tcW w:w="359" w:type="pct"/>
                  <w:vAlign w:val="center"/>
                </w:tcPr>
                <w:p w14:paraId="204E8320">
                  <w:pPr>
                    <w:jc w:val="center"/>
                    <w:rPr>
                      <w:rFonts w:hint="default" w:ascii="Times New Roman" w:hAnsi="Times New Roman" w:eastAsia="宋体" w:cs="Times New Roman"/>
                      <w:szCs w:val="21"/>
                      <w:lang w:val="en-US" w:eastAsia="zh-CN"/>
                    </w:rPr>
                  </w:pPr>
                  <w:r>
                    <w:rPr>
                      <w:rFonts w:hint="eastAsia" w:cs="Times New Roman"/>
                      <w:szCs w:val="21"/>
                      <w:lang w:val="en-US" w:eastAsia="zh-CN"/>
                    </w:rPr>
                    <w:t>固</w:t>
                  </w:r>
                </w:p>
              </w:tc>
              <w:tc>
                <w:tcPr>
                  <w:tcW w:w="606" w:type="pct"/>
                  <w:vAlign w:val="center"/>
                </w:tcPr>
                <w:p w14:paraId="1FD700AF">
                  <w:pPr>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箱装</w:t>
                  </w:r>
                </w:p>
              </w:tc>
              <w:tc>
                <w:tcPr>
                  <w:tcW w:w="469" w:type="pct"/>
                  <w:vAlign w:val="center"/>
                </w:tcPr>
                <w:p w14:paraId="155AD523">
                  <w:pPr>
                    <w:jc w:val="center"/>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外购</w:t>
                  </w:r>
                </w:p>
              </w:tc>
              <w:tc>
                <w:tcPr>
                  <w:tcW w:w="898" w:type="pct"/>
                  <w:vAlign w:val="center"/>
                </w:tcPr>
                <w:p w14:paraId="4C294E1E">
                  <w:pPr>
                    <w:jc w:val="center"/>
                    <w:rPr>
                      <w:rFonts w:hint="eastAsia" w:ascii="Times New Roman" w:hAnsi="Times New Roman" w:eastAsia="宋体" w:cs="Times New Roman"/>
                      <w:color w:val="FF0000"/>
                      <w:szCs w:val="21"/>
                      <w:lang w:val="en-US" w:eastAsia="zh-CN"/>
                    </w:rPr>
                  </w:pPr>
                  <w:r>
                    <w:rPr>
                      <w:rFonts w:hint="eastAsia"/>
                      <w:color w:val="FF0000"/>
                      <w:szCs w:val="21"/>
                      <w:lang w:val="en-US" w:eastAsia="zh-CN"/>
                    </w:rPr>
                    <w:t>原料库</w:t>
                  </w:r>
                </w:p>
              </w:tc>
            </w:tr>
            <w:tr w14:paraId="3A5A2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Align w:val="center"/>
                </w:tcPr>
                <w:p w14:paraId="40962773">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4</w:t>
                  </w:r>
                </w:p>
              </w:tc>
              <w:tc>
                <w:tcPr>
                  <w:tcW w:w="764" w:type="pct"/>
                  <w:vAlign w:val="center"/>
                </w:tcPr>
                <w:p w14:paraId="0E11E2D6">
                  <w:pPr>
                    <w:jc w:val="center"/>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锡膏</w:t>
                  </w:r>
                </w:p>
              </w:tc>
              <w:tc>
                <w:tcPr>
                  <w:tcW w:w="508" w:type="pct"/>
                  <w:vAlign w:val="center"/>
                </w:tcPr>
                <w:p w14:paraId="5208C5BD">
                  <w:pPr>
                    <w:jc w:val="center"/>
                    <w:rPr>
                      <w:rFonts w:hint="default" w:ascii="Times New Roman" w:hAnsi="Times New Roman" w:eastAsia="宋体" w:cs="Times New Roman"/>
                      <w:szCs w:val="21"/>
                      <w:lang w:val="en-US" w:eastAsia="zh-CN"/>
                    </w:rPr>
                  </w:pPr>
                  <w:r>
                    <w:rPr>
                      <w:rFonts w:hint="eastAsia" w:cs="Times New Roman"/>
                      <w:color w:val="FF0000"/>
                      <w:szCs w:val="21"/>
                      <w:lang w:val="en-US" w:eastAsia="zh-CN"/>
                    </w:rPr>
                    <w:t>28.8</w:t>
                  </w:r>
                </w:p>
              </w:tc>
              <w:tc>
                <w:tcPr>
                  <w:tcW w:w="556" w:type="pct"/>
                  <w:vAlign w:val="center"/>
                </w:tcPr>
                <w:p w14:paraId="2D0C2448">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t/a</w:t>
                  </w:r>
                </w:p>
              </w:tc>
              <w:tc>
                <w:tcPr>
                  <w:tcW w:w="528" w:type="pct"/>
                  <w:vAlign w:val="center"/>
                </w:tcPr>
                <w:p w14:paraId="4ED585DC">
                  <w:pPr>
                    <w:jc w:val="center"/>
                    <w:rPr>
                      <w:rFonts w:hint="default" w:ascii="Times New Roman" w:hAnsi="Times New Roman" w:eastAsia="宋体" w:cs="Times New Roman"/>
                      <w:szCs w:val="21"/>
                      <w:lang w:val="en-US" w:eastAsia="zh-CN"/>
                    </w:rPr>
                  </w:pPr>
                  <w:r>
                    <w:rPr>
                      <w:rFonts w:hint="eastAsia" w:cs="Times New Roman"/>
                      <w:szCs w:val="21"/>
                      <w:lang w:val="en-US" w:eastAsia="zh-CN"/>
                    </w:rPr>
                    <w:t>1</w:t>
                  </w:r>
                </w:p>
              </w:tc>
              <w:tc>
                <w:tcPr>
                  <w:tcW w:w="359" w:type="pct"/>
                  <w:vAlign w:val="center"/>
                </w:tcPr>
                <w:p w14:paraId="38DEE54D">
                  <w:pPr>
                    <w:jc w:val="center"/>
                    <w:rPr>
                      <w:rFonts w:hint="default" w:ascii="Times New Roman" w:hAnsi="Times New Roman" w:eastAsia="宋体" w:cs="Times New Roman"/>
                      <w:szCs w:val="21"/>
                      <w:lang w:val="en-US" w:eastAsia="zh-CN"/>
                    </w:rPr>
                  </w:pPr>
                  <w:r>
                    <w:rPr>
                      <w:rFonts w:hint="eastAsia" w:cs="Times New Roman"/>
                      <w:szCs w:val="21"/>
                      <w:lang w:val="en-US" w:eastAsia="zh-CN"/>
                    </w:rPr>
                    <w:t>液</w:t>
                  </w:r>
                </w:p>
              </w:tc>
              <w:tc>
                <w:tcPr>
                  <w:tcW w:w="606" w:type="pct"/>
                  <w:vAlign w:val="center"/>
                </w:tcPr>
                <w:p w14:paraId="2886C55B">
                  <w:pPr>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500g/罐</w:t>
                  </w:r>
                </w:p>
              </w:tc>
              <w:tc>
                <w:tcPr>
                  <w:tcW w:w="469" w:type="pct"/>
                  <w:vAlign w:val="center"/>
                </w:tcPr>
                <w:p w14:paraId="2BA8C1DC">
                  <w:pPr>
                    <w:jc w:val="center"/>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外购</w:t>
                  </w:r>
                </w:p>
              </w:tc>
              <w:tc>
                <w:tcPr>
                  <w:tcW w:w="898" w:type="pct"/>
                  <w:vAlign w:val="center"/>
                </w:tcPr>
                <w:p w14:paraId="2598100F">
                  <w:pPr>
                    <w:jc w:val="center"/>
                    <w:rPr>
                      <w:rFonts w:hint="eastAsia" w:ascii="Times New Roman" w:hAnsi="Times New Roman" w:eastAsia="宋体" w:cs="Times New Roman"/>
                      <w:color w:val="FF0000"/>
                      <w:szCs w:val="21"/>
                      <w:lang w:val="en-US" w:eastAsia="zh-CN"/>
                    </w:rPr>
                  </w:pPr>
                  <w:r>
                    <w:rPr>
                      <w:rFonts w:hint="eastAsia"/>
                      <w:color w:val="FF0000"/>
                      <w:szCs w:val="21"/>
                      <w:lang w:val="en-US" w:eastAsia="zh-CN"/>
                    </w:rPr>
                    <w:t>原料库</w:t>
                  </w:r>
                </w:p>
              </w:tc>
            </w:tr>
            <w:tr w14:paraId="19414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shd w:val="clear" w:color="auto" w:fill="auto"/>
                  <w:vAlign w:val="center"/>
                </w:tcPr>
                <w:p w14:paraId="1CA28968">
                  <w:pPr>
                    <w:jc w:val="center"/>
                    <w:rPr>
                      <w:rFonts w:hint="eastAsia"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lang w:val="en-US" w:eastAsia="zh-CN"/>
                    </w:rPr>
                    <w:t>5</w:t>
                  </w:r>
                </w:p>
              </w:tc>
              <w:tc>
                <w:tcPr>
                  <w:tcW w:w="764" w:type="pct"/>
                  <w:vAlign w:val="center"/>
                </w:tcPr>
                <w:p w14:paraId="77121681">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锡丝</w:t>
                  </w:r>
                </w:p>
              </w:tc>
              <w:tc>
                <w:tcPr>
                  <w:tcW w:w="508" w:type="pct"/>
                  <w:vAlign w:val="center"/>
                </w:tcPr>
                <w:p w14:paraId="654C2882">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0.05</w:t>
                  </w:r>
                </w:p>
              </w:tc>
              <w:tc>
                <w:tcPr>
                  <w:tcW w:w="556" w:type="pct"/>
                  <w:vAlign w:val="center"/>
                </w:tcPr>
                <w:p w14:paraId="33A18197">
                  <w:pPr>
                    <w:jc w:val="center"/>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t/a</w:t>
                  </w:r>
                </w:p>
              </w:tc>
              <w:tc>
                <w:tcPr>
                  <w:tcW w:w="528" w:type="pct"/>
                  <w:vAlign w:val="center"/>
                </w:tcPr>
                <w:p w14:paraId="3FBC4419">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0.01</w:t>
                  </w:r>
                </w:p>
              </w:tc>
              <w:tc>
                <w:tcPr>
                  <w:tcW w:w="359" w:type="pct"/>
                  <w:vAlign w:val="center"/>
                </w:tcPr>
                <w:p w14:paraId="07A38773">
                  <w:pPr>
                    <w:jc w:val="center"/>
                    <w:rPr>
                      <w:rFonts w:hint="default" w:ascii="Times New Roman" w:hAnsi="Times New Roman" w:eastAsia="宋体" w:cs="Times New Roman"/>
                      <w:szCs w:val="21"/>
                      <w:lang w:val="en-US" w:eastAsia="zh-CN"/>
                    </w:rPr>
                  </w:pPr>
                  <w:r>
                    <w:rPr>
                      <w:rFonts w:hint="eastAsia" w:cs="Times New Roman"/>
                      <w:szCs w:val="21"/>
                      <w:lang w:val="en-US" w:eastAsia="zh-CN"/>
                    </w:rPr>
                    <w:t>固</w:t>
                  </w:r>
                </w:p>
              </w:tc>
              <w:tc>
                <w:tcPr>
                  <w:tcW w:w="606" w:type="pct"/>
                  <w:vAlign w:val="center"/>
                </w:tcPr>
                <w:p w14:paraId="1C4C9C02">
                  <w:pPr>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捆装</w:t>
                  </w:r>
                </w:p>
              </w:tc>
              <w:tc>
                <w:tcPr>
                  <w:tcW w:w="469" w:type="pct"/>
                  <w:vAlign w:val="center"/>
                </w:tcPr>
                <w:p w14:paraId="4C402F17">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外购</w:t>
                  </w:r>
                </w:p>
              </w:tc>
              <w:tc>
                <w:tcPr>
                  <w:tcW w:w="898" w:type="pct"/>
                  <w:vAlign w:val="center"/>
                </w:tcPr>
                <w:p w14:paraId="12E85600">
                  <w:pPr>
                    <w:jc w:val="center"/>
                    <w:rPr>
                      <w:rFonts w:hint="eastAsia" w:ascii="Times New Roman" w:hAnsi="Times New Roman" w:eastAsia="宋体" w:cs="Times New Roman"/>
                      <w:color w:val="FF0000"/>
                      <w:szCs w:val="21"/>
                      <w:lang w:val="en-US" w:eastAsia="zh-CN"/>
                    </w:rPr>
                  </w:pPr>
                  <w:r>
                    <w:rPr>
                      <w:rFonts w:hint="eastAsia"/>
                      <w:color w:val="FF0000"/>
                      <w:szCs w:val="21"/>
                      <w:lang w:val="en-US" w:eastAsia="zh-CN"/>
                    </w:rPr>
                    <w:t>原料库</w:t>
                  </w:r>
                </w:p>
              </w:tc>
            </w:tr>
            <w:tr w14:paraId="090F2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08" w:type="pct"/>
                  <w:shd w:val="clear" w:color="auto" w:fill="auto"/>
                  <w:vAlign w:val="center"/>
                </w:tcPr>
                <w:p w14:paraId="6AD460C9">
                  <w:pPr>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宋体" w:cs="Times New Roman"/>
                      <w:szCs w:val="21"/>
                      <w:lang w:val="en-US" w:eastAsia="zh-CN"/>
                    </w:rPr>
                    <w:t>6</w:t>
                  </w:r>
                </w:p>
              </w:tc>
              <w:tc>
                <w:tcPr>
                  <w:tcW w:w="764" w:type="pct"/>
                  <w:vAlign w:val="center"/>
                </w:tcPr>
                <w:p w14:paraId="680A6487">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荧光粉</w:t>
                  </w:r>
                </w:p>
              </w:tc>
              <w:tc>
                <w:tcPr>
                  <w:tcW w:w="508" w:type="pct"/>
                  <w:vAlign w:val="center"/>
                </w:tcPr>
                <w:p w14:paraId="69752A8A">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8</w:t>
                  </w:r>
                </w:p>
              </w:tc>
              <w:tc>
                <w:tcPr>
                  <w:tcW w:w="556" w:type="pct"/>
                  <w:vAlign w:val="center"/>
                </w:tcPr>
                <w:p w14:paraId="7AE240F5">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t/a</w:t>
                  </w:r>
                </w:p>
              </w:tc>
              <w:tc>
                <w:tcPr>
                  <w:tcW w:w="528" w:type="pct"/>
                  <w:vAlign w:val="center"/>
                </w:tcPr>
                <w:p w14:paraId="6D2EBB6C">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0.5</w:t>
                  </w:r>
                </w:p>
              </w:tc>
              <w:tc>
                <w:tcPr>
                  <w:tcW w:w="359" w:type="pct"/>
                  <w:vAlign w:val="center"/>
                </w:tcPr>
                <w:p w14:paraId="4E6DC8D8">
                  <w:pPr>
                    <w:jc w:val="center"/>
                    <w:rPr>
                      <w:rFonts w:hint="default" w:ascii="Times New Roman" w:hAnsi="Times New Roman" w:eastAsia="宋体" w:cs="Times New Roman"/>
                      <w:szCs w:val="21"/>
                      <w:lang w:val="en-US" w:eastAsia="zh-CN"/>
                    </w:rPr>
                  </w:pPr>
                  <w:r>
                    <w:rPr>
                      <w:rFonts w:hint="eastAsia" w:cs="Times New Roman"/>
                      <w:szCs w:val="21"/>
                      <w:lang w:val="en-US" w:eastAsia="zh-CN"/>
                    </w:rPr>
                    <w:t>固</w:t>
                  </w:r>
                </w:p>
              </w:tc>
              <w:tc>
                <w:tcPr>
                  <w:tcW w:w="606" w:type="pct"/>
                  <w:vAlign w:val="center"/>
                </w:tcPr>
                <w:p w14:paraId="06E7B71C">
                  <w:pPr>
                    <w:jc w:val="center"/>
                    <w:rPr>
                      <w:rFonts w:hint="default" w:ascii="Times New Roman" w:hAnsi="Times New Roman" w:eastAsia="宋体" w:cs="Times New Roman"/>
                      <w:color w:val="FF0000"/>
                      <w:szCs w:val="21"/>
                      <w:lang w:val="en-US" w:eastAsia="zh-CN"/>
                    </w:rPr>
                  </w:pPr>
                  <w:r>
                    <w:rPr>
                      <w:rFonts w:hint="eastAsia" w:cs="Times New Roman"/>
                      <w:color w:val="FF0000"/>
                      <w:szCs w:val="21"/>
                      <w:lang w:val="en-US" w:eastAsia="zh-CN"/>
                    </w:rPr>
                    <w:t>25kg/</w:t>
                  </w:r>
                  <w:r>
                    <w:rPr>
                      <w:rFonts w:hint="eastAsia" w:ascii="Times New Roman" w:hAnsi="Times New Roman" w:eastAsia="宋体" w:cs="Times New Roman"/>
                      <w:color w:val="FF0000"/>
                      <w:szCs w:val="21"/>
                      <w:lang w:val="en-US" w:eastAsia="zh-CN"/>
                    </w:rPr>
                    <w:t>袋</w:t>
                  </w:r>
                </w:p>
              </w:tc>
              <w:tc>
                <w:tcPr>
                  <w:tcW w:w="469" w:type="pct"/>
                  <w:vAlign w:val="center"/>
                </w:tcPr>
                <w:p w14:paraId="0C362301">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外购</w:t>
                  </w:r>
                </w:p>
              </w:tc>
              <w:tc>
                <w:tcPr>
                  <w:tcW w:w="898" w:type="pct"/>
                  <w:vAlign w:val="center"/>
                </w:tcPr>
                <w:p w14:paraId="1D635F3A">
                  <w:pPr>
                    <w:jc w:val="center"/>
                    <w:rPr>
                      <w:rFonts w:hint="eastAsia" w:ascii="Times New Roman" w:hAnsi="Times New Roman" w:eastAsia="宋体" w:cs="Times New Roman"/>
                      <w:color w:val="FF0000"/>
                      <w:szCs w:val="21"/>
                      <w:lang w:val="en-US" w:eastAsia="zh-CN"/>
                    </w:rPr>
                  </w:pPr>
                  <w:r>
                    <w:rPr>
                      <w:rFonts w:hint="eastAsia"/>
                      <w:color w:val="FF0000"/>
                      <w:szCs w:val="21"/>
                      <w:lang w:val="en-US" w:eastAsia="zh-CN"/>
                    </w:rPr>
                    <w:t>原料库</w:t>
                  </w:r>
                </w:p>
              </w:tc>
            </w:tr>
            <w:tr w14:paraId="6DD12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shd w:val="clear" w:color="auto" w:fill="auto"/>
                  <w:vAlign w:val="center"/>
                </w:tcPr>
                <w:p w14:paraId="12D2F11D">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7</w:t>
                  </w:r>
                </w:p>
              </w:tc>
              <w:tc>
                <w:tcPr>
                  <w:tcW w:w="764" w:type="pct"/>
                  <w:vAlign w:val="center"/>
                </w:tcPr>
                <w:p w14:paraId="353AEE96">
                  <w:pPr>
                    <w:jc w:val="center"/>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硅胶</w:t>
                  </w:r>
                </w:p>
              </w:tc>
              <w:tc>
                <w:tcPr>
                  <w:tcW w:w="508" w:type="pct"/>
                  <w:vAlign w:val="center"/>
                </w:tcPr>
                <w:p w14:paraId="1BF0DF0C">
                  <w:pPr>
                    <w:jc w:val="center"/>
                    <w:rPr>
                      <w:rFonts w:hint="default" w:ascii="Times New Roman" w:hAnsi="Times New Roman" w:eastAsia="宋体" w:cs="Times New Roman"/>
                      <w:szCs w:val="21"/>
                      <w:lang w:val="en-US" w:eastAsia="zh-CN"/>
                    </w:rPr>
                  </w:pPr>
                  <w:r>
                    <w:rPr>
                      <w:rFonts w:hint="eastAsia" w:cs="Times New Roman"/>
                      <w:szCs w:val="21"/>
                      <w:lang w:val="en-US" w:eastAsia="zh-CN"/>
                    </w:rPr>
                    <w:t>3</w:t>
                  </w:r>
                  <w:r>
                    <w:rPr>
                      <w:rFonts w:hint="eastAsia" w:ascii="Times New Roman" w:hAnsi="Times New Roman" w:eastAsia="宋体" w:cs="Times New Roman"/>
                      <w:szCs w:val="21"/>
                      <w:lang w:val="en-US" w:eastAsia="zh-CN"/>
                    </w:rPr>
                    <w:t>00</w:t>
                  </w:r>
                </w:p>
              </w:tc>
              <w:tc>
                <w:tcPr>
                  <w:tcW w:w="556" w:type="pct"/>
                  <w:vAlign w:val="center"/>
                </w:tcPr>
                <w:p w14:paraId="4A9D43E9">
                  <w:pPr>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t/a</w:t>
                  </w:r>
                </w:p>
              </w:tc>
              <w:tc>
                <w:tcPr>
                  <w:tcW w:w="528" w:type="pct"/>
                  <w:vAlign w:val="center"/>
                </w:tcPr>
                <w:p w14:paraId="1B0DA0B3">
                  <w:pPr>
                    <w:jc w:val="center"/>
                    <w:rPr>
                      <w:rFonts w:hint="default" w:ascii="Times New Roman" w:hAnsi="Times New Roman" w:eastAsia="宋体" w:cs="Times New Roman"/>
                      <w:szCs w:val="21"/>
                      <w:lang w:val="en-US" w:eastAsia="zh-CN"/>
                    </w:rPr>
                  </w:pPr>
                  <w:r>
                    <w:rPr>
                      <w:rFonts w:hint="eastAsia" w:cs="Times New Roman"/>
                      <w:szCs w:val="21"/>
                      <w:lang w:val="en-US" w:eastAsia="zh-CN"/>
                    </w:rPr>
                    <w:t>1</w:t>
                  </w:r>
                  <w:r>
                    <w:rPr>
                      <w:rFonts w:hint="eastAsia" w:ascii="Times New Roman" w:hAnsi="Times New Roman" w:eastAsia="宋体" w:cs="Times New Roman"/>
                      <w:szCs w:val="21"/>
                      <w:lang w:val="en-US" w:eastAsia="zh-CN"/>
                    </w:rPr>
                    <w:t>0</w:t>
                  </w:r>
                </w:p>
              </w:tc>
              <w:tc>
                <w:tcPr>
                  <w:tcW w:w="359" w:type="pct"/>
                  <w:vAlign w:val="center"/>
                </w:tcPr>
                <w:p w14:paraId="6DE4837C">
                  <w:pPr>
                    <w:jc w:val="center"/>
                    <w:rPr>
                      <w:rFonts w:hint="default" w:ascii="Times New Roman" w:hAnsi="Times New Roman" w:eastAsia="宋体" w:cs="Times New Roman"/>
                      <w:szCs w:val="21"/>
                      <w:lang w:val="en-US" w:eastAsia="zh-CN"/>
                    </w:rPr>
                  </w:pPr>
                  <w:r>
                    <w:rPr>
                      <w:rFonts w:hint="eastAsia" w:cs="Times New Roman"/>
                      <w:szCs w:val="21"/>
                      <w:lang w:val="en-US" w:eastAsia="zh-CN"/>
                    </w:rPr>
                    <w:t>液</w:t>
                  </w:r>
                </w:p>
              </w:tc>
              <w:tc>
                <w:tcPr>
                  <w:tcW w:w="606" w:type="pct"/>
                  <w:vAlign w:val="center"/>
                </w:tcPr>
                <w:p w14:paraId="0E8F5C7C">
                  <w:pPr>
                    <w:jc w:val="center"/>
                    <w:rPr>
                      <w:rFonts w:hint="default" w:ascii="Times New Roman" w:hAnsi="Times New Roman" w:eastAsia="宋体" w:cs="Times New Roman"/>
                      <w:color w:val="FF0000"/>
                      <w:szCs w:val="21"/>
                      <w:lang w:val="en-US" w:eastAsia="zh-CN"/>
                    </w:rPr>
                  </w:pPr>
                  <w:r>
                    <w:rPr>
                      <w:rFonts w:hint="eastAsia" w:cs="Times New Roman"/>
                      <w:color w:val="FF0000"/>
                      <w:szCs w:val="21"/>
                      <w:lang w:val="en-US" w:eastAsia="zh-CN"/>
                    </w:rPr>
                    <w:t>20kg/</w:t>
                  </w:r>
                  <w:r>
                    <w:rPr>
                      <w:rFonts w:hint="eastAsia" w:ascii="Times New Roman" w:hAnsi="Times New Roman" w:eastAsia="宋体" w:cs="Times New Roman"/>
                      <w:color w:val="FF0000"/>
                      <w:szCs w:val="21"/>
                      <w:lang w:val="en-US" w:eastAsia="zh-CN"/>
                    </w:rPr>
                    <w:t>桶</w:t>
                  </w:r>
                </w:p>
              </w:tc>
              <w:tc>
                <w:tcPr>
                  <w:tcW w:w="469" w:type="pct"/>
                  <w:vAlign w:val="center"/>
                </w:tcPr>
                <w:p w14:paraId="4F7B2128">
                  <w:pPr>
                    <w:jc w:val="center"/>
                    <w:rPr>
                      <w:rFonts w:hint="eastAsia"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外购</w:t>
                  </w:r>
                </w:p>
              </w:tc>
              <w:tc>
                <w:tcPr>
                  <w:tcW w:w="898" w:type="pct"/>
                  <w:vAlign w:val="center"/>
                </w:tcPr>
                <w:p w14:paraId="1C3B271A">
                  <w:pPr>
                    <w:jc w:val="center"/>
                    <w:rPr>
                      <w:rFonts w:hint="eastAsia" w:ascii="Times New Roman" w:hAnsi="Times New Roman" w:eastAsia="宋体" w:cs="Times New Roman"/>
                      <w:color w:val="FF0000"/>
                      <w:szCs w:val="21"/>
                      <w:lang w:val="en-US" w:eastAsia="zh-CN"/>
                    </w:rPr>
                  </w:pPr>
                  <w:r>
                    <w:rPr>
                      <w:rFonts w:hint="eastAsia"/>
                      <w:color w:val="FF0000"/>
                      <w:szCs w:val="21"/>
                      <w:lang w:val="en-US" w:eastAsia="zh-CN"/>
                    </w:rPr>
                    <w:t>原料库</w:t>
                  </w:r>
                </w:p>
              </w:tc>
            </w:tr>
            <w:tr w14:paraId="51DC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shd w:val="clear" w:color="auto" w:fill="auto"/>
                  <w:vAlign w:val="center"/>
                </w:tcPr>
                <w:p w14:paraId="5F0AA5B2">
                  <w:pPr>
                    <w:jc w:val="center"/>
                    <w:rPr>
                      <w:rFonts w:hint="eastAsia" w:ascii="Times New Roman" w:hAnsi="Times New Roman" w:eastAsia="宋体" w:cs="Times New Roman"/>
                      <w:kern w:val="2"/>
                      <w:sz w:val="21"/>
                      <w:szCs w:val="21"/>
                      <w:lang w:val="en-US" w:eastAsia="zh-CN" w:bidi="ar-SA"/>
                    </w:rPr>
                  </w:pPr>
                  <w:r>
                    <w:rPr>
                      <w:rFonts w:hint="eastAsia"/>
                      <w:szCs w:val="21"/>
                      <w:lang w:val="en-US" w:eastAsia="zh-CN"/>
                    </w:rPr>
                    <w:t>8</w:t>
                  </w:r>
                </w:p>
              </w:tc>
              <w:tc>
                <w:tcPr>
                  <w:tcW w:w="764" w:type="pct"/>
                  <w:vAlign w:val="center"/>
                </w:tcPr>
                <w:p w14:paraId="5C8D8BEA">
                  <w:pPr>
                    <w:jc w:val="center"/>
                    <w:rPr>
                      <w:rFonts w:hint="default" w:ascii="宋体" w:cs="宋体"/>
                      <w:kern w:val="0"/>
                      <w:szCs w:val="21"/>
                      <w:lang w:val="en-US" w:eastAsia="zh-CN"/>
                    </w:rPr>
                  </w:pPr>
                  <w:r>
                    <w:rPr>
                      <w:rFonts w:hint="eastAsia" w:ascii="宋体" w:cs="宋体"/>
                      <w:kern w:val="0"/>
                      <w:szCs w:val="21"/>
                      <w:lang w:val="en-US" w:eastAsia="zh-CN"/>
                    </w:rPr>
                    <w:t>双面胶</w:t>
                  </w:r>
                  <w:r>
                    <w:rPr>
                      <w:rFonts w:hint="eastAsia" w:ascii="宋体" w:cs="宋体"/>
                      <w:color w:val="FF0000"/>
                      <w:kern w:val="0"/>
                      <w:szCs w:val="21"/>
                      <w:lang w:val="en-US" w:eastAsia="zh-CN"/>
                    </w:rPr>
                    <w:t>带</w:t>
                  </w:r>
                </w:p>
              </w:tc>
              <w:tc>
                <w:tcPr>
                  <w:tcW w:w="508" w:type="pct"/>
                  <w:vAlign w:val="center"/>
                </w:tcPr>
                <w:p w14:paraId="36DABF8F">
                  <w:pPr>
                    <w:jc w:val="center"/>
                    <w:rPr>
                      <w:rFonts w:hint="default" w:eastAsia="宋体"/>
                      <w:szCs w:val="21"/>
                      <w:lang w:val="en-US" w:eastAsia="zh-CN"/>
                    </w:rPr>
                  </w:pPr>
                  <w:r>
                    <w:rPr>
                      <w:rFonts w:hint="eastAsia"/>
                      <w:szCs w:val="21"/>
                      <w:lang w:val="en-US" w:eastAsia="zh-CN"/>
                    </w:rPr>
                    <w:t>4000</w:t>
                  </w:r>
                </w:p>
              </w:tc>
              <w:tc>
                <w:tcPr>
                  <w:tcW w:w="556" w:type="pct"/>
                  <w:vAlign w:val="center"/>
                </w:tcPr>
                <w:p w14:paraId="70A4333E">
                  <w:pPr>
                    <w:jc w:val="center"/>
                    <w:rPr>
                      <w:rFonts w:hint="default" w:eastAsia="宋体"/>
                      <w:szCs w:val="21"/>
                      <w:lang w:val="en-US" w:eastAsia="zh-CN"/>
                    </w:rPr>
                  </w:pPr>
                  <w:r>
                    <w:rPr>
                      <w:rFonts w:hint="eastAsia"/>
                      <w:szCs w:val="21"/>
                      <w:lang w:val="en-US" w:eastAsia="zh-CN"/>
                    </w:rPr>
                    <w:t>万m/a</w:t>
                  </w:r>
                </w:p>
              </w:tc>
              <w:tc>
                <w:tcPr>
                  <w:tcW w:w="528" w:type="pct"/>
                  <w:vAlign w:val="center"/>
                </w:tcPr>
                <w:p w14:paraId="6FDD8208">
                  <w:pPr>
                    <w:jc w:val="center"/>
                    <w:rPr>
                      <w:rFonts w:hint="default" w:eastAsia="宋体"/>
                      <w:szCs w:val="21"/>
                      <w:lang w:val="en-US" w:eastAsia="zh-CN"/>
                    </w:rPr>
                  </w:pPr>
                  <w:r>
                    <w:rPr>
                      <w:rFonts w:hint="eastAsia"/>
                      <w:szCs w:val="21"/>
                      <w:lang w:val="en-US" w:eastAsia="zh-CN"/>
                    </w:rPr>
                    <w:t>20</w:t>
                  </w:r>
                </w:p>
              </w:tc>
              <w:tc>
                <w:tcPr>
                  <w:tcW w:w="359" w:type="pct"/>
                  <w:vAlign w:val="center"/>
                </w:tcPr>
                <w:p w14:paraId="479CF7B9">
                  <w:pPr>
                    <w:jc w:val="center"/>
                    <w:rPr>
                      <w:rFonts w:hint="default"/>
                      <w:szCs w:val="21"/>
                      <w:lang w:val="en-US" w:eastAsia="zh-CN"/>
                    </w:rPr>
                  </w:pPr>
                  <w:r>
                    <w:rPr>
                      <w:rFonts w:hint="eastAsia"/>
                      <w:szCs w:val="21"/>
                      <w:lang w:val="en-US" w:eastAsia="zh-CN"/>
                    </w:rPr>
                    <w:t>固</w:t>
                  </w:r>
                </w:p>
              </w:tc>
              <w:tc>
                <w:tcPr>
                  <w:tcW w:w="606" w:type="pct"/>
                  <w:vAlign w:val="center"/>
                </w:tcPr>
                <w:p w14:paraId="12E814B7">
                  <w:pPr>
                    <w:jc w:val="center"/>
                    <w:rPr>
                      <w:rFonts w:hint="eastAsia" w:eastAsia="宋体"/>
                      <w:color w:val="FF0000"/>
                      <w:szCs w:val="21"/>
                      <w:lang w:val="en-US" w:eastAsia="zh-CN"/>
                    </w:rPr>
                  </w:pPr>
                  <w:r>
                    <w:rPr>
                      <w:rFonts w:hint="eastAsia"/>
                      <w:color w:val="FF0000"/>
                      <w:szCs w:val="21"/>
                      <w:lang w:val="en-US" w:eastAsia="zh-CN"/>
                    </w:rPr>
                    <w:t>袋装</w:t>
                  </w:r>
                </w:p>
              </w:tc>
              <w:tc>
                <w:tcPr>
                  <w:tcW w:w="469" w:type="pct"/>
                  <w:vAlign w:val="center"/>
                </w:tcPr>
                <w:p w14:paraId="678CC42A">
                  <w:pPr>
                    <w:jc w:val="center"/>
                    <w:rPr>
                      <w:szCs w:val="21"/>
                    </w:rPr>
                  </w:pPr>
                  <w:r>
                    <w:rPr>
                      <w:rFonts w:hint="eastAsia" w:ascii="Times New Roman" w:hAnsi="Times New Roman" w:eastAsia="宋体" w:cs="Times New Roman"/>
                      <w:szCs w:val="21"/>
                      <w:lang w:val="en-US" w:eastAsia="zh-CN"/>
                    </w:rPr>
                    <w:t>外购</w:t>
                  </w:r>
                </w:p>
              </w:tc>
              <w:tc>
                <w:tcPr>
                  <w:tcW w:w="898" w:type="pct"/>
                  <w:vAlign w:val="center"/>
                </w:tcPr>
                <w:p w14:paraId="10AD2149">
                  <w:pPr>
                    <w:jc w:val="center"/>
                    <w:rPr>
                      <w:rFonts w:hint="eastAsia" w:ascii="Times New Roman" w:hAnsi="Times New Roman" w:eastAsia="宋体" w:cs="Times New Roman"/>
                      <w:color w:val="FF0000"/>
                      <w:szCs w:val="21"/>
                      <w:lang w:val="en-US" w:eastAsia="zh-CN"/>
                    </w:rPr>
                  </w:pPr>
                  <w:r>
                    <w:rPr>
                      <w:rFonts w:hint="eastAsia"/>
                      <w:color w:val="FF0000"/>
                      <w:szCs w:val="21"/>
                      <w:lang w:val="en-US" w:eastAsia="zh-CN"/>
                    </w:rPr>
                    <w:t>原料库</w:t>
                  </w:r>
                </w:p>
              </w:tc>
            </w:tr>
            <w:tr w14:paraId="46CF3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shd w:val="clear" w:color="auto" w:fill="auto"/>
                  <w:vAlign w:val="center"/>
                </w:tcPr>
                <w:p w14:paraId="2F592E20">
                  <w:pPr>
                    <w:jc w:val="center"/>
                    <w:rPr>
                      <w:rFonts w:hint="eastAsia" w:ascii="Times New Roman" w:hAnsi="Times New Roman" w:eastAsia="宋体" w:cs="Times New Roman"/>
                      <w:kern w:val="2"/>
                      <w:sz w:val="21"/>
                      <w:szCs w:val="21"/>
                      <w:lang w:val="en-US" w:eastAsia="zh-CN" w:bidi="ar-SA"/>
                    </w:rPr>
                  </w:pPr>
                  <w:r>
                    <w:rPr>
                      <w:rFonts w:hint="eastAsia"/>
                      <w:szCs w:val="21"/>
                      <w:lang w:val="en-US" w:eastAsia="zh-CN"/>
                    </w:rPr>
                    <w:t>9</w:t>
                  </w:r>
                </w:p>
              </w:tc>
              <w:tc>
                <w:tcPr>
                  <w:tcW w:w="764" w:type="pct"/>
                  <w:vAlign w:val="center"/>
                </w:tcPr>
                <w:p w14:paraId="523AB5A8">
                  <w:pPr>
                    <w:jc w:val="center"/>
                    <w:rPr>
                      <w:rFonts w:hint="default" w:ascii="宋体" w:cs="宋体"/>
                      <w:kern w:val="0"/>
                      <w:szCs w:val="21"/>
                      <w:lang w:val="en-US" w:eastAsia="zh-CN"/>
                    </w:rPr>
                  </w:pPr>
                  <w:r>
                    <w:rPr>
                      <w:rFonts w:hint="eastAsia" w:ascii="宋体" w:cs="宋体"/>
                      <w:kern w:val="0"/>
                      <w:szCs w:val="21"/>
                      <w:lang w:val="en-US" w:eastAsia="zh-CN"/>
                    </w:rPr>
                    <w:t>铜线</w:t>
                  </w:r>
                </w:p>
              </w:tc>
              <w:tc>
                <w:tcPr>
                  <w:tcW w:w="508" w:type="pct"/>
                  <w:vAlign w:val="center"/>
                </w:tcPr>
                <w:p w14:paraId="482E1ACA">
                  <w:pPr>
                    <w:jc w:val="center"/>
                    <w:rPr>
                      <w:rFonts w:hint="default" w:eastAsia="宋体"/>
                      <w:szCs w:val="21"/>
                      <w:lang w:val="en-US" w:eastAsia="zh-CN"/>
                    </w:rPr>
                  </w:pPr>
                  <w:r>
                    <w:rPr>
                      <w:rFonts w:hint="eastAsia"/>
                      <w:szCs w:val="21"/>
                      <w:lang w:val="en-US" w:eastAsia="zh-CN"/>
                    </w:rPr>
                    <w:t>4000</w:t>
                  </w:r>
                </w:p>
              </w:tc>
              <w:tc>
                <w:tcPr>
                  <w:tcW w:w="556" w:type="pct"/>
                  <w:vAlign w:val="center"/>
                </w:tcPr>
                <w:p w14:paraId="27CB6D6B">
                  <w:pPr>
                    <w:jc w:val="center"/>
                    <w:rPr>
                      <w:rFonts w:hint="default" w:eastAsia="宋体"/>
                      <w:szCs w:val="21"/>
                      <w:lang w:val="en-US" w:eastAsia="zh-CN"/>
                    </w:rPr>
                  </w:pPr>
                  <w:r>
                    <w:rPr>
                      <w:rFonts w:hint="eastAsia"/>
                      <w:szCs w:val="21"/>
                      <w:lang w:val="en-US" w:eastAsia="zh-CN"/>
                    </w:rPr>
                    <w:t>万m/a</w:t>
                  </w:r>
                </w:p>
              </w:tc>
              <w:tc>
                <w:tcPr>
                  <w:tcW w:w="528" w:type="pct"/>
                  <w:vAlign w:val="center"/>
                </w:tcPr>
                <w:p w14:paraId="4D9E3883">
                  <w:pPr>
                    <w:jc w:val="center"/>
                    <w:rPr>
                      <w:rFonts w:hint="default" w:eastAsia="宋体"/>
                      <w:szCs w:val="21"/>
                      <w:lang w:val="en-US" w:eastAsia="zh-CN"/>
                    </w:rPr>
                  </w:pPr>
                  <w:r>
                    <w:rPr>
                      <w:rFonts w:hint="eastAsia"/>
                      <w:szCs w:val="21"/>
                      <w:lang w:val="en-US" w:eastAsia="zh-CN"/>
                    </w:rPr>
                    <w:t>20</w:t>
                  </w:r>
                </w:p>
              </w:tc>
              <w:tc>
                <w:tcPr>
                  <w:tcW w:w="359" w:type="pct"/>
                  <w:vAlign w:val="center"/>
                </w:tcPr>
                <w:p w14:paraId="2D77089C">
                  <w:pPr>
                    <w:jc w:val="center"/>
                    <w:rPr>
                      <w:rFonts w:hint="default"/>
                      <w:szCs w:val="21"/>
                      <w:lang w:val="en-US" w:eastAsia="zh-CN"/>
                    </w:rPr>
                  </w:pPr>
                  <w:r>
                    <w:rPr>
                      <w:rFonts w:hint="eastAsia"/>
                      <w:szCs w:val="21"/>
                      <w:lang w:val="en-US" w:eastAsia="zh-CN"/>
                    </w:rPr>
                    <w:t>固</w:t>
                  </w:r>
                </w:p>
              </w:tc>
              <w:tc>
                <w:tcPr>
                  <w:tcW w:w="606" w:type="pct"/>
                  <w:vAlign w:val="center"/>
                </w:tcPr>
                <w:p w14:paraId="2829A43D">
                  <w:pPr>
                    <w:jc w:val="center"/>
                    <w:rPr>
                      <w:rFonts w:hint="eastAsia" w:eastAsia="宋体"/>
                      <w:color w:val="FF0000"/>
                      <w:szCs w:val="21"/>
                      <w:lang w:val="en-US" w:eastAsia="zh-CN"/>
                    </w:rPr>
                  </w:pPr>
                  <w:r>
                    <w:rPr>
                      <w:rFonts w:hint="eastAsia"/>
                      <w:color w:val="FF0000"/>
                      <w:szCs w:val="21"/>
                      <w:lang w:val="en-US" w:eastAsia="zh-CN"/>
                    </w:rPr>
                    <w:t>袋装</w:t>
                  </w:r>
                </w:p>
              </w:tc>
              <w:tc>
                <w:tcPr>
                  <w:tcW w:w="469" w:type="pct"/>
                  <w:vAlign w:val="center"/>
                </w:tcPr>
                <w:p w14:paraId="6CC910BD">
                  <w:pPr>
                    <w:jc w:val="center"/>
                    <w:rPr>
                      <w:szCs w:val="21"/>
                    </w:rPr>
                  </w:pPr>
                  <w:r>
                    <w:rPr>
                      <w:rFonts w:hint="eastAsia" w:ascii="Times New Roman" w:hAnsi="Times New Roman" w:eastAsia="宋体" w:cs="Times New Roman"/>
                      <w:szCs w:val="21"/>
                      <w:lang w:val="en-US" w:eastAsia="zh-CN"/>
                    </w:rPr>
                    <w:t>外购</w:t>
                  </w:r>
                </w:p>
              </w:tc>
              <w:tc>
                <w:tcPr>
                  <w:tcW w:w="898" w:type="pct"/>
                  <w:vAlign w:val="center"/>
                </w:tcPr>
                <w:p w14:paraId="37C99542">
                  <w:pPr>
                    <w:jc w:val="center"/>
                    <w:rPr>
                      <w:rFonts w:hint="eastAsia" w:ascii="Times New Roman" w:hAnsi="Times New Roman" w:eastAsia="宋体" w:cs="Times New Roman"/>
                      <w:color w:val="FF0000"/>
                      <w:szCs w:val="21"/>
                      <w:lang w:val="en-US" w:eastAsia="zh-CN"/>
                    </w:rPr>
                  </w:pPr>
                  <w:r>
                    <w:rPr>
                      <w:rFonts w:hint="eastAsia"/>
                      <w:color w:val="FF0000"/>
                      <w:szCs w:val="21"/>
                      <w:lang w:val="en-US" w:eastAsia="zh-CN"/>
                    </w:rPr>
                    <w:t>原料库</w:t>
                  </w:r>
                </w:p>
              </w:tc>
            </w:tr>
            <w:tr w14:paraId="5EB19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shd w:val="clear" w:color="auto" w:fill="auto"/>
                  <w:vAlign w:val="center"/>
                </w:tcPr>
                <w:p w14:paraId="5EFEC1F5">
                  <w:pPr>
                    <w:jc w:val="center"/>
                    <w:rPr>
                      <w:rFonts w:hint="eastAsia" w:ascii="Times New Roman" w:hAnsi="Times New Roman" w:eastAsia="宋体" w:cs="Times New Roman"/>
                      <w:kern w:val="2"/>
                      <w:sz w:val="21"/>
                      <w:szCs w:val="21"/>
                      <w:lang w:val="en-US" w:eastAsia="zh-CN" w:bidi="ar-SA"/>
                    </w:rPr>
                  </w:pPr>
                  <w:r>
                    <w:rPr>
                      <w:rFonts w:hint="eastAsia"/>
                      <w:szCs w:val="21"/>
                      <w:lang w:val="en-US" w:eastAsia="zh-CN"/>
                    </w:rPr>
                    <w:t>10</w:t>
                  </w:r>
                </w:p>
              </w:tc>
              <w:tc>
                <w:tcPr>
                  <w:tcW w:w="764" w:type="pct"/>
                  <w:vAlign w:val="center"/>
                </w:tcPr>
                <w:p w14:paraId="6E63B1A9">
                  <w:pPr>
                    <w:jc w:val="center"/>
                    <w:rPr>
                      <w:rFonts w:hint="eastAsia" w:ascii="宋体" w:eastAsia="宋体" w:cs="宋体"/>
                      <w:kern w:val="0"/>
                      <w:szCs w:val="21"/>
                      <w:lang w:eastAsia="zh-CN"/>
                    </w:rPr>
                  </w:pPr>
                  <w:r>
                    <w:rPr>
                      <w:rFonts w:hint="eastAsia" w:ascii="宋体" w:cs="宋体"/>
                      <w:kern w:val="0"/>
                      <w:szCs w:val="21"/>
                      <w:lang w:val="en-US" w:eastAsia="zh-CN"/>
                    </w:rPr>
                    <w:t>载带</w:t>
                  </w:r>
                </w:p>
              </w:tc>
              <w:tc>
                <w:tcPr>
                  <w:tcW w:w="508" w:type="pct"/>
                  <w:shd w:val="clear" w:color="auto" w:fill="auto"/>
                  <w:vAlign w:val="center"/>
                </w:tcPr>
                <w:p w14:paraId="01A3A28D">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4000</w:t>
                  </w:r>
                </w:p>
              </w:tc>
              <w:tc>
                <w:tcPr>
                  <w:tcW w:w="556" w:type="pct"/>
                  <w:shd w:val="clear" w:color="auto" w:fill="auto"/>
                  <w:vAlign w:val="center"/>
                </w:tcPr>
                <w:p w14:paraId="7D9F9BF7">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万m/a</w:t>
                  </w:r>
                </w:p>
              </w:tc>
              <w:tc>
                <w:tcPr>
                  <w:tcW w:w="528" w:type="pct"/>
                  <w:vAlign w:val="center"/>
                </w:tcPr>
                <w:p w14:paraId="6F2F3B07">
                  <w:pPr>
                    <w:jc w:val="center"/>
                    <w:rPr>
                      <w:rFonts w:hint="default" w:eastAsia="宋体"/>
                      <w:szCs w:val="21"/>
                      <w:lang w:val="en-US" w:eastAsia="zh-CN"/>
                    </w:rPr>
                  </w:pPr>
                  <w:r>
                    <w:rPr>
                      <w:rFonts w:hint="eastAsia"/>
                      <w:szCs w:val="21"/>
                      <w:lang w:val="en-US" w:eastAsia="zh-CN"/>
                    </w:rPr>
                    <w:t>20</w:t>
                  </w:r>
                </w:p>
              </w:tc>
              <w:tc>
                <w:tcPr>
                  <w:tcW w:w="359" w:type="pct"/>
                  <w:vAlign w:val="center"/>
                </w:tcPr>
                <w:p w14:paraId="2F022933">
                  <w:pPr>
                    <w:jc w:val="center"/>
                    <w:rPr>
                      <w:rFonts w:hint="default"/>
                      <w:szCs w:val="21"/>
                      <w:lang w:val="en-US" w:eastAsia="zh-CN"/>
                    </w:rPr>
                  </w:pPr>
                  <w:r>
                    <w:rPr>
                      <w:rFonts w:hint="eastAsia"/>
                      <w:szCs w:val="21"/>
                      <w:lang w:val="en-US" w:eastAsia="zh-CN"/>
                    </w:rPr>
                    <w:t>固</w:t>
                  </w:r>
                </w:p>
              </w:tc>
              <w:tc>
                <w:tcPr>
                  <w:tcW w:w="606" w:type="pct"/>
                  <w:vAlign w:val="center"/>
                </w:tcPr>
                <w:p w14:paraId="01F8814B">
                  <w:pPr>
                    <w:jc w:val="center"/>
                    <w:rPr>
                      <w:color w:val="FF0000"/>
                      <w:szCs w:val="21"/>
                    </w:rPr>
                  </w:pPr>
                  <w:r>
                    <w:rPr>
                      <w:rFonts w:hint="eastAsia"/>
                      <w:color w:val="FF0000"/>
                      <w:szCs w:val="21"/>
                    </w:rPr>
                    <w:t>袋装</w:t>
                  </w:r>
                </w:p>
              </w:tc>
              <w:tc>
                <w:tcPr>
                  <w:tcW w:w="469" w:type="pct"/>
                  <w:vAlign w:val="center"/>
                </w:tcPr>
                <w:p w14:paraId="3584D690">
                  <w:pPr>
                    <w:jc w:val="center"/>
                    <w:rPr>
                      <w:szCs w:val="21"/>
                      <w:highlight w:val="yellow"/>
                    </w:rPr>
                  </w:pPr>
                  <w:r>
                    <w:rPr>
                      <w:szCs w:val="21"/>
                    </w:rPr>
                    <w:t>外购</w:t>
                  </w:r>
                </w:p>
              </w:tc>
              <w:tc>
                <w:tcPr>
                  <w:tcW w:w="898" w:type="pct"/>
                  <w:vAlign w:val="center"/>
                </w:tcPr>
                <w:p w14:paraId="3D6763B4">
                  <w:pPr>
                    <w:jc w:val="center"/>
                    <w:rPr>
                      <w:color w:val="FF0000"/>
                      <w:szCs w:val="21"/>
                    </w:rPr>
                  </w:pPr>
                  <w:r>
                    <w:rPr>
                      <w:rFonts w:hint="eastAsia"/>
                      <w:color w:val="FF0000"/>
                      <w:szCs w:val="21"/>
                      <w:lang w:val="en-US" w:eastAsia="zh-CN"/>
                    </w:rPr>
                    <w:t>原料库</w:t>
                  </w:r>
                </w:p>
              </w:tc>
            </w:tr>
            <w:tr w14:paraId="47473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shd w:val="clear" w:color="auto" w:fill="auto"/>
                  <w:vAlign w:val="center"/>
                </w:tcPr>
                <w:p w14:paraId="25A2CFCF">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11</w:t>
                  </w:r>
                </w:p>
              </w:tc>
              <w:tc>
                <w:tcPr>
                  <w:tcW w:w="764" w:type="pct"/>
                  <w:vAlign w:val="center"/>
                </w:tcPr>
                <w:p w14:paraId="720AF796">
                  <w:pPr>
                    <w:jc w:val="center"/>
                    <w:rPr>
                      <w:rFonts w:hint="eastAsia" w:ascii="宋体" w:eastAsia="宋体" w:cs="宋体"/>
                      <w:kern w:val="0"/>
                      <w:szCs w:val="21"/>
                      <w:lang w:eastAsia="zh-CN"/>
                    </w:rPr>
                  </w:pPr>
                  <w:r>
                    <w:rPr>
                      <w:rFonts w:hint="eastAsia" w:ascii="宋体" w:cs="宋体"/>
                      <w:kern w:val="0"/>
                      <w:szCs w:val="21"/>
                      <w:lang w:val="en-US" w:eastAsia="zh-CN"/>
                    </w:rPr>
                    <w:t>上封带</w:t>
                  </w:r>
                </w:p>
              </w:tc>
              <w:tc>
                <w:tcPr>
                  <w:tcW w:w="508" w:type="pct"/>
                  <w:shd w:val="clear" w:color="auto" w:fill="auto"/>
                  <w:vAlign w:val="center"/>
                </w:tcPr>
                <w:p w14:paraId="29C928F5">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4000</w:t>
                  </w:r>
                </w:p>
              </w:tc>
              <w:tc>
                <w:tcPr>
                  <w:tcW w:w="556" w:type="pct"/>
                  <w:shd w:val="clear" w:color="auto" w:fill="auto"/>
                  <w:vAlign w:val="center"/>
                </w:tcPr>
                <w:p w14:paraId="24E861FF">
                  <w:pPr>
                    <w:jc w:val="center"/>
                    <w:rPr>
                      <w:rFonts w:hint="default" w:ascii="Times New Roman" w:hAnsi="Times New Roman" w:eastAsia="宋体" w:cs="Times New Roman"/>
                      <w:kern w:val="2"/>
                      <w:sz w:val="21"/>
                      <w:szCs w:val="21"/>
                      <w:lang w:val="en-US" w:eastAsia="zh-CN" w:bidi="ar-SA"/>
                    </w:rPr>
                  </w:pPr>
                  <w:r>
                    <w:rPr>
                      <w:rFonts w:hint="eastAsia"/>
                      <w:szCs w:val="21"/>
                      <w:lang w:val="en-US" w:eastAsia="zh-CN"/>
                    </w:rPr>
                    <w:t>万m/a</w:t>
                  </w:r>
                </w:p>
              </w:tc>
              <w:tc>
                <w:tcPr>
                  <w:tcW w:w="528" w:type="pct"/>
                  <w:vAlign w:val="center"/>
                </w:tcPr>
                <w:p w14:paraId="25351566">
                  <w:pPr>
                    <w:jc w:val="center"/>
                    <w:rPr>
                      <w:rFonts w:hint="default" w:eastAsia="宋体"/>
                      <w:szCs w:val="21"/>
                      <w:lang w:val="en-US" w:eastAsia="zh-CN"/>
                    </w:rPr>
                  </w:pPr>
                  <w:r>
                    <w:rPr>
                      <w:rFonts w:hint="eastAsia"/>
                      <w:szCs w:val="21"/>
                      <w:lang w:val="en-US" w:eastAsia="zh-CN"/>
                    </w:rPr>
                    <w:t>20</w:t>
                  </w:r>
                </w:p>
              </w:tc>
              <w:tc>
                <w:tcPr>
                  <w:tcW w:w="359" w:type="pct"/>
                  <w:vAlign w:val="center"/>
                </w:tcPr>
                <w:p w14:paraId="29610C10">
                  <w:pPr>
                    <w:jc w:val="center"/>
                    <w:rPr>
                      <w:rFonts w:hint="default"/>
                      <w:szCs w:val="21"/>
                      <w:lang w:val="en-US" w:eastAsia="zh-CN"/>
                    </w:rPr>
                  </w:pPr>
                  <w:r>
                    <w:rPr>
                      <w:rFonts w:hint="eastAsia"/>
                      <w:szCs w:val="21"/>
                      <w:lang w:val="en-US" w:eastAsia="zh-CN"/>
                    </w:rPr>
                    <w:t>固</w:t>
                  </w:r>
                </w:p>
              </w:tc>
              <w:tc>
                <w:tcPr>
                  <w:tcW w:w="606" w:type="pct"/>
                  <w:vAlign w:val="center"/>
                </w:tcPr>
                <w:p w14:paraId="0082AE18">
                  <w:pPr>
                    <w:jc w:val="center"/>
                    <w:rPr>
                      <w:rFonts w:hint="eastAsia" w:eastAsia="宋体"/>
                      <w:color w:val="FF0000"/>
                      <w:szCs w:val="21"/>
                      <w:lang w:val="en-US" w:eastAsia="zh-CN"/>
                    </w:rPr>
                  </w:pPr>
                  <w:r>
                    <w:rPr>
                      <w:rFonts w:hint="eastAsia"/>
                      <w:color w:val="FF0000"/>
                      <w:szCs w:val="21"/>
                      <w:lang w:val="en-US" w:eastAsia="zh-CN"/>
                    </w:rPr>
                    <w:t>袋装</w:t>
                  </w:r>
                </w:p>
              </w:tc>
              <w:tc>
                <w:tcPr>
                  <w:tcW w:w="469" w:type="pct"/>
                  <w:vAlign w:val="center"/>
                </w:tcPr>
                <w:p w14:paraId="305D7F80">
                  <w:pPr>
                    <w:jc w:val="center"/>
                    <w:rPr>
                      <w:szCs w:val="21"/>
                    </w:rPr>
                  </w:pPr>
                  <w:r>
                    <w:rPr>
                      <w:szCs w:val="21"/>
                    </w:rPr>
                    <w:t>外购</w:t>
                  </w:r>
                </w:p>
              </w:tc>
              <w:tc>
                <w:tcPr>
                  <w:tcW w:w="898" w:type="pct"/>
                  <w:vAlign w:val="center"/>
                </w:tcPr>
                <w:p w14:paraId="3497687E">
                  <w:pPr>
                    <w:jc w:val="center"/>
                    <w:rPr>
                      <w:color w:val="FF0000"/>
                      <w:szCs w:val="21"/>
                    </w:rPr>
                  </w:pPr>
                  <w:r>
                    <w:rPr>
                      <w:rFonts w:hint="eastAsia"/>
                      <w:color w:val="FF0000"/>
                      <w:szCs w:val="21"/>
                      <w:lang w:val="en-US" w:eastAsia="zh-CN"/>
                    </w:rPr>
                    <w:t>原料库</w:t>
                  </w:r>
                </w:p>
              </w:tc>
            </w:tr>
            <w:tr w14:paraId="11E1E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shd w:val="clear" w:color="auto" w:fill="auto"/>
                  <w:vAlign w:val="center"/>
                </w:tcPr>
                <w:p w14:paraId="43CA2D80">
                  <w:pPr>
                    <w:jc w:val="center"/>
                    <w:rPr>
                      <w:rFonts w:hint="default"/>
                      <w:szCs w:val="21"/>
                      <w:lang w:val="en-US" w:eastAsia="zh-CN"/>
                    </w:rPr>
                  </w:pPr>
                  <w:r>
                    <w:rPr>
                      <w:rFonts w:hint="eastAsia"/>
                      <w:szCs w:val="21"/>
                      <w:lang w:val="en-US" w:eastAsia="zh-CN"/>
                    </w:rPr>
                    <w:t>12</w:t>
                  </w:r>
                </w:p>
              </w:tc>
              <w:tc>
                <w:tcPr>
                  <w:tcW w:w="764" w:type="pct"/>
                  <w:vAlign w:val="center"/>
                </w:tcPr>
                <w:p w14:paraId="39452A20">
                  <w:pPr>
                    <w:jc w:val="center"/>
                    <w:rPr>
                      <w:rFonts w:hint="default" w:ascii="宋体" w:cs="宋体"/>
                      <w:kern w:val="0"/>
                      <w:szCs w:val="21"/>
                      <w:lang w:val="en-US" w:eastAsia="zh-CN"/>
                    </w:rPr>
                  </w:pPr>
                  <w:r>
                    <w:rPr>
                      <w:rFonts w:hint="eastAsia" w:ascii="宋体" w:cs="宋体"/>
                      <w:kern w:val="0"/>
                      <w:szCs w:val="21"/>
                      <w:lang w:val="en-US" w:eastAsia="zh-CN"/>
                    </w:rPr>
                    <w:t>卷盘</w:t>
                  </w:r>
                </w:p>
              </w:tc>
              <w:tc>
                <w:tcPr>
                  <w:tcW w:w="508" w:type="pct"/>
                  <w:vAlign w:val="center"/>
                </w:tcPr>
                <w:p w14:paraId="2493EC4E">
                  <w:pPr>
                    <w:jc w:val="center"/>
                    <w:rPr>
                      <w:rFonts w:hint="default"/>
                      <w:szCs w:val="21"/>
                      <w:lang w:val="en-US" w:eastAsia="zh-CN"/>
                    </w:rPr>
                  </w:pPr>
                  <w:r>
                    <w:rPr>
                      <w:rFonts w:hint="eastAsia"/>
                      <w:szCs w:val="21"/>
                      <w:lang w:val="en-US" w:eastAsia="zh-CN"/>
                    </w:rPr>
                    <w:t>400</w:t>
                  </w:r>
                </w:p>
              </w:tc>
              <w:tc>
                <w:tcPr>
                  <w:tcW w:w="556" w:type="pct"/>
                  <w:vAlign w:val="center"/>
                </w:tcPr>
                <w:p w14:paraId="30FB03BA">
                  <w:pPr>
                    <w:jc w:val="center"/>
                    <w:rPr>
                      <w:rFonts w:hint="eastAsia"/>
                      <w:szCs w:val="21"/>
                    </w:rPr>
                  </w:pPr>
                  <w:r>
                    <w:rPr>
                      <w:rFonts w:hint="eastAsia"/>
                      <w:szCs w:val="21"/>
                      <w:lang w:val="en-US" w:eastAsia="zh-CN"/>
                    </w:rPr>
                    <w:t>万个</w:t>
                  </w:r>
                  <w:r>
                    <w:rPr>
                      <w:szCs w:val="21"/>
                    </w:rPr>
                    <w:t>/a</w:t>
                  </w:r>
                </w:p>
              </w:tc>
              <w:tc>
                <w:tcPr>
                  <w:tcW w:w="528" w:type="pct"/>
                  <w:vAlign w:val="center"/>
                </w:tcPr>
                <w:p w14:paraId="1E3BB952">
                  <w:pPr>
                    <w:jc w:val="center"/>
                    <w:rPr>
                      <w:rFonts w:hint="default"/>
                      <w:szCs w:val="21"/>
                      <w:lang w:val="en-US" w:eastAsia="zh-CN"/>
                    </w:rPr>
                  </w:pPr>
                  <w:r>
                    <w:rPr>
                      <w:rFonts w:hint="eastAsia"/>
                      <w:szCs w:val="21"/>
                      <w:lang w:val="en-US" w:eastAsia="zh-CN"/>
                    </w:rPr>
                    <w:t>5</w:t>
                  </w:r>
                </w:p>
              </w:tc>
              <w:tc>
                <w:tcPr>
                  <w:tcW w:w="359" w:type="pct"/>
                  <w:vAlign w:val="center"/>
                </w:tcPr>
                <w:p w14:paraId="3018D52A">
                  <w:pPr>
                    <w:jc w:val="center"/>
                    <w:rPr>
                      <w:rFonts w:hint="default"/>
                      <w:szCs w:val="21"/>
                      <w:lang w:val="en-US" w:eastAsia="zh-CN"/>
                    </w:rPr>
                  </w:pPr>
                  <w:r>
                    <w:rPr>
                      <w:rFonts w:hint="eastAsia"/>
                      <w:szCs w:val="21"/>
                      <w:lang w:val="en-US" w:eastAsia="zh-CN"/>
                    </w:rPr>
                    <w:t>固</w:t>
                  </w:r>
                </w:p>
              </w:tc>
              <w:tc>
                <w:tcPr>
                  <w:tcW w:w="606" w:type="pct"/>
                  <w:vAlign w:val="center"/>
                </w:tcPr>
                <w:p w14:paraId="2AB5E807">
                  <w:pPr>
                    <w:jc w:val="center"/>
                    <w:rPr>
                      <w:rFonts w:hint="default"/>
                      <w:color w:val="FF0000"/>
                      <w:szCs w:val="21"/>
                      <w:lang w:val="en-US" w:eastAsia="zh-CN"/>
                    </w:rPr>
                  </w:pPr>
                  <w:r>
                    <w:rPr>
                      <w:rFonts w:hint="eastAsia"/>
                      <w:color w:val="FF0000"/>
                      <w:szCs w:val="21"/>
                      <w:lang w:val="en-US" w:eastAsia="zh-CN"/>
                    </w:rPr>
                    <w:t>箱装</w:t>
                  </w:r>
                </w:p>
              </w:tc>
              <w:tc>
                <w:tcPr>
                  <w:tcW w:w="469" w:type="pct"/>
                  <w:vAlign w:val="center"/>
                </w:tcPr>
                <w:p w14:paraId="3C10FC3E">
                  <w:pPr>
                    <w:jc w:val="center"/>
                    <w:rPr>
                      <w:rFonts w:hint="eastAsia" w:eastAsia="宋体"/>
                      <w:szCs w:val="21"/>
                      <w:lang w:val="en-US" w:eastAsia="zh-CN"/>
                    </w:rPr>
                  </w:pPr>
                  <w:r>
                    <w:rPr>
                      <w:rFonts w:hint="eastAsia"/>
                      <w:szCs w:val="21"/>
                      <w:lang w:val="en-US" w:eastAsia="zh-CN"/>
                    </w:rPr>
                    <w:t>外购</w:t>
                  </w:r>
                </w:p>
              </w:tc>
              <w:tc>
                <w:tcPr>
                  <w:tcW w:w="898" w:type="pct"/>
                  <w:vAlign w:val="center"/>
                </w:tcPr>
                <w:p w14:paraId="7EA538AF">
                  <w:pPr>
                    <w:jc w:val="center"/>
                    <w:rPr>
                      <w:rFonts w:hint="eastAsia"/>
                      <w:color w:val="FF0000"/>
                      <w:szCs w:val="21"/>
                      <w:lang w:val="en-US" w:eastAsia="zh-CN"/>
                    </w:rPr>
                  </w:pPr>
                  <w:r>
                    <w:rPr>
                      <w:rFonts w:hint="eastAsia"/>
                      <w:color w:val="FF0000"/>
                      <w:szCs w:val="21"/>
                      <w:lang w:val="en-US" w:eastAsia="zh-CN"/>
                    </w:rPr>
                    <w:t>原料库</w:t>
                  </w:r>
                </w:p>
              </w:tc>
            </w:tr>
            <w:tr w14:paraId="6736B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Align w:val="center"/>
                </w:tcPr>
                <w:p w14:paraId="1623D93E">
                  <w:pPr>
                    <w:jc w:val="center"/>
                    <w:rPr>
                      <w:rFonts w:hint="default" w:eastAsia="宋体"/>
                      <w:szCs w:val="21"/>
                      <w:lang w:val="en-US" w:eastAsia="zh-CN"/>
                    </w:rPr>
                  </w:pPr>
                  <w:r>
                    <w:rPr>
                      <w:rFonts w:hint="eastAsia"/>
                      <w:szCs w:val="21"/>
                      <w:lang w:val="en-US" w:eastAsia="zh-CN"/>
                    </w:rPr>
                    <w:t>13</w:t>
                  </w:r>
                </w:p>
              </w:tc>
              <w:tc>
                <w:tcPr>
                  <w:tcW w:w="764" w:type="pct"/>
                  <w:vAlign w:val="center"/>
                </w:tcPr>
                <w:p w14:paraId="7851E953">
                  <w:pPr>
                    <w:jc w:val="center"/>
                    <w:rPr>
                      <w:rFonts w:hint="default" w:ascii="宋体" w:eastAsia="宋体" w:cs="宋体"/>
                      <w:kern w:val="0"/>
                      <w:szCs w:val="21"/>
                      <w:lang w:val="en-US" w:eastAsia="zh-CN"/>
                    </w:rPr>
                  </w:pPr>
                  <w:r>
                    <w:rPr>
                      <w:rFonts w:hint="eastAsia" w:ascii="宋体" w:cs="宋体"/>
                      <w:kern w:val="0"/>
                      <w:szCs w:val="21"/>
                      <w:lang w:val="en-US" w:eastAsia="zh-CN"/>
                    </w:rPr>
                    <w:t>静电袋</w:t>
                  </w:r>
                </w:p>
              </w:tc>
              <w:tc>
                <w:tcPr>
                  <w:tcW w:w="508" w:type="pct"/>
                  <w:vAlign w:val="center"/>
                </w:tcPr>
                <w:p w14:paraId="79711221">
                  <w:pPr>
                    <w:jc w:val="center"/>
                    <w:rPr>
                      <w:rFonts w:hint="default" w:eastAsia="宋体"/>
                      <w:szCs w:val="21"/>
                      <w:lang w:val="en-US" w:eastAsia="zh-CN"/>
                    </w:rPr>
                  </w:pPr>
                  <w:r>
                    <w:rPr>
                      <w:rFonts w:hint="eastAsia"/>
                      <w:szCs w:val="21"/>
                      <w:lang w:val="en-US" w:eastAsia="zh-CN"/>
                    </w:rPr>
                    <w:t>400</w:t>
                  </w:r>
                </w:p>
              </w:tc>
              <w:tc>
                <w:tcPr>
                  <w:tcW w:w="556" w:type="pct"/>
                  <w:vAlign w:val="center"/>
                </w:tcPr>
                <w:p w14:paraId="01D17B4C">
                  <w:pPr>
                    <w:jc w:val="center"/>
                    <w:rPr>
                      <w:szCs w:val="21"/>
                    </w:rPr>
                  </w:pPr>
                  <w:r>
                    <w:rPr>
                      <w:rFonts w:hint="eastAsia"/>
                      <w:szCs w:val="21"/>
                      <w:lang w:val="en-US" w:eastAsia="zh-CN"/>
                    </w:rPr>
                    <w:t>万个</w:t>
                  </w:r>
                  <w:r>
                    <w:rPr>
                      <w:szCs w:val="21"/>
                    </w:rPr>
                    <w:t>/a</w:t>
                  </w:r>
                </w:p>
              </w:tc>
              <w:tc>
                <w:tcPr>
                  <w:tcW w:w="528" w:type="pct"/>
                  <w:vAlign w:val="center"/>
                </w:tcPr>
                <w:p w14:paraId="5C73B719">
                  <w:pPr>
                    <w:jc w:val="center"/>
                    <w:rPr>
                      <w:rFonts w:hint="default" w:eastAsia="宋体"/>
                      <w:szCs w:val="21"/>
                      <w:lang w:val="en-US" w:eastAsia="zh-CN"/>
                    </w:rPr>
                  </w:pPr>
                  <w:r>
                    <w:rPr>
                      <w:rFonts w:hint="eastAsia"/>
                      <w:szCs w:val="21"/>
                      <w:lang w:val="en-US" w:eastAsia="zh-CN"/>
                    </w:rPr>
                    <w:t>20</w:t>
                  </w:r>
                </w:p>
              </w:tc>
              <w:tc>
                <w:tcPr>
                  <w:tcW w:w="359" w:type="pct"/>
                  <w:vAlign w:val="center"/>
                </w:tcPr>
                <w:p w14:paraId="32A61AB7">
                  <w:pPr>
                    <w:jc w:val="center"/>
                    <w:rPr>
                      <w:rFonts w:hint="default"/>
                      <w:szCs w:val="21"/>
                      <w:lang w:val="en-US" w:eastAsia="zh-CN"/>
                    </w:rPr>
                  </w:pPr>
                  <w:r>
                    <w:rPr>
                      <w:rFonts w:hint="eastAsia"/>
                      <w:szCs w:val="21"/>
                      <w:lang w:val="en-US" w:eastAsia="zh-CN"/>
                    </w:rPr>
                    <w:t>固</w:t>
                  </w:r>
                </w:p>
              </w:tc>
              <w:tc>
                <w:tcPr>
                  <w:tcW w:w="606" w:type="pct"/>
                  <w:vAlign w:val="center"/>
                </w:tcPr>
                <w:p w14:paraId="5E442588">
                  <w:pPr>
                    <w:jc w:val="center"/>
                    <w:rPr>
                      <w:rFonts w:hint="eastAsia" w:eastAsia="宋体"/>
                      <w:color w:val="FF0000"/>
                      <w:szCs w:val="21"/>
                      <w:lang w:val="en-US" w:eastAsia="zh-CN"/>
                    </w:rPr>
                  </w:pPr>
                  <w:r>
                    <w:rPr>
                      <w:rFonts w:hint="eastAsia"/>
                      <w:color w:val="FF0000"/>
                      <w:szCs w:val="21"/>
                      <w:lang w:val="en-US" w:eastAsia="zh-CN"/>
                    </w:rPr>
                    <w:t>袋装</w:t>
                  </w:r>
                </w:p>
              </w:tc>
              <w:tc>
                <w:tcPr>
                  <w:tcW w:w="469" w:type="pct"/>
                  <w:vAlign w:val="center"/>
                </w:tcPr>
                <w:p w14:paraId="7760AF04">
                  <w:pPr>
                    <w:jc w:val="center"/>
                    <w:rPr>
                      <w:szCs w:val="21"/>
                    </w:rPr>
                  </w:pPr>
                  <w:r>
                    <w:rPr>
                      <w:szCs w:val="21"/>
                    </w:rPr>
                    <w:t>外购</w:t>
                  </w:r>
                </w:p>
              </w:tc>
              <w:tc>
                <w:tcPr>
                  <w:tcW w:w="898" w:type="pct"/>
                  <w:vAlign w:val="center"/>
                </w:tcPr>
                <w:p w14:paraId="34760697">
                  <w:pPr>
                    <w:jc w:val="center"/>
                    <w:rPr>
                      <w:color w:val="FF0000"/>
                      <w:szCs w:val="21"/>
                    </w:rPr>
                  </w:pPr>
                  <w:r>
                    <w:rPr>
                      <w:rFonts w:hint="eastAsia"/>
                      <w:color w:val="FF0000"/>
                      <w:szCs w:val="21"/>
                      <w:lang w:val="en-US" w:eastAsia="zh-CN"/>
                    </w:rPr>
                    <w:t>原料库</w:t>
                  </w:r>
                </w:p>
              </w:tc>
            </w:tr>
            <w:tr w14:paraId="72842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Align w:val="center"/>
                </w:tcPr>
                <w:p w14:paraId="3D940DDD">
                  <w:pPr>
                    <w:jc w:val="center"/>
                    <w:rPr>
                      <w:rFonts w:hint="default"/>
                      <w:szCs w:val="21"/>
                      <w:lang w:val="en-US" w:eastAsia="zh-CN"/>
                    </w:rPr>
                  </w:pPr>
                  <w:r>
                    <w:rPr>
                      <w:rFonts w:hint="eastAsia"/>
                      <w:szCs w:val="21"/>
                      <w:lang w:val="en-US" w:eastAsia="zh-CN"/>
                    </w:rPr>
                    <w:t>14</w:t>
                  </w:r>
                </w:p>
              </w:tc>
              <w:tc>
                <w:tcPr>
                  <w:tcW w:w="764" w:type="pct"/>
                  <w:vAlign w:val="center"/>
                </w:tcPr>
                <w:p w14:paraId="11C0CCDF">
                  <w:pPr>
                    <w:jc w:val="center"/>
                    <w:rPr>
                      <w:rFonts w:hint="default" w:ascii="宋体" w:cs="宋体"/>
                      <w:kern w:val="0"/>
                      <w:szCs w:val="21"/>
                      <w:lang w:val="en-US" w:eastAsia="zh-CN"/>
                    </w:rPr>
                  </w:pPr>
                  <w:r>
                    <w:rPr>
                      <w:rFonts w:hint="eastAsia" w:ascii="宋体" w:cs="宋体"/>
                      <w:kern w:val="0"/>
                      <w:szCs w:val="21"/>
                      <w:lang w:val="en-US" w:eastAsia="zh-CN"/>
                    </w:rPr>
                    <w:t>纸箱</w:t>
                  </w:r>
                </w:p>
              </w:tc>
              <w:tc>
                <w:tcPr>
                  <w:tcW w:w="508" w:type="pct"/>
                  <w:vAlign w:val="center"/>
                </w:tcPr>
                <w:p w14:paraId="771B0D04">
                  <w:pPr>
                    <w:jc w:val="center"/>
                    <w:rPr>
                      <w:rFonts w:hint="default"/>
                      <w:szCs w:val="21"/>
                      <w:lang w:val="en-US" w:eastAsia="zh-CN"/>
                    </w:rPr>
                  </w:pPr>
                  <w:r>
                    <w:rPr>
                      <w:rFonts w:hint="eastAsia"/>
                      <w:szCs w:val="21"/>
                      <w:lang w:val="en-US" w:eastAsia="zh-CN"/>
                    </w:rPr>
                    <w:t>400</w:t>
                  </w:r>
                </w:p>
              </w:tc>
              <w:tc>
                <w:tcPr>
                  <w:tcW w:w="556" w:type="pct"/>
                  <w:vAlign w:val="center"/>
                </w:tcPr>
                <w:p w14:paraId="45073BA2">
                  <w:pPr>
                    <w:jc w:val="center"/>
                    <w:rPr>
                      <w:rFonts w:hint="default"/>
                      <w:szCs w:val="21"/>
                      <w:lang w:val="en-US" w:eastAsia="zh-CN"/>
                    </w:rPr>
                  </w:pPr>
                  <w:r>
                    <w:rPr>
                      <w:rFonts w:hint="eastAsia"/>
                      <w:szCs w:val="21"/>
                      <w:lang w:val="en-US" w:eastAsia="zh-CN"/>
                    </w:rPr>
                    <w:t>万个/a</w:t>
                  </w:r>
                </w:p>
              </w:tc>
              <w:tc>
                <w:tcPr>
                  <w:tcW w:w="528" w:type="pct"/>
                  <w:vAlign w:val="center"/>
                </w:tcPr>
                <w:p w14:paraId="633ABC3D">
                  <w:pPr>
                    <w:jc w:val="center"/>
                    <w:rPr>
                      <w:rFonts w:hint="default"/>
                      <w:szCs w:val="21"/>
                      <w:lang w:val="en-US" w:eastAsia="zh-CN"/>
                    </w:rPr>
                  </w:pPr>
                  <w:r>
                    <w:rPr>
                      <w:rFonts w:hint="eastAsia"/>
                      <w:szCs w:val="21"/>
                      <w:lang w:val="en-US" w:eastAsia="zh-CN"/>
                    </w:rPr>
                    <w:t>20</w:t>
                  </w:r>
                </w:p>
              </w:tc>
              <w:tc>
                <w:tcPr>
                  <w:tcW w:w="359" w:type="pct"/>
                  <w:vAlign w:val="center"/>
                </w:tcPr>
                <w:p w14:paraId="7252A4DB">
                  <w:pPr>
                    <w:jc w:val="center"/>
                    <w:rPr>
                      <w:rFonts w:hint="default"/>
                      <w:szCs w:val="21"/>
                      <w:lang w:val="en-US" w:eastAsia="zh-CN"/>
                    </w:rPr>
                  </w:pPr>
                  <w:r>
                    <w:rPr>
                      <w:rFonts w:hint="eastAsia"/>
                      <w:szCs w:val="21"/>
                      <w:lang w:val="en-US" w:eastAsia="zh-CN"/>
                    </w:rPr>
                    <w:t>固</w:t>
                  </w:r>
                </w:p>
              </w:tc>
              <w:tc>
                <w:tcPr>
                  <w:tcW w:w="606" w:type="pct"/>
                  <w:vAlign w:val="center"/>
                </w:tcPr>
                <w:p w14:paraId="075F4C51">
                  <w:pPr>
                    <w:jc w:val="center"/>
                    <w:rPr>
                      <w:rFonts w:hint="default"/>
                      <w:color w:val="FF0000"/>
                      <w:szCs w:val="21"/>
                      <w:lang w:val="en-US" w:eastAsia="zh-CN"/>
                    </w:rPr>
                  </w:pPr>
                  <w:r>
                    <w:rPr>
                      <w:rFonts w:hint="eastAsia"/>
                      <w:color w:val="FF0000"/>
                      <w:szCs w:val="21"/>
                      <w:lang w:val="en-US" w:eastAsia="zh-CN"/>
                    </w:rPr>
                    <w:t>/</w:t>
                  </w:r>
                </w:p>
              </w:tc>
              <w:tc>
                <w:tcPr>
                  <w:tcW w:w="469" w:type="pct"/>
                  <w:vAlign w:val="center"/>
                </w:tcPr>
                <w:p w14:paraId="4C8B7C60">
                  <w:pPr>
                    <w:jc w:val="center"/>
                    <w:rPr>
                      <w:rFonts w:hint="default" w:eastAsia="宋体"/>
                      <w:szCs w:val="21"/>
                      <w:lang w:val="en-US" w:eastAsia="zh-CN"/>
                    </w:rPr>
                  </w:pPr>
                  <w:r>
                    <w:rPr>
                      <w:rFonts w:hint="eastAsia"/>
                      <w:szCs w:val="21"/>
                      <w:lang w:val="en-US" w:eastAsia="zh-CN"/>
                    </w:rPr>
                    <w:t>外购</w:t>
                  </w:r>
                </w:p>
              </w:tc>
              <w:tc>
                <w:tcPr>
                  <w:tcW w:w="898" w:type="pct"/>
                  <w:vAlign w:val="center"/>
                </w:tcPr>
                <w:p w14:paraId="504134EF">
                  <w:pPr>
                    <w:jc w:val="center"/>
                    <w:rPr>
                      <w:rFonts w:hint="eastAsia"/>
                      <w:color w:val="FF0000"/>
                      <w:szCs w:val="21"/>
                      <w:lang w:val="en-US" w:eastAsia="zh-CN"/>
                    </w:rPr>
                  </w:pPr>
                  <w:r>
                    <w:rPr>
                      <w:rFonts w:hint="eastAsia"/>
                      <w:color w:val="FF0000"/>
                      <w:szCs w:val="21"/>
                      <w:lang w:val="en-US" w:eastAsia="zh-CN"/>
                    </w:rPr>
                    <w:t>原料库</w:t>
                  </w:r>
                </w:p>
              </w:tc>
            </w:tr>
            <w:tr w14:paraId="2BF4A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Merge w:val="restart"/>
                  <w:vAlign w:val="center"/>
                </w:tcPr>
                <w:p w14:paraId="3307524B">
                  <w:pPr>
                    <w:jc w:val="center"/>
                    <w:rPr>
                      <w:szCs w:val="21"/>
                    </w:rPr>
                  </w:pPr>
                  <w:r>
                    <w:rPr>
                      <w:rFonts w:hint="eastAsia"/>
                      <w:szCs w:val="21"/>
                    </w:rPr>
                    <w:t>能源消耗</w:t>
                  </w:r>
                </w:p>
              </w:tc>
              <w:tc>
                <w:tcPr>
                  <w:tcW w:w="764" w:type="pct"/>
                  <w:vAlign w:val="center"/>
                </w:tcPr>
                <w:p w14:paraId="3AECD938">
                  <w:pPr>
                    <w:jc w:val="center"/>
                    <w:rPr>
                      <w:rFonts w:ascii="宋体" w:cs="宋体"/>
                      <w:kern w:val="0"/>
                      <w:szCs w:val="21"/>
                    </w:rPr>
                  </w:pPr>
                  <w:r>
                    <w:rPr>
                      <w:szCs w:val="21"/>
                    </w:rPr>
                    <w:t>电</w:t>
                  </w:r>
                </w:p>
              </w:tc>
              <w:tc>
                <w:tcPr>
                  <w:tcW w:w="508" w:type="pct"/>
                  <w:vAlign w:val="center"/>
                </w:tcPr>
                <w:p w14:paraId="2B56083F">
                  <w:pPr>
                    <w:jc w:val="center"/>
                    <w:rPr>
                      <w:rFonts w:hint="default" w:eastAsia="宋体"/>
                      <w:szCs w:val="21"/>
                      <w:lang w:val="en-US" w:eastAsia="zh-CN"/>
                    </w:rPr>
                  </w:pPr>
                  <w:r>
                    <w:rPr>
                      <w:rFonts w:hint="eastAsia"/>
                      <w:szCs w:val="21"/>
                      <w:lang w:val="en-US" w:eastAsia="zh-CN"/>
                    </w:rPr>
                    <w:t>120</w:t>
                  </w:r>
                </w:p>
              </w:tc>
              <w:tc>
                <w:tcPr>
                  <w:tcW w:w="556" w:type="pct"/>
                  <w:vAlign w:val="center"/>
                </w:tcPr>
                <w:p w14:paraId="1F35E459">
                  <w:pPr>
                    <w:jc w:val="center"/>
                    <w:rPr>
                      <w:szCs w:val="21"/>
                    </w:rPr>
                  </w:pPr>
                  <w:r>
                    <w:rPr>
                      <w:szCs w:val="21"/>
                    </w:rPr>
                    <w:t>万kWh/a</w:t>
                  </w:r>
                </w:p>
              </w:tc>
              <w:tc>
                <w:tcPr>
                  <w:tcW w:w="528" w:type="pct"/>
                  <w:vAlign w:val="center"/>
                </w:tcPr>
                <w:p w14:paraId="1E8716A1">
                  <w:pPr>
                    <w:jc w:val="center"/>
                    <w:rPr>
                      <w:szCs w:val="21"/>
                    </w:rPr>
                  </w:pPr>
                  <w:r>
                    <w:rPr>
                      <w:rFonts w:hint="eastAsia"/>
                      <w:szCs w:val="21"/>
                    </w:rPr>
                    <w:t>/</w:t>
                  </w:r>
                </w:p>
              </w:tc>
              <w:tc>
                <w:tcPr>
                  <w:tcW w:w="359" w:type="pct"/>
                  <w:vAlign w:val="center"/>
                </w:tcPr>
                <w:p w14:paraId="14A1C7F7">
                  <w:pPr>
                    <w:jc w:val="center"/>
                    <w:rPr>
                      <w:rFonts w:hint="eastAsia" w:eastAsia="宋体"/>
                      <w:szCs w:val="21"/>
                      <w:lang w:val="en-US" w:eastAsia="zh-CN"/>
                    </w:rPr>
                  </w:pPr>
                  <w:r>
                    <w:rPr>
                      <w:rFonts w:hint="eastAsia"/>
                      <w:szCs w:val="21"/>
                      <w:lang w:val="en-US" w:eastAsia="zh-CN"/>
                    </w:rPr>
                    <w:t>/</w:t>
                  </w:r>
                </w:p>
              </w:tc>
              <w:tc>
                <w:tcPr>
                  <w:tcW w:w="606" w:type="pct"/>
                  <w:vAlign w:val="center"/>
                </w:tcPr>
                <w:p w14:paraId="3F7BEBBD">
                  <w:pPr>
                    <w:jc w:val="center"/>
                    <w:rPr>
                      <w:color w:val="FF0000"/>
                      <w:szCs w:val="21"/>
                    </w:rPr>
                  </w:pPr>
                  <w:r>
                    <w:rPr>
                      <w:rFonts w:hint="eastAsia"/>
                      <w:color w:val="FF0000"/>
                      <w:szCs w:val="21"/>
                    </w:rPr>
                    <w:t>/</w:t>
                  </w:r>
                </w:p>
              </w:tc>
              <w:tc>
                <w:tcPr>
                  <w:tcW w:w="469" w:type="pct"/>
                  <w:vAlign w:val="center"/>
                </w:tcPr>
                <w:p w14:paraId="100F95EB">
                  <w:pPr>
                    <w:jc w:val="center"/>
                    <w:rPr>
                      <w:szCs w:val="21"/>
                    </w:rPr>
                  </w:pPr>
                  <w:r>
                    <w:rPr>
                      <w:rFonts w:hint="eastAsia"/>
                      <w:szCs w:val="21"/>
                    </w:rPr>
                    <w:t>市政电网</w:t>
                  </w:r>
                </w:p>
              </w:tc>
              <w:tc>
                <w:tcPr>
                  <w:tcW w:w="898" w:type="pct"/>
                  <w:vAlign w:val="center"/>
                </w:tcPr>
                <w:p w14:paraId="5EEC515E">
                  <w:pPr>
                    <w:jc w:val="center"/>
                    <w:rPr>
                      <w:rFonts w:hint="eastAsia" w:eastAsia="宋体"/>
                      <w:color w:val="FF0000"/>
                      <w:szCs w:val="21"/>
                      <w:lang w:val="en-US" w:eastAsia="zh-CN"/>
                    </w:rPr>
                  </w:pPr>
                  <w:r>
                    <w:rPr>
                      <w:rFonts w:hint="eastAsia"/>
                      <w:color w:val="FF0000"/>
                      <w:szCs w:val="21"/>
                      <w:lang w:val="en-US" w:eastAsia="zh-CN"/>
                    </w:rPr>
                    <w:t>/</w:t>
                  </w:r>
                </w:p>
              </w:tc>
            </w:tr>
            <w:tr w14:paraId="717F2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08" w:type="pct"/>
                  <w:vMerge w:val="continue"/>
                  <w:vAlign w:val="center"/>
                </w:tcPr>
                <w:p w14:paraId="60C2132D">
                  <w:pPr>
                    <w:jc w:val="center"/>
                    <w:rPr>
                      <w:szCs w:val="21"/>
                    </w:rPr>
                  </w:pPr>
                </w:p>
              </w:tc>
              <w:tc>
                <w:tcPr>
                  <w:tcW w:w="764" w:type="pct"/>
                  <w:vAlign w:val="center"/>
                </w:tcPr>
                <w:p w14:paraId="1066814A">
                  <w:pPr>
                    <w:jc w:val="center"/>
                    <w:rPr>
                      <w:rFonts w:ascii="宋体" w:cs="宋体"/>
                      <w:kern w:val="0"/>
                      <w:szCs w:val="21"/>
                    </w:rPr>
                  </w:pPr>
                  <w:r>
                    <w:rPr>
                      <w:szCs w:val="21"/>
                    </w:rPr>
                    <w:t>水</w:t>
                  </w:r>
                </w:p>
              </w:tc>
              <w:tc>
                <w:tcPr>
                  <w:tcW w:w="508" w:type="pct"/>
                  <w:vAlign w:val="center"/>
                </w:tcPr>
                <w:p w14:paraId="477AA27D">
                  <w:pPr>
                    <w:jc w:val="center"/>
                    <w:rPr>
                      <w:rFonts w:hint="default" w:eastAsia="宋体"/>
                      <w:szCs w:val="21"/>
                      <w:lang w:val="en-US" w:eastAsia="zh-CN"/>
                    </w:rPr>
                  </w:pPr>
                  <w:r>
                    <w:rPr>
                      <w:rFonts w:hint="eastAsia"/>
                      <w:szCs w:val="21"/>
                      <w:lang w:val="en-US" w:eastAsia="zh-CN"/>
                    </w:rPr>
                    <w:t>775</w:t>
                  </w:r>
                </w:p>
              </w:tc>
              <w:tc>
                <w:tcPr>
                  <w:tcW w:w="556" w:type="pct"/>
                  <w:vAlign w:val="center"/>
                </w:tcPr>
                <w:p w14:paraId="3AE559FB">
                  <w:pPr>
                    <w:jc w:val="center"/>
                    <w:rPr>
                      <w:szCs w:val="21"/>
                    </w:rPr>
                  </w:pPr>
                  <w:r>
                    <w:rPr>
                      <w:szCs w:val="21"/>
                    </w:rPr>
                    <w:t>t/a</w:t>
                  </w:r>
                </w:p>
              </w:tc>
              <w:tc>
                <w:tcPr>
                  <w:tcW w:w="528" w:type="pct"/>
                  <w:vAlign w:val="center"/>
                </w:tcPr>
                <w:p w14:paraId="46B86E80">
                  <w:pPr>
                    <w:jc w:val="center"/>
                    <w:rPr>
                      <w:szCs w:val="21"/>
                    </w:rPr>
                  </w:pPr>
                  <w:r>
                    <w:rPr>
                      <w:rFonts w:hint="eastAsia"/>
                      <w:szCs w:val="21"/>
                    </w:rPr>
                    <w:t>/</w:t>
                  </w:r>
                </w:p>
              </w:tc>
              <w:tc>
                <w:tcPr>
                  <w:tcW w:w="359" w:type="pct"/>
                  <w:vAlign w:val="center"/>
                </w:tcPr>
                <w:p w14:paraId="5BDFB87C">
                  <w:pPr>
                    <w:jc w:val="center"/>
                    <w:rPr>
                      <w:rFonts w:hint="eastAsia" w:eastAsia="宋体"/>
                      <w:szCs w:val="21"/>
                      <w:lang w:val="en-US" w:eastAsia="zh-CN"/>
                    </w:rPr>
                  </w:pPr>
                  <w:r>
                    <w:rPr>
                      <w:rFonts w:hint="eastAsia"/>
                      <w:szCs w:val="21"/>
                      <w:lang w:val="en-US" w:eastAsia="zh-CN"/>
                    </w:rPr>
                    <w:t>/</w:t>
                  </w:r>
                </w:p>
              </w:tc>
              <w:tc>
                <w:tcPr>
                  <w:tcW w:w="606" w:type="pct"/>
                  <w:vAlign w:val="center"/>
                </w:tcPr>
                <w:p w14:paraId="2C73FD37">
                  <w:pPr>
                    <w:jc w:val="center"/>
                    <w:rPr>
                      <w:color w:val="FF0000"/>
                      <w:szCs w:val="21"/>
                    </w:rPr>
                  </w:pPr>
                  <w:r>
                    <w:rPr>
                      <w:rFonts w:hint="eastAsia"/>
                      <w:color w:val="FF0000"/>
                      <w:szCs w:val="21"/>
                    </w:rPr>
                    <w:t>/</w:t>
                  </w:r>
                </w:p>
              </w:tc>
              <w:tc>
                <w:tcPr>
                  <w:tcW w:w="469" w:type="pct"/>
                  <w:vAlign w:val="center"/>
                </w:tcPr>
                <w:p w14:paraId="78C60337">
                  <w:pPr>
                    <w:jc w:val="center"/>
                    <w:rPr>
                      <w:szCs w:val="21"/>
                    </w:rPr>
                  </w:pPr>
                  <w:r>
                    <w:rPr>
                      <w:rFonts w:hint="eastAsia"/>
                      <w:szCs w:val="21"/>
                    </w:rPr>
                    <w:t>市政供水管网</w:t>
                  </w:r>
                </w:p>
              </w:tc>
              <w:tc>
                <w:tcPr>
                  <w:tcW w:w="898" w:type="pct"/>
                  <w:vAlign w:val="center"/>
                </w:tcPr>
                <w:p w14:paraId="5C504E9C">
                  <w:pPr>
                    <w:jc w:val="center"/>
                    <w:rPr>
                      <w:rFonts w:hint="eastAsia" w:eastAsia="宋体"/>
                      <w:color w:val="FF0000"/>
                      <w:szCs w:val="21"/>
                      <w:lang w:val="en-US" w:eastAsia="zh-CN"/>
                    </w:rPr>
                  </w:pPr>
                  <w:r>
                    <w:rPr>
                      <w:rFonts w:hint="eastAsia"/>
                      <w:color w:val="FF0000"/>
                      <w:szCs w:val="21"/>
                      <w:lang w:val="en-US" w:eastAsia="zh-CN"/>
                    </w:rPr>
                    <w:t>/</w:t>
                  </w:r>
                </w:p>
              </w:tc>
            </w:tr>
            <w:bookmarkEnd w:id="4"/>
          </w:tbl>
          <w:p w14:paraId="5F768867">
            <w:pPr>
              <w:pStyle w:val="51"/>
              <w:ind w:firstLine="482"/>
              <w:rPr>
                <w:rFonts w:hint="default" w:eastAsia="宋体"/>
                <w:b/>
                <w:bCs/>
                <w:color w:val="FF0000"/>
                <w:lang w:val="en-US" w:eastAsia="zh-CN"/>
              </w:rPr>
            </w:pPr>
            <w:r>
              <w:rPr>
                <w:rFonts w:hint="eastAsia"/>
                <w:b/>
                <w:bCs/>
                <w:color w:val="FF0000"/>
                <w:lang w:val="en-US" w:eastAsia="zh-CN"/>
              </w:rPr>
              <w:t>锡膏使用量核算：</w:t>
            </w:r>
          </w:p>
          <w:p w14:paraId="6617570D">
            <w:pPr>
              <w:pStyle w:val="51"/>
              <w:ind w:firstLine="482"/>
              <w:rPr>
                <w:rFonts w:hint="eastAsia"/>
                <w:b w:val="0"/>
                <w:bCs w:val="0"/>
                <w:color w:val="FF0000"/>
                <w:lang w:val="en-US" w:eastAsia="zh-CN"/>
              </w:rPr>
            </w:pPr>
            <w:r>
              <w:rPr>
                <w:rFonts w:hint="eastAsia"/>
                <w:b w:val="0"/>
                <w:bCs w:val="0"/>
                <w:color w:val="FF0000"/>
                <w:lang w:val="en-US" w:eastAsia="zh-CN"/>
              </w:rPr>
              <w:t>LED显示</w:t>
            </w:r>
            <w:r>
              <w:rPr>
                <w:rFonts w:hint="eastAsia"/>
                <w:b w:val="0"/>
                <w:bCs w:val="0"/>
                <w:color w:val="FF0000"/>
                <w:lang w:eastAsia="zh-CN"/>
              </w:rPr>
              <w:t>模组：‌锡膏用量=PCB焊盘总面积（mm²）×锡膏覆盖率（%）×钢网厚度（mm）×锡膏密度（g/mm³），</w:t>
            </w:r>
            <w:r>
              <w:rPr>
                <w:rFonts w:hint="eastAsia"/>
                <w:b w:val="0"/>
                <w:bCs w:val="0"/>
                <w:color w:val="FF0000"/>
                <w:lang w:val="en-US" w:eastAsia="zh-CN"/>
              </w:rPr>
              <w:t>显示模组</w:t>
            </w:r>
            <w:r>
              <w:rPr>
                <w:rFonts w:hint="eastAsia"/>
                <w:b w:val="0"/>
                <w:bCs w:val="0"/>
                <w:color w:val="FF0000"/>
                <w:lang w:eastAsia="zh-CN"/>
              </w:rPr>
              <w:t>面积：</w:t>
            </w:r>
            <w:r>
              <w:rPr>
                <w:rFonts w:hint="eastAsia"/>
                <w:b w:val="0"/>
                <w:bCs w:val="0"/>
                <w:color w:val="FF0000"/>
                <w:lang w:val="en-US" w:eastAsia="zh-CN"/>
              </w:rPr>
              <w:t>256</w:t>
            </w:r>
            <w:r>
              <w:rPr>
                <w:rFonts w:hint="eastAsia"/>
                <w:b w:val="0"/>
                <w:bCs w:val="0"/>
                <w:color w:val="FF0000"/>
                <w:lang w:eastAsia="zh-CN"/>
              </w:rPr>
              <w:t>mm×</w:t>
            </w:r>
            <w:r>
              <w:rPr>
                <w:rFonts w:hint="eastAsia"/>
                <w:b w:val="0"/>
                <w:bCs w:val="0"/>
                <w:color w:val="FF0000"/>
                <w:lang w:val="en-US" w:eastAsia="zh-CN"/>
              </w:rPr>
              <w:t>256</w:t>
            </w:r>
            <w:r>
              <w:rPr>
                <w:rFonts w:hint="eastAsia"/>
                <w:b w:val="0"/>
                <w:bCs w:val="0"/>
                <w:color w:val="FF0000"/>
                <w:lang w:eastAsia="zh-CN"/>
              </w:rPr>
              <w:t>mm=</w:t>
            </w:r>
            <w:r>
              <w:rPr>
                <w:rFonts w:hint="eastAsia"/>
                <w:b w:val="0"/>
                <w:bCs w:val="0"/>
                <w:color w:val="FF0000"/>
                <w:lang w:val="en-US" w:eastAsia="zh-CN"/>
              </w:rPr>
              <w:t>65536</w:t>
            </w:r>
            <w:r>
              <w:rPr>
                <w:rFonts w:hint="eastAsia"/>
                <w:b w:val="0"/>
                <w:bCs w:val="0"/>
                <w:color w:val="FF0000"/>
                <w:lang w:eastAsia="zh-CN"/>
              </w:rPr>
              <w:t>mm²，</w:t>
            </w:r>
            <w:r>
              <w:rPr>
                <w:rFonts w:hint="eastAsia"/>
                <w:b w:val="0"/>
                <w:bCs w:val="0"/>
                <w:color w:val="FF0000"/>
                <w:lang w:val="en-US" w:eastAsia="zh-CN"/>
              </w:rPr>
              <w:t>显示模组</w:t>
            </w:r>
            <w:r>
              <w:rPr>
                <w:rFonts w:hint="eastAsia"/>
                <w:b w:val="0"/>
                <w:bCs w:val="0"/>
                <w:color w:val="FF0000"/>
                <w:lang w:eastAsia="zh-CN"/>
              </w:rPr>
              <w:t>每平方米约有</w:t>
            </w:r>
            <w:r>
              <w:rPr>
                <w:rFonts w:hint="eastAsia"/>
                <w:b w:val="0"/>
                <w:bCs w:val="0"/>
                <w:color w:val="FF0000"/>
                <w:lang w:val="en-US" w:eastAsia="zh-CN"/>
              </w:rPr>
              <w:t>20</w:t>
            </w:r>
            <w:r>
              <w:rPr>
                <w:rFonts w:hint="eastAsia"/>
                <w:b w:val="0"/>
                <w:bCs w:val="0"/>
                <w:color w:val="FF0000"/>
                <w:lang w:eastAsia="zh-CN"/>
              </w:rPr>
              <w:t>0000个焊盘，则总焊</w:t>
            </w:r>
            <w:r>
              <w:rPr>
                <w:rFonts w:hint="eastAsia"/>
                <w:b w:val="0"/>
                <w:bCs w:val="0"/>
                <w:color w:val="FF0000"/>
                <w:lang w:val="en-US" w:eastAsia="zh-CN"/>
              </w:rPr>
              <w:t>盘</w:t>
            </w:r>
            <w:r>
              <w:rPr>
                <w:rFonts w:hint="eastAsia"/>
                <w:b w:val="0"/>
                <w:bCs w:val="0"/>
                <w:color w:val="FF0000"/>
                <w:lang w:eastAsia="zh-CN"/>
              </w:rPr>
              <w:t>数</w:t>
            </w:r>
            <w:r>
              <w:rPr>
                <w:rFonts w:hint="eastAsia"/>
                <w:b w:val="0"/>
                <w:bCs w:val="0"/>
                <w:color w:val="FF0000"/>
                <w:lang w:val="en-US" w:eastAsia="zh-CN"/>
              </w:rPr>
              <w:t>约13200</w:t>
            </w:r>
            <w:r>
              <w:rPr>
                <w:rFonts w:hint="eastAsia"/>
                <w:b w:val="0"/>
                <w:bCs w:val="0"/>
                <w:color w:val="FF0000"/>
                <w:lang w:eastAsia="zh-CN"/>
              </w:rPr>
              <w:t>个，焊盘总面积</w:t>
            </w:r>
            <w:r>
              <w:rPr>
                <w:rFonts w:hint="eastAsia"/>
                <w:b w:val="0"/>
                <w:bCs w:val="0"/>
                <w:color w:val="FF0000"/>
                <w:lang w:val="en-US" w:eastAsia="zh-CN"/>
              </w:rPr>
              <w:t>13200</w:t>
            </w:r>
            <w:r>
              <w:rPr>
                <w:rFonts w:hint="eastAsia"/>
                <w:b w:val="0"/>
                <w:bCs w:val="0"/>
                <w:color w:val="FF0000"/>
                <w:lang w:eastAsia="zh-CN"/>
              </w:rPr>
              <w:t>mm²，锡膏密度为</w:t>
            </w:r>
            <w:r>
              <w:rPr>
                <w:rFonts w:hint="eastAsia"/>
                <w:b w:val="0"/>
                <w:bCs w:val="0"/>
                <w:color w:val="FF0000"/>
                <w:lang w:val="en-US" w:eastAsia="zh-CN"/>
              </w:rPr>
              <w:t>3.75</w:t>
            </w:r>
            <w:r>
              <w:rPr>
                <w:rFonts w:hint="eastAsia"/>
                <w:b w:val="0"/>
                <w:bCs w:val="0"/>
                <w:color w:val="FF0000"/>
                <w:lang w:eastAsia="zh-CN"/>
              </w:rPr>
              <w:t>g/</w:t>
            </w:r>
            <w:r>
              <w:rPr>
                <w:rFonts w:hint="eastAsia"/>
                <w:b w:val="0"/>
                <w:bCs w:val="0"/>
                <w:color w:val="FF0000"/>
                <w:lang w:val="en-US" w:eastAsia="zh-CN"/>
              </w:rPr>
              <w:t>c</w:t>
            </w:r>
            <w:r>
              <w:rPr>
                <w:rFonts w:hint="eastAsia"/>
                <w:b w:val="0"/>
                <w:bCs w:val="0"/>
                <w:color w:val="FF0000"/>
                <w:lang w:eastAsia="zh-CN"/>
              </w:rPr>
              <w:t>m³，</w:t>
            </w:r>
            <w:r>
              <w:rPr>
                <w:rFonts w:hint="eastAsia"/>
                <w:b w:val="0"/>
                <w:bCs w:val="0"/>
                <w:color w:val="FF0000"/>
                <w:lang w:val="en-US" w:eastAsia="zh-CN"/>
              </w:rPr>
              <w:t>则单件LED模组生产所需锡膏使用量为4.752g，项目300万件LED模组锡膏使用量为14.256t/a。</w:t>
            </w:r>
          </w:p>
          <w:p w14:paraId="71A66E85">
            <w:pPr>
              <w:pStyle w:val="51"/>
              <w:ind w:firstLine="482"/>
              <w:rPr>
                <w:rFonts w:hint="default"/>
                <w:b w:val="0"/>
                <w:bCs w:val="0"/>
                <w:lang w:val="en-US" w:eastAsia="zh-CN"/>
              </w:rPr>
            </w:pPr>
            <w:r>
              <w:rPr>
                <w:rFonts w:hint="eastAsia"/>
                <w:b w:val="0"/>
                <w:bCs w:val="0"/>
                <w:color w:val="FF0000"/>
                <w:lang w:val="en-US" w:eastAsia="zh-CN"/>
              </w:rPr>
              <w:t>COB灯带：锡膏用量=印刷宽度（mm）×钢网厚度（mm）×长度（mm）×密度（g/mm</w:t>
            </w:r>
            <w:r>
              <w:rPr>
                <w:rFonts w:hint="eastAsia"/>
                <w:b w:val="0"/>
                <w:bCs w:val="0"/>
                <w:color w:val="FF0000"/>
                <w:vertAlign w:val="superscript"/>
                <w:lang w:val="en-US" w:eastAsia="zh-CN"/>
              </w:rPr>
              <w:t>3</w:t>
            </w:r>
            <w:r>
              <w:rPr>
                <w:rFonts w:hint="eastAsia"/>
                <w:b w:val="0"/>
                <w:bCs w:val="0"/>
                <w:color w:val="FF0000"/>
                <w:lang w:val="en-US" w:eastAsia="zh-CN"/>
              </w:rPr>
              <w:t>）×锡膏覆盖率（%），其中印刷宽度2.0mm（双排焊盘总宽），钢网厚度0.12mm，单件COB灯带平均长度为10m，覆盖率取80%，</w:t>
            </w:r>
            <w:r>
              <w:rPr>
                <w:rFonts w:hint="eastAsia"/>
                <w:b w:val="0"/>
                <w:bCs w:val="0"/>
                <w:color w:val="FF0000"/>
                <w:lang w:eastAsia="zh-CN"/>
              </w:rPr>
              <w:t>锡膏密度为</w:t>
            </w:r>
            <w:r>
              <w:rPr>
                <w:rFonts w:hint="eastAsia"/>
                <w:b w:val="0"/>
                <w:bCs w:val="0"/>
                <w:color w:val="FF0000"/>
                <w:lang w:val="en-US" w:eastAsia="zh-CN"/>
              </w:rPr>
              <w:t>3.75</w:t>
            </w:r>
            <w:r>
              <w:rPr>
                <w:rFonts w:hint="eastAsia"/>
                <w:b w:val="0"/>
                <w:bCs w:val="0"/>
                <w:color w:val="FF0000"/>
                <w:lang w:eastAsia="zh-CN"/>
              </w:rPr>
              <w:t>g/</w:t>
            </w:r>
            <w:r>
              <w:rPr>
                <w:rFonts w:hint="eastAsia"/>
                <w:b w:val="0"/>
                <w:bCs w:val="0"/>
                <w:color w:val="FF0000"/>
                <w:lang w:val="en-US" w:eastAsia="zh-CN"/>
              </w:rPr>
              <w:t>c</w:t>
            </w:r>
            <w:r>
              <w:rPr>
                <w:rFonts w:hint="eastAsia"/>
                <w:b w:val="0"/>
                <w:bCs w:val="0"/>
                <w:color w:val="FF0000"/>
                <w:lang w:eastAsia="zh-CN"/>
              </w:rPr>
              <w:t>m³，</w:t>
            </w:r>
            <w:r>
              <w:rPr>
                <w:rFonts w:hint="eastAsia"/>
                <w:b w:val="0"/>
                <w:bCs w:val="0"/>
                <w:color w:val="FF0000"/>
                <w:lang w:val="en-US" w:eastAsia="zh-CN"/>
              </w:rPr>
              <w:t>则单件COB灯带生产所需锡膏使用量为7.2g，项目400万件COB灯带锡膏使用量为28.8t/a。</w:t>
            </w:r>
          </w:p>
          <w:p w14:paraId="646F6E1D">
            <w:pPr>
              <w:pStyle w:val="51"/>
              <w:ind w:firstLine="482"/>
              <w:rPr>
                <w:b/>
                <w:bCs/>
              </w:rPr>
            </w:pPr>
            <w:r>
              <w:rPr>
                <w:rFonts w:hint="eastAsia"/>
                <w:b/>
                <w:bCs/>
              </w:rPr>
              <w:t>（2）主要原辅材料组分</w:t>
            </w:r>
          </w:p>
          <w:p w14:paraId="064E10CC">
            <w:pPr>
              <w:pStyle w:val="51"/>
              <w:ind w:firstLine="480"/>
              <w:rPr>
                <w:color w:val="FF0000"/>
              </w:rPr>
            </w:pPr>
            <w:r>
              <w:rPr>
                <w:rFonts w:hint="eastAsia"/>
                <w:lang w:val="en-US" w:eastAsia="zh-CN"/>
              </w:rPr>
              <w:t>根据企业提供的MSDS文件，锡膏</w:t>
            </w:r>
            <w:r>
              <w:rPr>
                <w:rFonts w:hint="eastAsia"/>
              </w:rPr>
              <w:t>、</w:t>
            </w:r>
            <w:r>
              <w:rPr>
                <w:rFonts w:hint="eastAsia"/>
                <w:lang w:val="en-US" w:eastAsia="zh-CN"/>
              </w:rPr>
              <w:t>锡丝</w:t>
            </w:r>
            <w:r>
              <w:rPr>
                <w:rFonts w:hint="eastAsia"/>
              </w:rPr>
              <w:t>、</w:t>
            </w:r>
            <w:r>
              <w:rPr>
                <w:rFonts w:hint="eastAsia"/>
                <w:lang w:val="en-US" w:eastAsia="zh-CN"/>
              </w:rPr>
              <w:t>硅胶等</w:t>
            </w:r>
            <w:r>
              <w:rPr>
                <w:rFonts w:hint="eastAsia"/>
              </w:rPr>
              <w:t>组分见下表</w:t>
            </w:r>
            <w:r>
              <w:rPr>
                <w:rFonts w:hint="eastAsia"/>
                <w:lang w:eastAsia="zh-CN"/>
              </w:rPr>
              <w:t>，</w:t>
            </w:r>
            <w:r>
              <w:rPr>
                <w:rFonts w:hint="eastAsia"/>
                <w:color w:val="FF0000"/>
                <w:lang w:val="en-US" w:eastAsia="zh-CN"/>
              </w:rPr>
              <w:t>MSDS中未列明的成分根据其CAS号查询得知</w:t>
            </w:r>
            <w:r>
              <w:rPr>
                <w:rFonts w:hint="eastAsia"/>
                <w:color w:val="FF0000"/>
              </w:rPr>
              <w:t>。</w:t>
            </w:r>
          </w:p>
          <w:p w14:paraId="6FF41C21">
            <w:pPr>
              <w:pStyle w:val="52"/>
            </w:pPr>
            <w:r>
              <w:rPr>
                <w:rFonts w:hint="eastAsia"/>
              </w:rPr>
              <w:t>表2</w:t>
            </w:r>
            <w:r>
              <w:t>-</w:t>
            </w:r>
            <w:r>
              <w:rPr>
                <w:rFonts w:hint="eastAsia"/>
                <w:lang w:val="en-US" w:eastAsia="zh-CN"/>
              </w:rPr>
              <w:t>7</w:t>
            </w:r>
            <w:r>
              <w:t xml:space="preserve">  </w:t>
            </w:r>
            <w:r>
              <w:rPr>
                <w:rFonts w:hint="eastAsia"/>
              </w:rPr>
              <w:t>主要原辅材料组分信息</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9"/>
              <w:gridCol w:w="2128"/>
              <w:gridCol w:w="1709"/>
              <w:gridCol w:w="1291"/>
              <w:gridCol w:w="1806"/>
            </w:tblGrid>
            <w:tr w14:paraId="6404B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1289" w:type="dxa"/>
                  <w:shd w:val="clear" w:color="auto" w:fill="auto"/>
                  <w:vAlign w:val="center"/>
                </w:tcPr>
                <w:p w14:paraId="34546A56">
                  <w:pPr>
                    <w:pStyle w:val="51"/>
                    <w:spacing w:line="240" w:lineRule="auto"/>
                    <w:ind w:firstLine="0" w:firstLineChars="0"/>
                    <w:jc w:val="center"/>
                    <w:rPr>
                      <w:b/>
                      <w:bCs/>
                      <w:sz w:val="21"/>
                      <w:szCs w:val="21"/>
                    </w:rPr>
                  </w:pPr>
                  <w:r>
                    <w:rPr>
                      <w:rFonts w:hint="eastAsia"/>
                      <w:b/>
                      <w:bCs/>
                      <w:sz w:val="21"/>
                      <w:szCs w:val="21"/>
                    </w:rPr>
                    <w:t>原料</w:t>
                  </w:r>
                </w:p>
              </w:tc>
              <w:tc>
                <w:tcPr>
                  <w:tcW w:w="2128" w:type="dxa"/>
                  <w:shd w:val="clear" w:color="auto" w:fill="auto"/>
                  <w:vAlign w:val="center"/>
                </w:tcPr>
                <w:p w14:paraId="258047B3">
                  <w:pPr>
                    <w:pStyle w:val="51"/>
                    <w:spacing w:line="240" w:lineRule="auto"/>
                    <w:ind w:firstLine="0" w:firstLineChars="0"/>
                    <w:jc w:val="center"/>
                    <w:rPr>
                      <w:b/>
                      <w:bCs/>
                      <w:sz w:val="21"/>
                      <w:szCs w:val="21"/>
                    </w:rPr>
                  </w:pPr>
                  <w:r>
                    <w:rPr>
                      <w:rFonts w:hint="eastAsia"/>
                      <w:b/>
                      <w:bCs/>
                      <w:sz w:val="21"/>
                      <w:szCs w:val="21"/>
                    </w:rPr>
                    <w:t>组分</w:t>
                  </w:r>
                </w:p>
              </w:tc>
              <w:tc>
                <w:tcPr>
                  <w:tcW w:w="1709" w:type="dxa"/>
                  <w:shd w:val="clear" w:color="auto" w:fill="auto"/>
                  <w:vAlign w:val="center"/>
                </w:tcPr>
                <w:p w14:paraId="2CF1BF16">
                  <w:pPr>
                    <w:pStyle w:val="51"/>
                    <w:spacing w:line="240" w:lineRule="auto"/>
                    <w:ind w:firstLine="0" w:firstLineChars="0"/>
                    <w:jc w:val="center"/>
                    <w:rPr>
                      <w:b/>
                      <w:bCs/>
                      <w:sz w:val="21"/>
                      <w:szCs w:val="21"/>
                    </w:rPr>
                  </w:pPr>
                  <w:r>
                    <w:rPr>
                      <w:rFonts w:hint="eastAsia"/>
                      <w:b/>
                      <w:bCs/>
                      <w:sz w:val="21"/>
                      <w:szCs w:val="21"/>
                    </w:rPr>
                    <w:t>C</w:t>
                  </w:r>
                  <w:r>
                    <w:rPr>
                      <w:b/>
                      <w:bCs/>
                      <w:sz w:val="21"/>
                      <w:szCs w:val="21"/>
                    </w:rPr>
                    <w:t>AS</w:t>
                  </w:r>
                  <w:r>
                    <w:rPr>
                      <w:rFonts w:hint="eastAsia"/>
                      <w:b/>
                      <w:bCs/>
                      <w:sz w:val="21"/>
                      <w:szCs w:val="21"/>
                    </w:rPr>
                    <w:t>号</w:t>
                  </w:r>
                </w:p>
              </w:tc>
              <w:tc>
                <w:tcPr>
                  <w:tcW w:w="1291" w:type="dxa"/>
                  <w:shd w:val="clear" w:color="auto" w:fill="auto"/>
                  <w:vAlign w:val="center"/>
                </w:tcPr>
                <w:p w14:paraId="454B6B6E">
                  <w:pPr>
                    <w:pStyle w:val="51"/>
                    <w:spacing w:line="240" w:lineRule="auto"/>
                    <w:ind w:firstLine="0" w:firstLineChars="0"/>
                    <w:jc w:val="center"/>
                    <w:rPr>
                      <w:b/>
                      <w:bCs/>
                      <w:sz w:val="21"/>
                      <w:szCs w:val="21"/>
                    </w:rPr>
                  </w:pPr>
                  <w:r>
                    <w:rPr>
                      <w:rFonts w:hint="eastAsia"/>
                      <w:b/>
                      <w:bCs/>
                      <w:sz w:val="21"/>
                      <w:szCs w:val="21"/>
                    </w:rPr>
                    <w:t>占比/</w:t>
                  </w:r>
                  <w:r>
                    <w:rPr>
                      <w:b/>
                      <w:bCs/>
                      <w:sz w:val="21"/>
                      <w:szCs w:val="21"/>
                    </w:rPr>
                    <w:t>%</w:t>
                  </w:r>
                </w:p>
              </w:tc>
              <w:tc>
                <w:tcPr>
                  <w:tcW w:w="1806" w:type="dxa"/>
                  <w:shd w:val="clear" w:color="auto" w:fill="auto"/>
                  <w:vAlign w:val="center"/>
                </w:tcPr>
                <w:p w14:paraId="1025D9D9">
                  <w:pPr>
                    <w:pStyle w:val="51"/>
                    <w:spacing w:line="240" w:lineRule="auto"/>
                    <w:ind w:firstLine="0" w:firstLineChars="0"/>
                    <w:jc w:val="center"/>
                    <w:rPr>
                      <w:rFonts w:hint="default" w:eastAsia="宋体"/>
                      <w:b/>
                      <w:bCs/>
                      <w:sz w:val="21"/>
                      <w:szCs w:val="21"/>
                      <w:lang w:val="en-US" w:eastAsia="zh-CN"/>
                    </w:rPr>
                  </w:pPr>
                  <w:r>
                    <w:rPr>
                      <w:rFonts w:hint="eastAsia"/>
                      <w:b/>
                      <w:bCs/>
                      <w:sz w:val="21"/>
                      <w:szCs w:val="21"/>
                      <w:lang w:val="en-US" w:eastAsia="zh-CN"/>
                    </w:rPr>
                    <w:t>本项目取值/%</w:t>
                  </w:r>
                </w:p>
              </w:tc>
            </w:tr>
            <w:tr w14:paraId="04A88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restart"/>
                  <w:shd w:val="clear" w:color="auto" w:fill="auto"/>
                  <w:vAlign w:val="center"/>
                </w:tcPr>
                <w:p w14:paraId="76934CA7">
                  <w:pPr>
                    <w:pStyle w:val="51"/>
                    <w:spacing w:line="240" w:lineRule="auto"/>
                    <w:ind w:firstLine="0" w:firstLineChars="0"/>
                    <w:jc w:val="center"/>
                    <w:rPr>
                      <w:rFonts w:hint="eastAsia" w:eastAsia="宋体"/>
                      <w:sz w:val="21"/>
                      <w:szCs w:val="21"/>
                      <w:lang w:eastAsia="zh-CN"/>
                    </w:rPr>
                  </w:pPr>
                  <w:r>
                    <w:rPr>
                      <w:rFonts w:hint="eastAsia"/>
                      <w:sz w:val="21"/>
                      <w:szCs w:val="21"/>
                      <w:lang w:val="en-US" w:eastAsia="zh-CN"/>
                    </w:rPr>
                    <w:t>锡膏</w:t>
                  </w:r>
                </w:p>
              </w:tc>
              <w:tc>
                <w:tcPr>
                  <w:tcW w:w="2128" w:type="dxa"/>
                  <w:shd w:val="clear" w:color="auto" w:fill="auto"/>
                  <w:vAlign w:val="center"/>
                </w:tcPr>
                <w:p w14:paraId="0BF09397">
                  <w:pPr>
                    <w:pStyle w:val="51"/>
                    <w:spacing w:line="240" w:lineRule="auto"/>
                    <w:ind w:firstLine="0" w:firstLineChars="0"/>
                    <w:jc w:val="center"/>
                    <w:rPr>
                      <w:rFonts w:hint="eastAsia" w:eastAsia="宋体"/>
                      <w:sz w:val="21"/>
                      <w:szCs w:val="21"/>
                      <w:lang w:eastAsia="zh-CN"/>
                    </w:rPr>
                  </w:pPr>
                  <w:r>
                    <w:rPr>
                      <w:rFonts w:hint="eastAsia"/>
                      <w:sz w:val="21"/>
                      <w:szCs w:val="21"/>
                      <w:lang w:val="en-US" w:eastAsia="zh-CN"/>
                    </w:rPr>
                    <w:t>银</w:t>
                  </w:r>
                </w:p>
              </w:tc>
              <w:tc>
                <w:tcPr>
                  <w:tcW w:w="1709" w:type="dxa"/>
                  <w:shd w:val="clear" w:color="auto" w:fill="auto"/>
                  <w:vAlign w:val="center"/>
                </w:tcPr>
                <w:p w14:paraId="275AB125">
                  <w:pPr>
                    <w:pStyle w:val="51"/>
                    <w:spacing w:line="240" w:lineRule="auto"/>
                    <w:ind w:firstLine="0" w:firstLineChars="0"/>
                    <w:jc w:val="center"/>
                    <w:rPr>
                      <w:rFonts w:hint="eastAsia" w:eastAsia="宋体"/>
                      <w:sz w:val="21"/>
                      <w:szCs w:val="21"/>
                      <w:lang w:eastAsia="zh-CN"/>
                    </w:rPr>
                  </w:pPr>
                  <w:r>
                    <w:rPr>
                      <w:rFonts w:hint="eastAsia"/>
                      <w:sz w:val="21"/>
                      <w:szCs w:val="21"/>
                      <w:lang w:val="en-US" w:eastAsia="zh-CN"/>
                    </w:rPr>
                    <w:t>7440</w:t>
                  </w:r>
                  <w:r>
                    <w:rPr>
                      <w:sz w:val="21"/>
                      <w:szCs w:val="21"/>
                    </w:rPr>
                    <w:t>-</w:t>
                  </w:r>
                  <w:r>
                    <w:rPr>
                      <w:rFonts w:hint="eastAsia"/>
                      <w:sz w:val="21"/>
                      <w:szCs w:val="21"/>
                      <w:lang w:val="en-US" w:eastAsia="zh-CN"/>
                    </w:rPr>
                    <w:t>22</w:t>
                  </w:r>
                  <w:r>
                    <w:rPr>
                      <w:sz w:val="21"/>
                      <w:szCs w:val="21"/>
                    </w:rPr>
                    <w:t>-</w:t>
                  </w:r>
                  <w:r>
                    <w:rPr>
                      <w:rFonts w:hint="eastAsia"/>
                      <w:sz w:val="21"/>
                      <w:szCs w:val="21"/>
                      <w:lang w:val="en-US" w:eastAsia="zh-CN"/>
                    </w:rPr>
                    <w:t>4</w:t>
                  </w:r>
                </w:p>
              </w:tc>
              <w:tc>
                <w:tcPr>
                  <w:tcW w:w="1291" w:type="dxa"/>
                  <w:shd w:val="clear" w:color="auto" w:fill="auto"/>
                  <w:vAlign w:val="center"/>
                </w:tcPr>
                <w:p w14:paraId="5D4A8F23">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2.65</w:t>
                  </w:r>
                  <w:r>
                    <w:rPr>
                      <w:sz w:val="21"/>
                      <w:szCs w:val="21"/>
                    </w:rPr>
                    <w:t>~</w:t>
                  </w:r>
                  <w:r>
                    <w:rPr>
                      <w:rFonts w:hint="eastAsia"/>
                      <w:sz w:val="21"/>
                      <w:szCs w:val="21"/>
                      <w:lang w:val="en-US" w:eastAsia="zh-CN"/>
                    </w:rPr>
                    <w:t>2.75</w:t>
                  </w:r>
                </w:p>
              </w:tc>
              <w:tc>
                <w:tcPr>
                  <w:tcW w:w="1806" w:type="dxa"/>
                  <w:shd w:val="clear" w:color="auto" w:fill="auto"/>
                  <w:vAlign w:val="center"/>
                </w:tcPr>
                <w:p w14:paraId="4131DDC1">
                  <w:pPr>
                    <w:pStyle w:val="51"/>
                    <w:spacing w:line="240" w:lineRule="auto"/>
                    <w:ind w:firstLine="0" w:firstLineChars="0"/>
                    <w:jc w:val="center"/>
                    <w:rPr>
                      <w:rFonts w:hint="default"/>
                      <w:sz w:val="21"/>
                      <w:szCs w:val="21"/>
                      <w:lang w:val="en-US" w:eastAsia="zh-CN"/>
                    </w:rPr>
                  </w:pPr>
                  <w:r>
                    <w:rPr>
                      <w:rFonts w:hint="eastAsia"/>
                      <w:sz w:val="21"/>
                      <w:szCs w:val="21"/>
                      <w:lang w:val="en-US" w:eastAsia="zh-CN"/>
                    </w:rPr>
                    <w:t>2.65</w:t>
                  </w:r>
                </w:p>
              </w:tc>
            </w:tr>
            <w:tr w14:paraId="5593B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continue"/>
                  <w:shd w:val="clear" w:color="auto" w:fill="auto"/>
                  <w:vAlign w:val="center"/>
                </w:tcPr>
                <w:p w14:paraId="7B5CE8D5">
                  <w:pPr>
                    <w:pStyle w:val="51"/>
                    <w:spacing w:line="240" w:lineRule="auto"/>
                    <w:ind w:firstLine="0" w:firstLineChars="0"/>
                    <w:jc w:val="center"/>
                    <w:rPr>
                      <w:sz w:val="21"/>
                      <w:szCs w:val="21"/>
                    </w:rPr>
                  </w:pPr>
                </w:p>
              </w:tc>
              <w:tc>
                <w:tcPr>
                  <w:tcW w:w="2128" w:type="dxa"/>
                  <w:shd w:val="clear" w:color="auto" w:fill="auto"/>
                  <w:vAlign w:val="center"/>
                </w:tcPr>
                <w:p w14:paraId="365D3861">
                  <w:pPr>
                    <w:pStyle w:val="51"/>
                    <w:spacing w:line="240" w:lineRule="auto"/>
                    <w:ind w:firstLine="0" w:firstLineChars="0"/>
                    <w:jc w:val="center"/>
                    <w:rPr>
                      <w:rFonts w:hint="eastAsia" w:eastAsia="宋体"/>
                      <w:sz w:val="21"/>
                      <w:szCs w:val="21"/>
                      <w:lang w:eastAsia="zh-CN"/>
                    </w:rPr>
                  </w:pPr>
                  <w:r>
                    <w:rPr>
                      <w:rFonts w:hint="eastAsia"/>
                      <w:sz w:val="21"/>
                      <w:szCs w:val="21"/>
                      <w:lang w:val="en-US" w:eastAsia="zh-CN"/>
                    </w:rPr>
                    <w:t>锡</w:t>
                  </w:r>
                </w:p>
              </w:tc>
              <w:tc>
                <w:tcPr>
                  <w:tcW w:w="1709" w:type="dxa"/>
                  <w:shd w:val="clear" w:color="auto" w:fill="auto"/>
                  <w:vAlign w:val="center"/>
                </w:tcPr>
                <w:p w14:paraId="3148A49A">
                  <w:pPr>
                    <w:pStyle w:val="51"/>
                    <w:spacing w:line="240" w:lineRule="auto"/>
                    <w:ind w:firstLine="0" w:firstLineChars="0"/>
                    <w:jc w:val="center"/>
                    <w:rPr>
                      <w:rFonts w:hint="eastAsia" w:eastAsia="宋体"/>
                      <w:sz w:val="21"/>
                      <w:szCs w:val="21"/>
                      <w:lang w:eastAsia="zh-CN"/>
                    </w:rPr>
                  </w:pPr>
                  <w:r>
                    <w:rPr>
                      <w:rFonts w:hint="eastAsia"/>
                      <w:sz w:val="21"/>
                      <w:szCs w:val="21"/>
                      <w:lang w:val="en-US" w:eastAsia="zh-CN"/>
                    </w:rPr>
                    <w:t>7440</w:t>
                  </w:r>
                  <w:r>
                    <w:rPr>
                      <w:sz w:val="21"/>
                      <w:szCs w:val="21"/>
                    </w:rPr>
                    <w:t>-</w:t>
                  </w:r>
                  <w:r>
                    <w:rPr>
                      <w:rFonts w:hint="eastAsia"/>
                      <w:sz w:val="21"/>
                      <w:szCs w:val="21"/>
                      <w:lang w:val="en-US" w:eastAsia="zh-CN"/>
                    </w:rPr>
                    <w:t>31</w:t>
                  </w:r>
                  <w:r>
                    <w:rPr>
                      <w:sz w:val="21"/>
                      <w:szCs w:val="21"/>
                    </w:rPr>
                    <w:t>-</w:t>
                  </w:r>
                  <w:r>
                    <w:rPr>
                      <w:rFonts w:hint="eastAsia"/>
                      <w:sz w:val="21"/>
                      <w:szCs w:val="21"/>
                      <w:lang w:val="en-US" w:eastAsia="zh-CN"/>
                    </w:rPr>
                    <w:t>5</w:t>
                  </w:r>
                </w:p>
              </w:tc>
              <w:tc>
                <w:tcPr>
                  <w:tcW w:w="1291" w:type="dxa"/>
                  <w:shd w:val="clear" w:color="auto" w:fill="auto"/>
                  <w:vAlign w:val="center"/>
                </w:tcPr>
                <w:p w14:paraId="4ADF66BC">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85</w:t>
                  </w:r>
                  <w:r>
                    <w:rPr>
                      <w:sz w:val="21"/>
                      <w:szCs w:val="21"/>
                    </w:rPr>
                    <w:t>~</w:t>
                  </w:r>
                  <w:r>
                    <w:rPr>
                      <w:rFonts w:hint="eastAsia"/>
                      <w:sz w:val="21"/>
                      <w:szCs w:val="21"/>
                      <w:lang w:val="en-US" w:eastAsia="zh-CN"/>
                    </w:rPr>
                    <w:t>88.5</w:t>
                  </w:r>
                </w:p>
              </w:tc>
              <w:tc>
                <w:tcPr>
                  <w:tcW w:w="1806" w:type="dxa"/>
                  <w:shd w:val="clear" w:color="auto" w:fill="auto"/>
                  <w:vAlign w:val="center"/>
                </w:tcPr>
                <w:p w14:paraId="4E022D43">
                  <w:pPr>
                    <w:pStyle w:val="51"/>
                    <w:spacing w:line="240" w:lineRule="auto"/>
                    <w:ind w:firstLine="0" w:firstLineChars="0"/>
                    <w:jc w:val="center"/>
                    <w:rPr>
                      <w:rFonts w:hint="default"/>
                      <w:sz w:val="21"/>
                      <w:szCs w:val="21"/>
                      <w:lang w:val="en-US" w:eastAsia="zh-CN"/>
                    </w:rPr>
                  </w:pPr>
                  <w:r>
                    <w:rPr>
                      <w:rFonts w:hint="eastAsia"/>
                      <w:sz w:val="21"/>
                      <w:szCs w:val="21"/>
                      <w:lang w:val="en-US" w:eastAsia="zh-CN"/>
                    </w:rPr>
                    <w:t>85</w:t>
                  </w:r>
                </w:p>
              </w:tc>
            </w:tr>
            <w:tr w14:paraId="3DB1E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continue"/>
                  <w:shd w:val="clear" w:color="auto" w:fill="auto"/>
                  <w:vAlign w:val="center"/>
                </w:tcPr>
                <w:p w14:paraId="0B4363D3">
                  <w:pPr>
                    <w:pStyle w:val="51"/>
                    <w:spacing w:line="240" w:lineRule="auto"/>
                    <w:ind w:firstLine="0" w:firstLineChars="0"/>
                    <w:jc w:val="center"/>
                    <w:rPr>
                      <w:sz w:val="21"/>
                      <w:szCs w:val="21"/>
                    </w:rPr>
                  </w:pPr>
                </w:p>
              </w:tc>
              <w:tc>
                <w:tcPr>
                  <w:tcW w:w="2128" w:type="dxa"/>
                  <w:shd w:val="clear" w:color="auto" w:fill="auto"/>
                  <w:vAlign w:val="center"/>
                </w:tcPr>
                <w:p w14:paraId="335943CF">
                  <w:pPr>
                    <w:pStyle w:val="51"/>
                    <w:spacing w:line="240" w:lineRule="auto"/>
                    <w:ind w:firstLine="0" w:firstLineChars="0"/>
                    <w:jc w:val="center"/>
                    <w:rPr>
                      <w:rFonts w:hint="eastAsia" w:eastAsia="宋体"/>
                      <w:sz w:val="21"/>
                      <w:szCs w:val="21"/>
                      <w:lang w:eastAsia="zh-CN"/>
                    </w:rPr>
                  </w:pPr>
                  <w:r>
                    <w:rPr>
                      <w:rFonts w:hint="eastAsia"/>
                      <w:sz w:val="21"/>
                      <w:szCs w:val="21"/>
                      <w:lang w:val="en-US" w:eastAsia="zh-CN"/>
                    </w:rPr>
                    <w:t>铜</w:t>
                  </w:r>
                </w:p>
              </w:tc>
              <w:tc>
                <w:tcPr>
                  <w:tcW w:w="1709" w:type="dxa"/>
                  <w:shd w:val="clear" w:color="auto" w:fill="auto"/>
                  <w:vAlign w:val="center"/>
                </w:tcPr>
                <w:p w14:paraId="028B31D9">
                  <w:pPr>
                    <w:pStyle w:val="51"/>
                    <w:spacing w:line="240" w:lineRule="auto"/>
                    <w:ind w:firstLine="0" w:firstLineChars="0"/>
                    <w:jc w:val="center"/>
                    <w:rPr>
                      <w:sz w:val="21"/>
                      <w:szCs w:val="21"/>
                    </w:rPr>
                  </w:pPr>
                  <w:r>
                    <w:rPr>
                      <w:rFonts w:hint="eastAsia"/>
                      <w:sz w:val="21"/>
                      <w:szCs w:val="21"/>
                      <w:lang w:val="en-US" w:eastAsia="zh-CN"/>
                    </w:rPr>
                    <w:t>7440</w:t>
                  </w:r>
                  <w:r>
                    <w:rPr>
                      <w:sz w:val="21"/>
                      <w:szCs w:val="21"/>
                    </w:rPr>
                    <w:t>-</w:t>
                  </w:r>
                  <w:r>
                    <w:rPr>
                      <w:rFonts w:hint="eastAsia"/>
                      <w:sz w:val="21"/>
                      <w:szCs w:val="21"/>
                      <w:lang w:val="en-US" w:eastAsia="zh-CN"/>
                    </w:rPr>
                    <w:t>50</w:t>
                  </w:r>
                  <w:r>
                    <w:rPr>
                      <w:sz w:val="21"/>
                      <w:szCs w:val="21"/>
                    </w:rPr>
                    <w:t>-8</w:t>
                  </w:r>
                </w:p>
              </w:tc>
              <w:tc>
                <w:tcPr>
                  <w:tcW w:w="1291" w:type="dxa"/>
                  <w:shd w:val="clear" w:color="auto" w:fill="auto"/>
                  <w:vAlign w:val="center"/>
                </w:tcPr>
                <w:p w14:paraId="3103F68C">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0.445</w:t>
                  </w:r>
                  <w:r>
                    <w:rPr>
                      <w:sz w:val="21"/>
                      <w:szCs w:val="21"/>
                    </w:rPr>
                    <w:t>~</w:t>
                  </w:r>
                  <w:r>
                    <w:rPr>
                      <w:rFonts w:hint="eastAsia"/>
                      <w:sz w:val="21"/>
                      <w:szCs w:val="21"/>
                      <w:lang w:val="en-US" w:eastAsia="zh-CN"/>
                    </w:rPr>
                    <w:t>0.45</w:t>
                  </w:r>
                </w:p>
              </w:tc>
              <w:tc>
                <w:tcPr>
                  <w:tcW w:w="1806" w:type="dxa"/>
                  <w:shd w:val="clear" w:color="auto" w:fill="auto"/>
                  <w:vAlign w:val="center"/>
                </w:tcPr>
                <w:p w14:paraId="0B7DCDC4">
                  <w:pPr>
                    <w:pStyle w:val="51"/>
                    <w:spacing w:line="240" w:lineRule="auto"/>
                    <w:ind w:firstLine="0" w:firstLineChars="0"/>
                    <w:jc w:val="center"/>
                    <w:rPr>
                      <w:rFonts w:hint="default"/>
                      <w:sz w:val="21"/>
                      <w:szCs w:val="21"/>
                      <w:lang w:val="en-US" w:eastAsia="zh-CN"/>
                    </w:rPr>
                  </w:pPr>
                  <w:r>
                    <w:rPr>
                      <w:rFonts w:hint="eastAsia"/>
                      <w:sz w:val="21"/>
                      <w:szCs w:val="21"/>
                      <w:lang w:val="en-US" w:eastAsia="zh-CN"/>
                    </w:rPr>
                    <w:t>0.45</w:t>
                  </w:r>
                </w:p>
              </w:tc>
            </w:tr>
            <w:tr w14:paraId="43271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continue"/>
                  <w:shd w:val="clear" w:color="auto" w:fill="auto"/>
                  <w:vAlign w:val="center"/>
                </w:tcPr>
                <w:p w14:paraId="6EA9A571">
                  <w:pPr>
                    <w:pStyle w:val="51"/>
                    <w:spacing w:line="240" w:lineRule="auto"/>
                    <w:ind w:firstLine="0" w:firstLineChars="0"/>
                    <w:jc w:val="center"/>
                    <w:rPr>
                      <w:sz w:val="21"/>
                      <w:szCs w:val="21"/>
                    </w:rPr>
                  </w:pPr>
                </w:p>
              </w:tc>
              <w:tc>
                <w:tcPr>
                  <w:tcW w:w="2128" w:type="dxa"/>
                  <w:shd w:val="clear" w:color="auto" w:fill="auto"/>
                  <w:vAlign w:val="center"/>
                </w:tcPr>
                <w:p w14:paraId="7D3CCE7E">
                  <w:pPr>
                    <w:pStyle w:val="51"/>
                    <w:spacing w:line="240" w:lineRule="auto"/>
                    <w:ind w:firstLine="0" w:firstLineChars="0"/>
                    <w:jc w:val="center"/>
                    <w:rPr>
                      <w:rFonts w:hint="eastAsia" w:eastAsia="宋体"/>
                      <w:sz w:val="21"/>
                      <w:szCs w:val="21"/>
                      <w:lang w:eastAsia="zh-CN"/>
                    </w:rPr>
                  </w:pPr>
                  <w:r>
                    <w:rPr>
                      <w:rFonts w:hint="eastAsia"/>
                      <w:sz w:val="21"/>
                      <w:szCs w:val="21"/>
                      <w:lang w:val="en-US" w:eastAsia="zh-CN"/>
                    </w:rPr>
                    <w:t>松香</w:t>
                  </w:r>
                </w:p>
              </w:tc>
              <w:tc>
                <w:tcPr>
                  <w:tcW w:w="1709" w:type="dxa"/>
                  <w:shd w:val="clear" w:color="auto" w:fill="auto"/>
                  <w:vAlign w:val="center"/>
                </w:tcPr>
                <w:p w14:paraId="20CABBB9">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65997-05-9</w:t>
                  </w:r>
                </w:p>
              </w:tc>
              <w:tc>
                <w:tcPr>
                  <w:tcW w:w="1291" w:type="dxa"/>
                  <w:shd w:val="clear" w:color="auto" w:fill="auto"/>
                  <w:vAlign w:val="center"/>
                </w:tcPr>
                <w:p w14:paraId="1C907D1A">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4.0</w:t>
                  </w:r>
                  <w:r>
                    <w:rPr>
                      <w:sz w:val="21"/>
                      <w:szCs w:val="21"/>
                    </w:rPr>
                    <w:t>~</w:t>
                  </w:r>
                  <w:r>
                    <w:rPr>
                      <w:rFonts w:hint="eastAsia"/>
                      <w:sz w:val="21"/>
                      <w:szCs w:val="21"/>
                      <w:lang w:val="en-US" w:eastAsia="zh-CN"/>
                    </w:rPr>
                    <w:t>6.0</w:t>
                  </w:r>
                </w:p>
              </w:tc>
              <w:tc>
                <w:tcPr>
                  <w:tcW w:w="1806" w:type="dxa"/>
                  <w:shd w:val="clear" w:color="auto" w:fill="auto"/>
                  <w:vAlign w:val="center"/>
                </w:tcPr>
                <w:p w14:paraId="7EC9359C">
                  <w:pPr>
                    <w:pStyle w:val="51"/>
                    <w:spacing w:line="240" w:lineRule="auto"/>
                    <w:ind w:firstLine="0" w:firstLineChars="0"/>
                    <w:jc w:val="center"/>
                    <w:rPr>
                      <w:rFonts w:hint="default"/>
                      <w:sz w:val="21"/>
                      <w:szCs w:val="21"/>
                      <w:lang w:val="en-US" w:eastAsia="zh-CN"/>
                    </w:rPr>
                  </w:pPr>
                  <w:r>
                    <w:rPr>
                      <w:rFonts w:hint="eastAsia"/>
                      <w:sz w:val="21"/>
                      <w:szCs w:val="21"/>
                      <w:lang w:val="en-US" w:eastAsia="zh-CN"/>
                    </w:rPr>
                    <w:t>5</w:t>
                  </w:r>
                </w:p>
              </w:tc>
            </w:tr>
            <w:tr w14:paraId="63003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continue"/>
                  <w:shd w:val="clear" w:color="auto" w:fill="auto"/>
                  <w:vAlign w:val="center"/>
                </w:tcPr>
                <w:p w14:paraId="481A3783">
                  <w:pPr>
                    <w:pStyle w:val="51"/>
                    <w:spacing w:line="240" w:lineRule="auto"/>
                    <w:ind w:firstLine="0" w:firstLineChars="0"/>
                    <w:jc w:val="center"/>
                    <w:rPr>
                      <w:sz w:val="21"/>
                      <w:szCs w:val="21"/>
                    </w:rPr>
                  </w:pPr>
                </w:p>
              </w:tc>
              <w:tc>
                <w:tcPr>
                  <w:tcW w:w="2128" w:type="dxa"/>
                  <w:shd w:val="clear" w:color="auto" w:fill="auto"/>
                  <w:vAlign w:val="center"/>
                </w:tcPr>
                <w:p w14:paraId="30D07887">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表面活性剂（氢溴酸）</w:t>
                  </w:r>
                </w:p>
              </w:tc>
              <w:tc>
                <w:tcPr>
                  <w:tcW w:w="1709" w:type="dxa"/>
                  <w:shd w:val="clear" w:color="auto" w:fill="auto"/>
                  <w:vAlign w:val="center"/>
                </w:tcPr>
                <w:p w14:paraId="48ACA803">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10035-10-5</w:t>
                  </w:r>
                </w:p>
              </w:tc>
              <w:tc>
                <w:tcPr>
                  <w:tcW w:w="1291" w:type="dxa"/>
                  <w:shd w:val="clear" w:color="auto" w:fill="auto"/>
                  <w:vAlign w:val="center"/>
                </w:tcPr>
                <w:p w14:paraId="22B6542F">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2.0</w:t>
                  </w:r>
                  <w:r>
                    <w:rPr>
                      <w:sz w:val="21"/>
                      <w:szCs w:val="21"/>
                    </w:rPr>
                    <w:t>~</w:t>
                  </w:r>
                  <w:r>
                    <w:rPr>
                      <w:rFonts w:hint="eastAsia"/>
                      <w:sz w:val="21"/>
                      <w:szCs w:val="21"/>
                      <w:lang w:val="en-US" w:eastAsia="zh-CN"/>
                    </w:rPr>
                    <w:t>3.0</w:t>
                  </w:r>
                </w:p>
              </w:tc>
              <w:tc>
                <w:tcPr>
                  <w:tcW w:w="1806" w:type="dxa"/>
                  <w:shd w:val="clear" w:color="auto" w:fill="auto"/>
                  <w:vAlign w:val="center"/>
                </w:tcPr>
                <w:p w14:paraId="2CACBF76">
                  <w:pPr>
                    <w:pStyle w:val="51"/>
                    <w:spacing w:line="240" w:lineRule="auto"/>
                    <w:ind w:firstLine="0" w:firstLineChars="0"/>
                    <w:jc w:val="center"/>
                    <w:rPr>
                      <w:rFonts w:hint="default"/>
                      <w:sz w:val="21"/>
                      <w:szCs w:val="21"/>
                      <w:lang w:val="en-US" w:eastAsia="zh-CN"/>
                    </w:rPr>
                  </w:pPr>
                  <w:r>
                    <w:rPr>
                      <w:rFonts w:hint="eastAsia"/>
                      <w:sz w:val="21"/>
                      <w:szCs w:val="21"/>
                      <w:lang w:val="en-US" w:eastAsia="zh-CN"/>
                    </w:rPr>
                    <w:t>2</w:t>
                  </w:r>
                </w:p>
              </w:tc>
            </w:tr>
            <w:tr w14:paraId="49E6D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continue"/>
                  <w:shd w:val="clear" w:color="auto" w:fill="auto"/>
                  <w:vAlign w:val="center"/>
                </w:tcPr>
                <w:p w14:paraId="152F92B1">
                  <w:pPr>
                    <w:pStyle w:val="51"/>
                    <w:spacing w:line="240" w:lineRule="auto"/>
                    <w:ind w:firstLine="0" w:firstLineChars="0"/>
                    <w:jc w:val="center"/>
                    <w:rPr>
                      <w:sz w:val="21"/>
                      <w:szCs w:val="21"/>
                    </w:rPr>
                  </w:pPr>
                </w:p>
              </w:tc>
              <w:tc>
                <w:tcPr>
                  <w:tcW w:w="2128" w:type="dxa"/>
                  <w:shd w:val="clear" w:color="auto" w:fill="auto"/>
                  <w:vAlign w:val="center"/>
                </w:tcPr>
                <w:p w14:paraId="2E8807F6">
                  <w:pPr>
                    <w:pStyle w:val="51"/>
                    <w:spacing w:line="240" w:lineRule="auto"/>
                    <w:ind w:firstLine="0" w:firstLineChars="0"/>
                    <w:jc w:val="center"/>
                    <w:rPr>
                      <w:rFonts w:hint="default"/>
                      <w:sz w:val="21"/>
                      <w:szCs w:val="21"/>
                      <w:lang w:val="en-US" w:eastAsia="zh-CN"/>
                    </w:rPr>
                  </w:pPr>
                  <w:r>
                    <w:rPr>
                      <w:rFonts w:hint="eastAsia"/>
                      <w:sz w:val="21"/>
                      <w:szCs w:val="21"/>
                      <w:lang w:val="en-US" w:eastAsia="zh-CN"/>
                    </w:rPr>
                    <w:t>活性剂（辛二酸）</w:t>
                  </w:r>
                </w:p>
              </w:tc>
              <w:tc>
                <w:tcPr>
                  <w:tcW w:w="1709" w:type="dxa"/>
                  <w:shd w:val="clear" w:color="auto" w:fill="auto"/>
                  <w:vAlign w:val="center"/>
                </w:tcPr>
                <w:p w14:paraId="53DE201B">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505-48-6</w:t>
                  </w:r>
                </w:p>
              </w:tc>
              <w:tc>
                <w:tcPr>
                  <w:tcW w:w="1291" w:type="dxa"/>
                  <w:shd w:val="clear" w:color="auto" w:fill="auto"/>
                  <w:vAlign w:val="center"/>
                </w:tcPr>
                <w:p w14:paraId="6494BF77">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0.2</w:t>
                  </w:r>
                  <w:r>
                    <w:rPr>
                      <w:sz w:val="21"/>
                      <w:szCs w:val="21"/>
                    </w:rPr>
                    <w:t>~</w:t>
                  </w:r>
                  <w:r>
                    <w:rPr>
                      <w:rFonts w:hint="eastAsia"/>
                      <w:sz w:val="21"/>
                      <w:szCs w:val="21"/>
                      <w:lang w:val="en-US" w:eastAsia="zh-CN"/>
                    </w:rPr>
                    <w:t>0.9</w:t>
                  </w:r>
                </w:p>
              </w:tc>
              <w:tc>
                <w:tcPr>
                  <w:tcW w:w="1806" w:type="dxa"/>
                  <w:shd w:val="clear" w:color="auto" w:fill="auto"/>
                  <w:vAlign w:val="center"/>
                </w:tcPr>
                <w:p w14:paraId="34A1F666">
                  <w:pPr>
                    <w:pStyle w:val="51"/>
                    <w:spacing w:line="240" w:lineRule="auto"/>
                    <w:ind w:firstLine="0" w:firstLineChars="0"/>
                    <w:jc w:val="center"/>
                    <w:rPr>
                      <w:rFonts w:hint="default"/>
                      <w:sz w:val="21"/>
                      <w:szCs w:val="21"/>
                      <w:lang w:val="en-US" w:eastAsia="zh-CN"/>
                    </w:rPr>
                  </w:pPr>
                  <w:r>
                    <w:rPr>
                      <w:rFonts w:hint="eastAsia"/>
                      <w:sz w:val="21"/>
                      <w:szCs w:val="21"/>
                      <w:lang w:val="en-US" w:eastAsia="zh-CN"/>
                    </w:rPr>
                    <w:t>0.9</w:t>
                  </w:r>
                </w:p>
              </w:tc>
            </w:tr>
            <w:tr w14:paraId="64E5B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continue"/>
                  <w:shd w:val="clear" w:color="auto" w:fill="auto"/>
                  <w:vAlign w:val="center"/>
                </w:tcPr>
                <w:p w14:paraId="1F5F3047">
                  <w:pPr>
                    <w:pStyle w:val="51"/>
                    <w:spacing w:line="240" w:lineRule="auto"/>
                    <w:ind w:firstLine="0" w:firstLineChars="0"/>
                    <w:jc w:val="center"/>
                    <w:rPr>
                      <w:sz w:val="21"/>
                      <w:szCs w:val="21"/>
                    </w:rPr>
                  </w:pPr>
                </w:p>
              </w:tc>
              <w:tc>
                <w:tcPr>
                  <w:tcW w:w="2128" w:type="dxa"/>
                  <w:shd w:val="clear" w:color="auto" w:fill="auto"/>
                  <w:vAlign w:val="center"/>
                </w:tcPr>
                <w:p w14:paraId="7299BC6F">
                  <w:pPr>
                    <w:pStyle w:val="51"/>
                    <w:spacing w:line="240" w:lineRule="auto"/>
                    <w:ind w:firstLine="0" w:firstLineChars="0"/>
                    <w:jc w:val="center"/>
                    <w:rPr>
                      <w:rFonts w:hint="default"/>
                      <w:sz w:val="21"/>
                      <w:szCs w:val="21"/>
                      <w:lang w:val="en-US" w:eastAsia="zh-CN"/>
                    </w:rPr>
                  </w:pPr>
                  <w:r>
                    <w:rPr>
                      <w:rFonts w:hint="eastAsia"/>
                      <w:sz w:val="21"/>
                      <w:szCs w:val="21"/>
                      <w:lang w:val="en-US" w:eastAsia="zh-CN"/>
                    </w:rPr>
                    <w:t>有机溶剂（‌乙二醇‌）</w:t>
                  </w:r>
                </w:p>
              </w:tc>
              <w:tc>
                <w:tcPr>
                  <w:tcW w:w="1709" w:type="dxa"/>
                  <w:shd w:val="clear" w:color="auto" w:fill="auto"/>
                  <w:vAlign w:val="center"/>
                </w:tcPr>
                <w:p w14:paraId="1F0D8FE6">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107-21-1</w:t>
                  </w:r>
                </w:p>
              </w:tc>
              <w:tc>
                <w:tcPr>
                  <w:tcW w:w="1291" w:type="dxa"/>
                  <w:shd w:val="clear" w:color="auto" w:fill="auto"/>
                  <w:vAlign w:val="center"/>
                </w:tcPr>
                <w:p w14:paraId="668B9107">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4.0</w:t>
                  </w:r>
                  <w:r>
                    <w:rPr>
                      <w:sz w:val="21"/>
                      <w:szCs w:val="21"/>
                    </w:rPr>
                    <w:t>~</w:t>
                  </w:r>
                  <w:r>
                    <w:rPr>
                      <w:rFonts w:hint="eastAsia"/>
                      <w:sz w:val="21"/>
                      <w:szCs w:val="21"/>
                      <w:lang w:val="en-US" w:eastAsia="zh-CN"/>
                    </w:rPr>
                    <w:t>5.0</w:t>
                  </w:r>
                </w:p>
              </w:tc>
              <w:tc>
                <w:tcPr>
                  <w:tcW w:w="1806" w:type="dxa"/>
                  <w:shd w:val="clear" w:color="auto" w:fill="auto"/>
                  <w:vAlign w:val="center"/>
                </w:tcPr>
                <w:p w14:paraId="71781D2D">
                  <w:pPr>
                    <w:pStyle w:val="51"/>
                    <w:spacing w:line="240" w:lineRule="auto"/>
                    <w:ind w:firstLine="0" w:firstLineChars="0"/>
                    <w:jc w:val="center"/>
                    <w:rPr>
                      <w:rFonts w:hint="default"/>
                      <w:sz w:val="21"/>
                      <w:szCs w:val="21"/>
                      <w:lang w:val="en-US" w:eastAsia="zh-CN"/>
                    </w:rPr>
                  </w:pPr>
                  <w:r>
                    <w:rPr>
                      <w:rFonts w:hint="eastAsia"/>
                      <w:sz w:val="21"/>
                      <w:szCs w:val="21"/>
                      <w:lang w:val="en-US" w:eastAsia="zh-CN"/>
                    </w:rPr>
                    <w:t>4</w:t>
                  </w:r>
                </w:p>
              </w:tc>
            </w:tr>
            <w:tr w14:paraId="449CF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restart"/>
                  <w:shd w:val="clear" w:color="auto" w:fill="auto"/>
                  <w:vAlign w:val="center"/>
                </w:tcPr>
                <w:p w14:paraId="6882CED5">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锡丝</w:t>
                  </w:r>
                </w:p>
              </w:tc>
              <w:tc>
                <w:tcPr>
                  <w:tcW w:w="2128" w:type="dxa"/>
                  <w:shd w:val="clear" w:color="auto" w:fill="auto"/>
                  <w:vAlign w:val="center"/>
                </w:tcPr>
                <w:p w14:paraId="7D45B238">
                  <w:pPr>
                    <w:pStyle w:val="51"/>
                    <w:spacing w:line="240" w:lineRule="auto"/>
                    <w:ind w:firstLine="0" w:firstLineChars="0"/>
                    <w:jc w:val="center"/>
                    <w:rPr>
                      <w:rFonts w:hint="eastAsia" w:eastAsia="宋体"/>
                      <w:sz w:val="21"/>
                      <w:szCs w:val="21"/>
                      <w:lang w:eastAsia="zh-CN"/>
                    </w:rPr>
                  </w:pPr>
                  <w:r>
                    <w:rPr>
                      <w:rFonts w:hint="eastAsia"/>
                      <w:sz w:val="21"/>
                      <w:szCs w:val="21"/>
                      <w:lang w:val="en-US" w:eastAsia="zh-CN"/>
                    </w:rPr>
                    <w:t>锡</w:t>
                  </w:r>
                </w:p>
              </w:tc>
              <w:tc>
                <w:tcPr>
                  <w:tcW w:w="1709" w:type="dxa"/>
                  <w:shd w:val="clear" w:color="auto" w:fill="auto"/>
                  <w:vAlign w:val="center"/>
                </w:tcPr>
                <w:p w14:paraId="75D2FD4F">
                  <w:pPr>
                    <w:pStyle w:val="51"/>
                    <w:spacing w:line="240" w:lineRule="auto"/>
                    <w:ind w:firstLine="0" w:firstLineChars="0"/>
                    <w:jc w:val="center"/>
                    <w:rPr>
                      <w:sz w:val="21"/>
                      <w:szCs w:val="21"/>
                    </w:rPr>
                  </w:pPr>
                  <w:r>
                    <w:rPr>
                      <w:rFonts w:hint="eastAsia"/>
                      <w:sz w:val="21"/>
                      <w:szCs w:val="21"/>
                      <w:lang w:val="en-US" w:eastAsia="zh-CN"/>
                    </w:rPr>
                    <w:t>7440</w:t>
                  </w:r>
                  <w:r>
                    <w:rPr>
                      <w:sz w:val="21"/>
                      <w:szCs w:val="21"/>
                    </w:rPr>
                    <w:t>-</w:t>
                  </w:r>
                  <w:r>
                    <w:rPr>
                      <w:rFonts w:hint="eastAsia"/>
                      <w:sz w:val="21"/>
                      <w:szCs w:val="21"/>
                      <w:lang w:val="en-US" w:eastAsia="zh-CN"/>
                    </w:rPr>
                    <w:t>31</w:t>
                  </w:r>
                  <w:r>
                    <w:rPr>
                      <w:sz w:val="21"/>
                      <w:szCs w:val="21"/>
                    </w:rPr>
                    <w:t>-</w:t>
                  </w:r>
                  <w:r>
                    <w:rPr>
                      <w:rFonts w:hint="eastAsia"/>
                      <w:sz w:val="21"/>
                      <w:szCs w:val="21"/>
                      <w:lang w:val="en-US" w:eastAsia="zh-CN"/>
                    </w:rPr>
                    <w:t>5</w:t>
                  </w:r>
                </w:p>
              </w:tc>
              <w:tc>
                <w:tcPr>
                  <w:tcW w:w="1291" w:type="dxa"/>
                  <w:shd w:val="clear" w:color="auto" w:fill="auto"/>
                  <w:vAlign w:val="center"/>
                </w:tcPr>
                <w:p w14:paraId="3A4CC05A">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96.8</w:t>
                  </w:r>
                </w:p>
              </w:tc>
              <w:tc>
                <w:tcPr>
                  <w:tcW w:w="1806" w:type="dxa"/>
                  <w:shd w:val="clear" w:color="auto" w:fill="auto"/>
                  <w:vAlign w:val="center"/>
                </w:tcPr>
                <w:p w14:paraId="5DCFA3A6">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96.8</w:t>
                  </w:r>
                </w:p>
              </w:tc>
            </w:tr>
            <w:tr w14:paraId="05020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continue"/>
                  <w:shd w:val="clear" w:color="auto" w:fill="auto"/>
                  <w:vAlign w:val="center"/>
                </w:tcPr>
                <w:p w14:paraId="0BC71F77">
                  <w:pPr>
                    <w:pStyle w:val="51"/>
                    <w:spacing w:line="240" w:lineRule="auto"/>
                    <w:ind w:firstLine="0" w:firstLineChars="0"/>
                    <w:jc w:val="center"/>
                    <w:rPr>
                      <w:sz w:val="21"/>
                      <w:szCs w:val="21"/>
                    </w:rPr>
                  </w:pPr>
                </w:p>
              </w:tc>
              <w:tc>
                <w:tcPr>
                  <w:tcW w:w="2128" w:type="dxa"/>
                  <w:shd w:val="clear" w:color="auto" w:fill="auto"/>
                  <w:vAlign w:val="center"/>
                </w:tcPr>
                <w:p w14:paraId="710EBE37">
                  <w:pPr>
                    <w:pStyle w:val="51"/>
                    <w:spacing w:line="240" w:lineRule="auto"/>
                    <w:ind w:firstLine="0" w:firstLineChars="0"/>
                    <w:jc w:val="center"/>
                    <w:rPr>
                      <w:rFonts w:hint="eastAsia" w:eastAsia="宋体"/>
                      <w:sz w:val="21"/>
                      <w:szCs w:val="21"/>
                      <w:lang w:eastAsia="zh-CN"/>
                    </w:rPr>
                  </w:pPr>
                  <w:r>
                    <w:rPr>
                      <w:rFonts w:hint="eastAsia"/>
                      <w:sz w:val="21"/>
                      <w:szCs w:val="21"/>
                      <w:lang w:val="en-US" w:eastAsia="zh-CN"/>
                    </w:rPr>
                    <w:t>铜</w:t>
                  </w:r>
                </w:p>
              </w:tc>
              <w:tc>
                <w:tcPr>
                  <w:tcW w:w="1709" w:type="dxa"/>
                  <w:shd w:val="clear" w:color="auto" w:fill="auto"/>
                  <w:vAlign w:val="center"/>
                </w:tcPr>
                <w:p w14:paraId="5DA447B4">
                  <w:pPr>
                    <w:pStyle w:val="51"/>
                    <w:spacing w:line="240" w:lineRule="auto"/>
                    <w:ind w:firstLine="0" w:firstLineChars="0"/>
                    <w:jc w:val="center"/>
                    <w:rPr>
                      <w:sz w:val="21"/>
                      <w:szCs w:val="21"/>
                    </w:rPr>
                  </w:pPr>
                  <w:r>
                    <w:rPr>
                      <w:rFonts w:hint="eastAsia"/>
                      <w:sz w:val="21"/>
                      <w:szCs w:val="21"/>
                      <w:lang w:val="en-US" w:eastAsia="zh-CN"/>
                    </w:rPr>
                    <w:t>7440</w:t>
                  </w:r>
                  <w:r>
                    <w:rPr>
                      <w:sz w:val="21"/>
                      <w:szCs w:val="21"/>
                    </w:rPr>
                    <w:t>-</w:t>
                  </w:r>
                  <w:r>
                    <w:rPr>
                      <w:rFonts w:hint="eastAsia"/>
                      <w:sz w:val="21"/>
                      <w:szCs w:val="21"/>
                      <w:lang w:val="en-US" w:eastAsia="zh-CN"/>
                    </w:rPr>
                    <w:t>50</w:t>
                  </w:r>
                  <w:r>
                    <w:rPr>
                      <w:sz w:val="21"/>
                      <w:szCs w:val="21"/>
                    </w:rPr>
                    <w:t>-8</w:t>
                  </w:r>
                </w:p>
              </w:tc>
              <w:tc>
                <w:tcPr>
                  <w:tcW w:w="1291" w:type="dxa"/>
                  <w:shd w:val="clear" w:color="auto" w:fill="auto"/>
                  <w:vAlign w:val="center"/>
                </w:tcPr>
                <w:p w14:paraId="025FAAD2">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0.7</w:t>
                  </w:r>
                </w:p>
              </w:tc>
              <w:tc>
                <w:tcPr>
                  <w:tcW w:w="1806" w:type="dxa"/>
                  <w:shd w:val="clear" w:color="auto" w:fill="auto"/>
                  <w:vAlign w:val="center"/>
                </w:tcPr>
                <w:p w14:paraId="4F556601">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0.7</w:t>
                  </w:r>
                </w:p>
              </w:tc>
            </w:tr>
            <w:tr w14:paraId="14E58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continue"/>
                  <w:shd w:val="clear" w:color="auto" w:fill="auto"/>
                  <w:vAlign w:val="center"/>
                </w:tcPr>
                <w:p w14:paraId="5DF3D5D5">
                  <w:pPr>
                    <w:pStyle w:val="51"/>
                    <w:spacing w:line="240" w:lineRule="auto"/>
                    <w:ind w:firstLine="0" w:firstLineChars="0"/>
                    <w:jc w:val="center"/>
                    <w:rPr>
                      <w:sz w:val="21"/>
                      <w:szCs w:val="21"/>
                    </w:rPr>
                  </w:pPr>
                </w:p>
              </w:tc>
              <w:tc>
                <w:tcPr>
                  <w:tcW w:w="2128" w:type="dxa"/>
                  <w:shd w:val="clear" w:color="auto" w:fill="auto"/>
                  <w:vAlign w:val="center"/>
                </w:tcPr>
                <w:p w14:paraId="6E5F23D1">
                  <w:pPr>
                    <w:pStyle w:val="51"/>
                    <w:spacing w:line="240" w:lineRule="auto"/>
                    <w:ind w:firstLine="0" w:firstLineChars="0"/>
                    <w:jc w:val="center"/>
                    <w:rPr>
                      <w:rFonts w:hint="eastAsia" w:eastAsia="宋体"/>
                      <w:sz w:val="21"/>
                      <w:szCs w:val="21"/>
                      <w:lang w:eastAsia="zh-CN"/>
                    </w:rPr>
                  </w:pPr>
                  <w:r>
                    <w:rPr>
                      <w:rFonts w:hint="eastAsia"/>
                      <w:sz w:val="21"/>
                      <w:szCs w:val="21"/>
                      <w:lang w:val="en-US" w:eastAsia="zh-CN"/>
                    </w:rPr>
                    <w:t>助焊剂（松香）</w:t>
                  </w:r>
                </w:p>
              </w:tc>
              <w:tc>
                <w:tcPr>
                  <w:tcW w:w="1709" w:type="dxa"/>
                  <w:shd w:val="clear" w:color="auto" w:fill="auto"/>
                  <w:vAlign w:val="center"/>
                </w:tcPr>
                <w:p w14:paraId="52EE0827">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8050-09-7</w:t>
                  </w:r>
                </w:p>
              </w:tc>
              <w:tc>
                <w:tcPr>
                  <w:tcW w:w="1291" w:type="dxa"/>
                  <w:shd w:val="clear" w:color="auto" w:fill="auto"/>
                  <w:vAlign w:val="center"/>
                </w:tcPr>
                <w:p w14:paraId="10BBAA7F">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2.5</w:t>
                  </w:r>
                </w:p>
              </w:tc>
              <w:tc>
                <w:tcPr>
                  <w:tcW w:w="1806" w:type="dxa"/>
                  <w:shd w:val="clear" w:color="auto" w:fill="auto"/>
                  <w:vAlign w:val="center"/>
                </w:tcPr>
                <w:p w14:paraId="442B99A6">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2.5</w:t>
                  </w:r>
                </w:p>
              </w:tc>
            </w:tr>
            <w:tr w14:paraId="41532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restart"/>
                  <w:shd w:val="clear" w:color="auto" w:fill="auto"/>
                  <w:vAlign w:val="center"/>
                </w:tcPr>
                <w:p w14:paraId="67DA24CC">
                  <w:pPr>
                    <w:pStyle w:val="51"/>
                    <w:spacing w:line="240" w:lineRule="auto"/>
                    <w:ind w:firstLine="0" w:firstLineChars="0"/>
                    <w:jc w:val="center"/>
                    <w:rPr>
                      <w:rFonts w:hint="eastAsia" w:eastAsia="宋体"/>
                      <w:sz w:val="21"/>
                      <w:szCs w:val="21"/>
                      <w:lang w:val="en-US" w:eastAsia="zh-CN"/>
                    </w:rPr>
                  </w:pPr>
                  <w:r>
                    <w:rPr>
                      <w:rFonts w:hint="eastAsia"/>
                      <w:sz w:val="21"/>
                      <w:szCs w:val="21"/>
                      <w:lang w:val="en-US" w:eastAsia="zh-CN"/>
                    </w:rPr>
                    <w:t>酒精（98%）</w:t>
                  </w:r>
                </w:p>
              </w:tc>
              <w:tc>
                <w:tcPr>
                  <w:tcW w:w="2128" w:type="dxa"/>
                  <w:shd w:val="clear" w:color="auto" w:fill="auto"/>
                  <w:vAlign w:val="center"/>
                </w:tcPr>
                <w:p w14:paraId="36C28FE9">
                  <w:pPr>
                    <w:pStyle w:val="51"/>
                    <w:spacing w:line="240" w:lineRule="auto"/>
                    <w:ind w:firstLine="0" w:firstLineChars="0"/>
                    <w:jc w:val="center"/>
                    <w:rPr>
                      <w:rFonts w:hint="eastAsia" w:eastAsia="宋体"/>
                      <w:sz w:val="21"/>
                      <w:szCs w:val="21"/>
                      <w:lang w:val="en-US" w:eastAsia="zh-CN"/>
                    </w:rPr>
                  </w:pPr>
                  <w:r>
                    <w:rPr>
                      <w:rFonts w:hint="eastAsia"/>
                      <w:sz w:val="21"/>
                      <w:szCs w:val="21"/>
                      <w:lang w:val="en-US" w:eastAsia="zh-CN"/>
                    </w:rPr>
                    <w:t>乙醇</w:t>
                  </w:r>
                </w:p>
              </w:tc>
              <w:tc>
                <w:tcPr>
                  <w:tcW w:w="1709" w:type="dxa"/>
                  <w:shd w:val="clear" w:color="auto" w:fill="auto"/>
                  <w:vAlign w:val="center"/>
                </w:tcPr>
                <w:p w14:paraId="6117A367">
                  <w:pPr>
                    <w:pStyle w:val="51"/>
                    <w:spacing w:line="240" w:lineRule="auto"/>
                    <w:ind w:firstLine="0" w:firstLineChars="0"/>
                    <w:jc w:val="center"/>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64-17-5</w:t>
                  </w:r>
                </w:p>
              </w:tc>
              <w:tc>
                <w:tcPr>
                  <w:tcW w:w="1291" w:type="dxa"/>
                  <w:shd w:val="clear" w:color="auto" w:fill="auto"/>
                  <w:vAlign w:val="center"/>
                </w:tcPr>
                <w:p w14:paraId="62E48460">
                  <w:pPr>
                    <w:pStyle w:val="51"/>
                    <w:spacing w:line="240" w:lineRule="auto"/>
                    <w:ind w:firstLine="0" w:firstLineChars="0"/>
                    <w:jc w:val="center"/>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98</w:t>
                  </w:r>
                </w:p>
              </w:tc>
              <w:tc>
                <w:tcPr>
                  <w:tcW w:w="1806" w:type="dxa"/>
                  <w:shd w:val="clear" w:color="auto" w:fill="auto"/>
                  <w:vAlign w:val="center"/>
                </w:tcPr>
                <w:p w14:paraId="5D882601">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98</w:t>
                  </w:r>
                </w:p>
              </w:tc>
            </w:tr>
            <w:tr w14:paraId="20518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continue"/>
                  <w:shd w:val="clear" w:color="auto" w:fill="auto"/>
                  <w:vAlign w:val="center"/>
                </w:tcPr>
                <w:p w14:paraId="083CEF14">
                  <w:pPr>
                    <w:pStyle w:val="51"/>
                    <w:spacing w:line="240" w:lineRule="auto"/>
                    <w:ind w:firstLine="0" w:firstLineChars="0"/>
                    <w:jc w:val="center"/>
                    <w:rPr>
                      <w:sz w:val="21"/>
                      <w:szCs w:val="21"/>
                    </w:rPr>
                  </w:pPr>
                </w:p>
              </w:tc>
              <w:tc>
                <w:tcPr>
                  <w:tcW w:w="2128" w:type="dxa"/>
                  <w:shd w:val="clear" w:color="auto" w:fill="auto"/>
                  <w:vAlign w:val="center"/>
                </w:tcPr>
                <w:p w14:paraId="24AC76E8">
                  <w:pPr>
                    <w:pStyle w:val="51"/>
                    <w:spacing w:line="240" w:lineRule="auto"/>
                    <w:ind w:firstLine="0" w:firstLineChars="0"/>
                    <w:jc w:val="center"/>
                    <w:rPr>
                      <w:rFonts w:hint="eastAsia" w:eastAsia="宋体"/>
                      <w:sz w:val="21"/>
                      <w:szCs w:val="21"/>
                      <w:lang w:val="en-US" w:eastAsia="zh-CN"/>
                    </w:rPr>
                  </w:pPr>
                  <w:r>
                    <w:rPr>
                      <w:rFonts w:hint="eastAsia"/>
                      <w:sz w:val="21"/>
                      <w:szCs w:val="21"/>
                      <w:lang w:val="en-US" w:eastAsia="zh-CN"/>
                    </w:rPr>
                    <w:t>水</w:t>
                  </w:r>
                </w:p>
              </w:tc>
              <w:tc>
                <w:tcPr>
                  <w:tcW w:w="1709" w:type="dxa"/>
                  <w:shd w:val="clear" w:color="auto" w:fill="auto"/>
                  <w:vAlign w:val="center"/>
                </w:tcPr>
                <w:p w14:paraId="075A754E">
                  <w:pPr>
                    <w:pStyle w:val="51"/>
                    <w:spacing w:line="240" w:lineRule="auto"/>
                    <w:ind w:firstLine="0" w:firstLineChars="0"/>
                    <w:jc w:val="center"/>
                    <w:rPr>
                      <w:sz w:val="21"/>
                      <w:szCs w:val="21"/>
                    </w:rPr>
                  </w:pPr>
                  <w:r>
                    <w:rPr>
                      <w:rFonts w:hint="eastAsia"/>
                      <w:sz w:val="21"/>
                      <w:szCs w:val="21"/>
                    </w:rPr>
                    <w:t>7732-18-5</w:t>
                  </w:r>
                </w:p>
              </w:tc>
              <w:tc>
                <w:tcPr>
                  <w:tcW w:w="1291" w:type="dxa"/>
                  <w:shd w:val="clear" w:color="auto" w:fill="auto"/>
                  <w:vAlign w:val="center"/>
                </w:tcPr>
                <w:p w14:paraId="3452EEB4">
                  <w:pPr>
                    <w:pStyle w:val="51"/>
                    <w:spacing w:line="240" w:lineRule="auto"/>
                    <w:ind w:firstLine="0" w:firstLineChars="0"/>
                    <w:jc w:val="center"/>
                    <w:rPr>
                      <w:rFonts w:hint="eastAsia" w:eastAsia="宋体"/>
                      <w:sz w:val="21"/>
                      <w:szCs w:val="21"/>
                      <w:lang w:val="en-US" w:eastAsia="zh-CN"/>
                    </w:rPr>
                  </w:pPr>
                  <w:r>
                    <w:rPr>
                      <w:rFonts w:hint="eastAsia"/>
                      <w:sz w:val="21"/>
                      <w:szCs w:val="21"/>
                      <w:lang w:val="en-US" w:eastAsia="zh-CN"/>
                    </w:rPr>
                    <w:t>2</w:t>
                  </w:r>
                </w:p>
              </w:tc>
              <w:tc>
                <w:tcPr>
                  <w:tcW w:w="1806" w:type="dxa"/>
                  <w:shd w:val="clear" w:color="auto" w:fill="auto"/>
                  <w:vAlign w:val="center"/>
                </w:tcPr>
                <w:p w14:paraId="7C74E171">
                  <w:pPr>
                    <w:pStyle w:val="51"/>
                    <w:spacing w:line="240" w:lineRule="auto"/>
                    <w:ind w:firstLine="0" w:firstLineChars="0"/>
                    <w:jc w:val="center"/>
                    <w:rPr>
                      <w:rFonts w:hint="eastAsia" w:eastAsia="宋体"/>
                      <w:sz w:val="21"/>
                      <w:szCs w:val="21"/>
                      <w:lang w:val="en-US" w:eastAsia="zh-CN"/>
                    </w:rPr>
                  </w:pPr>
                  <w:r>
                    <w:rPr>
                      <w:rFonts w:hint="eastAsia"/>
                      <w:sz w:val="21"/>
                      <w:szCs w:val="21"/>
                      <w:lang w:val="en-US" w:eastAsia="zh-CN"/>
                    </w:rPr>
                    <w:t>2</w:t>
                  </w:r>
                </w:p>
              </w:tc>
            </w:tr>
            <w:tr w14:paraId="4CB27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restart"/>
                  <w:shd w:val="clear" w:color="auto" w:fill="auto"/>
                  <w:vAlign w:val="center"/>
                </w:tcPr>
                <w:p w14:paraId="388DE654">
                  <w:pPr>
                    <w:pStyle w:val="51"/>
                    <w:spacing w:line="240" w:lineRule="auto"/>
                    <w:ind w:firstLine="0" w:firstLineChars="0"/>
                    <w:jc w:val="center"/>
                    <w:rPr>
                      <w:rFonts w:hint="eastAsia" w:eastAsia="宋体"/>
                      <w:sz w:val="21"/>
                      <w:szCs w:val="21"/>
                      <w:lang w:val="en-US" w:eastAsia="zh-CN"/>
                    </w:rPr>
                  </w:pPr>
                  <w:r>
                    <w:rPr>
                      <w:rFonts w:hint="eastAsia"/>
                      <w:sz w:val="21"/>
                      <w:szCs w:val="21"/>
                      <w:lang w:val="en-US" w:eastAsia="zh-CN"/>
                    </w:rPr>
                    <w:t>硅胶</w:t>
                  </w:r>
                </w:p>
              </w:tc>
              <w:tc>
                <w:tcPr>
                  <w:tcW w:w="2128" w:type="dxa"/>
                  <w:shd w:val="clear" w:color="auto" w:fill="auto"/>
                  <w:vAlign w:val="center"/>
                </w:tcPr>
                <w:p w14:paraId="36CA015A">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液体聚硅氧烷（羟基封端聚二甲基硅氧烷）</w:t>
                  </w:r>
                </w:p>
              </w:tc>
              <w:tc>
                <w:tcPr>
                  <w:tcW w:w="1709" w:type="dxa"/>
                  <w:shd w:val="clear" w:color="auto" w:fill="auto"/>
                  <w:vAlign w:val="center"/>
                </w:tcPr>
                <w:p w14:paraId="16973061">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63148-60-7</w:t>
                  </w:r>
                </w:p>
              </w:tc>
              <w:tc>
                <w:tcPr>
                  <w:tcW w:w="1291" w:type="dxa"/>
                  <w:shd w:val="clear" w:color="auto" w:fill="auto"/>
                  <w:vAlign w:val="center"/>
                </w:tcPr>
                <w:p w14:paraId="7EA2B58E">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40</w:t>
                  </w:r>
                  <w:r>
                    <w:rPr>
                      <w:sz w:val="21"/>
                      <w:szCs w:val="21"/>
                    </w:rPr>
                    <w:t>~</w:t>
                  </w:r>
                  <w:r>
                    <w:rPr>
                      <w:rFonts w:hint="eastAsia"/>
                      <w:sz w:val="21"/>
                      <w:szCs w:val="21"/>
                      <w:lang w:val="en-US" w:eastAsia="zh-CN"/>
                    </w:rPr>
                    <w:t>60</w:t>
                  </w:r>
                </w:p>
              </w:tc>
              <w:tc>
                <w:tcPr>
                  <w:tcW w:w="1806" w:type="dxa"/>
                  <w:shd w:val="clear" w:color="auto" w:fill="auto"/>
                  <w:vAlign w:val="center"/>
                </w:tcPr>
                <w:p w14:paraId="366E31AB">
                  <w:pPr>
                    <w:pStyle w:val="51"/>
                    <w:spacing w:line="240" w:lineRule="auto"/>
                    <w:ind w:firstLine="0" w:firstLineChars="0"/>
                    <w:jc w:val="center"/>
                    <w:rPr>
                      <w:rFonts w:hint="default" w:ascii="Times New Roman" w:hAnsi="Times New Roman" w:eastAsia="宋体" w:cs="Times New Roman"/>
                      <w:kern w:val="0"/>
                      <w:sz w:val="21"/>
                      <w:szCs w:val="21"/>
                      <w:lang w:val="en-US" w:eastAsia="zh-CN" w:bidi="ar-SA"/>
                    </w:rPr>
                  </w:pPr>
                  <w:r>
                    <w:rPr>
                      <w:rFonts w:hint="eastAsia"/>
                      <w:sz w:val="21"/>
                      <w:szCs w:val="21"/>
                      <w:lang w:val="en-US" w:eastAsia="zh-CN"/>
                    </w:rPr>
                    <w:t>40</w:t>
                  </w:r>
                </w:p>
              </w:tc>
            </w:tr>
            <w:tr w14:paraId="7649B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continue"/>
                  <w:shd w:val="clear" w:color="auto" w:fill="auto"/>
                  <w:vAlign w:val="center"/>
                </w:tcPr>
                <w:p w14:paraId="23C3D391">
                  <w:pPr>
                    <w:pStyle w:val="51"/>
                    <w:spacing w:line="240" w:lineRule="auto"/>
                    <w:ind w:firstLine="0" w:firstLineChars="0"/>
                    <w:jc w:val="center"/>
                    <w:rPr>
                      <w:sz w:val="21"/>
                      <w:szCs w:val="21"/>
                    </w:rPr>
                  </w:pPr>
                </w:p>
              </w:tc>
              <w:tc>
                <w:tcPr>
                  <w:tcW w:w="2128" w:type="dxa"/>
                  <w:shd w:val="clear" w:color="auto" w:fill="auto"/>
                  <w:vAlign w:val="center"/>
                </w:tcPr>
                <w:p w14:paraId="2A981A9F">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硅烷偶联剂（二乙胺基甲基三乙氧基硅烷‌）</w:t>
                  </w:r>
                </w:p>
              </w:tc>
              <w:tc>
                <w:tcPr>
                  <w:tcW w:w="1709" w:type="dxa"/>
                  <w:shd w:val="clear" w:color="auto" w:fill="auto"/>
                  <w:vAlign w:val="center"/>
                </w:tcPr>
                <w:p w14:paraId="29F45BD6">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15180-47-9</w:t>
                  </w:r>
                </w:p>
              </w:tc>
              <w:tc>
                <w:tcPr>
                  <w:tcW w:w="1291" w:type="dxa"/>
                  <w:shd w:val="clear" w:color="auto" w:fill="auto"/>
                  <w:vAlign w:val="center"/>
                </w:tcPr>
                <w:p w14:paraId="28422167">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5</w:t>
                  </w:r>
                  <w:r>
                    <w:rPr>
                      <w:sz w:val="21"/>
                      <w:szCs w:val="21"/>
                    </w:rPr>
                    <w:t>~</w:t>
                  </w:r>
                  <w:r>
                    <w:rPr>
                      <w:rFonts w:hint="eastAsia"/>
                      <w:sz w:val="21"/>
                      <w:szCs w:val="21"/>
                      <w:lang w:val="en-US" w:eastAsia="zh-CN"/>
                    </w:rPr>
                    <w:t>10</w:t>
                  </w:r>
                </w:p>
              </w:tc>
              <w:tc>
                <w:tcPr>
                  <w:tcW w:w="1806" w:type="dxa"/>
                  <w:shd w:val="clear" w:color="auto" w:fill="auto"/>
                  <w:vAlign w:val="center"/>
                </w:tcPr>
                <w:p w14:paraId="566CB100">
                  <w:pPr>
                    <w:pStyle w:val="51"/>
                    <w:spacing w:line="240" w:lineRule="auto"/>
                    <w:ind w:firstLine="0" w:firstLineChars="0"/>
                    <w:jc w:val="center"/>
                    <w:rPr>
                      <w:rFonts w:hint="default" w:ascii="Times New Roman" w:hAnsi="Times New Roman" w:eastAsia="宋体" w:cs="Times New Roman"/>
                      <w:kern w:val="0"/>
                      <w:sz w:val="21"/>
                      <w:szCs w:val="21"/>
                      <w:lang w:val="en-US" w:eastAsia="zh-CN" w:bidi="ar-SA"/>
                    </w:rPr>
                  </w:pPr>
                  <w:r>
                    <w:rPr>
                      <w:rFonts w:hint="eastAsia" w:eastAsia="宋体" w:cs="Times New Roman"/>
                      <w:kern w:val="0"/>
                      <w:sz w:val="21"/>
                      <w:szCs w:val="21"/>
                      <w:lang w:val="en-US" w:eastAsia="zh-CN" w:bidi="ar-SA"/>
                    </w:rPr>
                    <w:t>10</w:t>
                  </w:r>
                </w:p>
              </w:tc>
            </w:tr>
            <w:tr w14:paraId="41A39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continue"/>
                  <w:shd w:val="clear" w:color="auto" w:fill="auto"/>
                  <w:vAlign w:val="center"/>
                </w:tcPr>
                <w:p w14:paraId="2F93FC2A">
                  <w:pPr>
                    <w:pStyle w:val="51"/>
                    <w:spacing w:line="240" w:lineRule="auto"/>
                    <w:ind w:firstLine="0" w:firstLineChars="0"/>
                    <w:jc w:val="center"/>
                    <w:rPr>
                      <w:sz w:val="21"/>
                      <w:szCs w:val="21"/>
                    </w:rPr>
                  </w:pPr>
                </w:p>
              </w:tc>
              <w:tc>
                <w:tcPr>
                  <w:tcW w:w="2128" w:type="dxa"/>
                  <w:shd w:val="clear" w:color="auto" w:fill="auto"/>
                  <w:vAlign w:val="center"/>
                </w:tcPr>
                <w:p w14:paraId="5B3DAE79">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纳米碳酸钙</w:t>
                  </w:r>
                </w:p>
              </w:tc>
              <w:tc>
                <w:tcPr>
                  <w:tcW w:w="1709" w:type="dxa"/>
                  <w:shd w:val="clear" w:color="auto" w:fill="auto"/>
                  <w:vAlign w:val="center"/>
                </w:tcPr>
                <w:p w14:paraId="5ED78089">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471-34-1</w:t>
                  </w:r>
                </w:p>
              </w:tc>
              <w:tc>
                <w:tcPr>
                  <w:tcW w:w="1291" w:type="dxa"/>
                  <w:shd w:val="clear" w:color="auto" w:fill="auto"/>
                  <w:vAlign w:val="center"/>
                </w:tcPr>
                <w:p w14:paraId="685B4247">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30</w:t>
                  </w:r>
                  <w:r>
                    <w:rPr>
                      <w:sz w:val="21"/>
                      <w:szCs w:val="21"/>
                    </w:rPr>
                    <w:t>~</w:t>
                  </w:r>
                  <w:r>
                    <w:rPr>
                      <w:rFonts w:hint="eastAsia"/>
                      <w:sz w:val="21"/>
                      <w:szCs w:val="21"/>
                      <w:lang w:val="en-US" w:eastAsia="zh-CN"/>
                    </w:rPr>
                    <w:t>45</w:t>
                  </w:r>
                </w:p>
              </w:tc>
              <w:tc>
                <w:tcPr>
                  <w:tcW w:w="1806" w:type="dxa"/>
                  <w:shd w:val="clear" w:color="auto" w:fill="auto"/>
                  <w:vAlign w:val="center"/>
                </w:tcPr>
                <w:p w14:paraId="1D8E2651">
                  <w:pPr>
                    <w:pStyle w:val="51"/>
                    <w:spacing w:line="240" w:lineRule="auto"/>
                    <w:ind w:firstLine="0" w:firstLineChars="0"/>
                    <w:jc w:val="center"/>
                    <w:rPr>
                      <w:rFonts w:hint="default" w:ascii="Times New Roman" w:hAnsi="Times New Roman" w:eastAsia="宋体" w:cs="Times New Roman"/>
                      <w:kern w:val="0"/>
                      <w:sz w:val="21"/>
                      <w:szCs w:val="21"/>
                      <w:lang w:val="en-US" w:eastAsia="zh-CN" w:bidi="ar-SA"/>
                    </w:rPr>
                  </w:pPr>
                  <w:r>
                    <w:rPr>
                      <w:rFonts w:hint="eastAsia"/>
                      <w:sz w:val="21"/>
                      <w:szCs w:val="21"/>
                      <w:lang w:val="en-US" w:eastAsia="zh-CN"/>
                    </w:rPr>
                    <w:t>30</w:t>
                  </w:r>
                </w:p>
              </w:tc>
            </w:tr>
            <w:tr w14:paraId="45A4D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continue"/>
                  <w:shd w:val="clear" w:color="auto" w:fill="auto"/>
                  <w:vAlign w:val="center"/>
                </w:tcPr>
                <w:p w14:paraId="00E941FF">
                  <w:pPr>
                    <w:pStyle w:val="51"/>
                    <w:spacing w:line="240" w:lineRule="auto"/>
                    <w:ind w:firstLine="0" w:firstLineChars="0"/>
                    <w:jc w:val="center"/>
                    <w:rPr>
                      <w:sz w:val="21"/>
                      <w:szCs w:val="21"/>
                    </w:rPr>
                  </w:pPr>
                </w:p>
              </w:tc>
              <w:tc>
                <w:tcPr>
                  <w:tcW w:w="2128" w:type="dxa"/>
                  <w:shd w:val="clear" w:color="auto" w:fill="auto"/>
                  <w:vAlign w:val="center"/>
                </w:tcPr>
                <w:p w14:paraId="0F958132">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氨基硅烷</w:t>
                  </w:r>
                </w:p>
              </w:tc>
              <w:tc>
                <w:tcPr>
                  <w:tcW w:w="1709" w:type="dxa"/>
                  <w:shd w:val="clear" w:color="auto" w:fill="auto"/>
                  <w:vAlign w:val="center"/>
                </w:tcPr>
                <w:p w14:paraId="001DD8A5">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5089-72-5</w:t>
                  </w:r>
                </w:p>
              </w:tc>
              <w:tc>
                <w:tcPr>
                  <w:tcW w:w="1291" w:type="dxa"/>
                  <w:shd w:val="clear" w:color="auto" w:fill="auto"/>
                  <w:vAlign w:val="center"/>
                </w:tcPr>
                <w:p w14:paraId="758A1F6C">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5</w:t>
                  </w:r>
                  <w:r>
                    <w:rPr>
                      <w:sz w:val="21"/>
                      <w:szCs w:val="21"/>
                    </w:rPr>
                    <w:t>~</w:t>
                  </w:r>
                  <w:r>
                    <w:rPr>
                      <w:rFonts w:hint="eastAsia"/>
                      <w:sz w:val="21"/>
                      <w:szCs w:val="21"/>
                      <w:lang w:val="en-US" w:eastAsia="zh-CN"/>
                    </w:rPr>
                    <w:t>10</w:t>
                  </w:r>
                </w:p>
              </w:tc>
              <w:tc>
                <w:tcPr>
                  <w:tcW w:w="1806" w:type="dxa"/>
                  <w:shd w:val="clear" w:color="auto" w:fill="auto"/>
                  <w:vAlign w:val="center"/>
                </w:tcPr>
                <w:p w14:paraId="02190B2C">
                  <w:pPr>
                    <w:pStyle w:val="51"/>
                    <w:spacing w:line="240" w:lineRule="auto"/>
                    <w:ind w:firstLine="0" w:firstLineChars="0"/>
                    <w:jc w:val="center"/>
                    <w:rPr>
                      <w:rFonts w:hint="default" w:ascii="Times New Roman" w:hAnsi="Times New Roman" w:eastAsia="宋体" w:cs="Times New Roman"/>
                      <w:kern w:val="0"/>
                      <w:sz w:val="21"/>
                      <w:szCs w:val="21"/>
                      <w:lang w:val="en-US" w:eastAsia="zh-CN" w:bidi="ar-SA"/>
                    </w:rPr>
                  </w:pPr>
                  <w:r>
                    <w:rPr>
                      <w:rFonts w:hint="eastAsia" w:eastAsia="宋体" w:cs="Times New Roman"/>
                      <w:kern w:val="0"/>
                      <w:sz w:val="21"/>
                      <w:szCs w:val="21"/>
                      <w:lang w:val="en-US" w:eastAsia="zh-CN" w:bidi="ar-SA"/>
                    </w:rPr>
                    <w:t>10</w:t>
                  </w:r>
                </w:p>
              </w:tc>
            </w:tr>
            <w:tr w14:paraId="3BB3B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continue"/>
                  <w:shd w:val="clear" w:color="auto" w:fill="auto"/>
                  <w:vAlign w:val="center"/>
                </w:tcPr>
                <w:p w14:paraId="6CB50F20">
                  <w:pPr>
                    <w:pStyle w:val="51"/>
                    <w:spacing w:line="240" w:lineRule="auto"/>
                    <w:ind w:firstLine="0" w:firstLineChars="0"/>
                    <w:jc w:val="center"/>
                    <w:rPr>
                      <w:sz w:val="21"/>
                      <w:szCs w:val="21"/>
                    </w:rPr>
                  </w:pPr>
                </w:p>
              </w:tc>
              <w:tc>
                <w:tcPr>
                  <w:tcW w:w="2128" w:type="dxa"/>
                  <w:shd w:val="clear" w:color="auto" w:fill="auto"/>
                  <w:vAlign w:val="center"/>
                </w:tcPr>
                <w:p w14:paraId="2A606798">
                  <w:pPr>
                    <w:pStyle w:val="51"/>
                    <w:spacing w:line="240" w:lineRule="auto"/>
                    <w:ind w:firstLine="0" w:firstLineChars="0"/>
                    <w:jc w:val="center"/>
                    <w:rPr>
                      <w:rFonts w:hint="default"/>
                      <w:sz w:val="21"/>
                      <w:szCs w:val="21"/>
                      <w:lang w:val="en-US" w:eastAsia="zh-CN"/>
                    </w:rPr>
                  </w:pPr>
                  <w:r>
                    <w:rPr>
                      <w:rFonts w:hint="eastAsia"/>
                      <w:sz w:val="21"/>
                      <w:szCs w:val="21"/>
                      <w:lang w:val="en-US" w:eastAsia="zh-CN"/>
                    </w:rPr>
                    <w:t>其他</w:t>
                  </w:r>
                </w:p>
              </w:tc>
              <w:tc>
                <w:tcPr>
                  <w:tcW w:w="1709" w:type="dxa"/>
                  <w:shd w:val="clear" w:color="auto" w:fill="auto"/>
                  <w:vAlign w:val="center"/>
                </w:tcPr>
                <w:p w14:paraId="3F3B72F7">
                  <w:pPr>
                    <w:pStyle w:val="51"/>
                    <w:spacing w:line="240" w:lineRule="auto"/>
                    <w:ind w:firstLine="0" w:firstLineChars="0"/>
                    <w:jc w:val="center"/>
                    <w:rPr>
                      <w:rFonts w:hint="default"/>
                      <w:sz w:val="21"/>
                      <w:szCs w:val="21"/>
                      <w:lang w:val="en-US" w:eastAsia="zh-CN"/>
                    </w:rPr>
                  </w:pPr>
                  <w:r>
                    <w:rPr>
                      <w:rFonts w:hint="eastAsia"/>
                      <w:sz w:val="21"/>
                      <w:szCs w:val="21"/>
                      <w:lang w:val="en-US" w:eastAsia="zh-CN"/>
                    </w:rPr>
                    <w:t>/</w:t>
                  </w:r>
                </w:p>
              </w:tc>
              <w:tc>
                <w:tcPr>
                  <w:tcW w:w="1291" w:type="dxa"/>
                  <w:shd w:val="clear" w:color="auto" w:fill="auto"/>
                  <w:vAlign w:val="center"/>
                </w:tcPr>
                <w:p w14:paraId="56325519">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5</w:t>
                  </w:r>
                  <w:r>
                    <w:rPr>
                      <w:sz w:val="21"/>
                      <w:szCs w:val="21"/>
                    </w:rPr>
                    <w:t>~</w:t>
                  </w:r>
                  <w:r>
                    <w:rPr>
                      <w:rFonts w:hint="eastAsia"/>
                      <w:sz w:val="21"/>
                      <w:szCs w:val="21"/>
                      <w:lang w:val="en-US" w:eastAsia="zh-CN"/>
                    </w:rPr>
                    <w:t>10</w:t>
                  </w:r>
                </w:p>
              </w:tc>
              <w:tc>
                <w:tcPr>
                  <w:tcW w:w="1806" w:type="dxa"/>
                  <w:shd w:val="clear" w:color="auto" w:fill="auto"/>
                  <w:vAlign w:val="center"/>
                </w:tcPr>
                <w:p w14:paraId="6A4A9339">
                  <w:pPr>
                    <w:pStyle w:val="51"/>
                    <w:spacing w:line="240" w:lineRule="auto"/>
                    <w:ind w:firstLine="0" w:firstLineChars="0"/>
                    <w:jc w:val="center"/>
                    <w:rPr>
                      <w:rFonts w:hint="default"/>
                      <w:sz w:val="21"/>
                      <w:szCs w:val="21"/>
                      <w:lang w:val="en-US" w:eastAsia="zh-CN"/>
                    </w:rPr>
                  </w:pPr>
                  <w:r>
                    <w:rPr>
                      <w:rFonts w:hint="eastAsia"/>
                      <w:sz w:val="21"/>
                      <w:szCs w:val="21"/>
                      <w:lang w:val="en-US" w:eastAsia="zh-CN"/>
                    </w:rPr>
                    <w:t>10</w:t>
                  </w:r>
                </w:p>
              </w:tc>
            </w:tr>
            <w:tr w14:paraId="2D62F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restart"/>
                  <w:shd w:val="clear" w:color="auto" w:fill="auto"/>
                  <w:vAlign w:val="center"/>
                </w:tcPr>
                <w:p w14:paraId="32F0CA4A">
                  <w:pPr>
                    <w:pStyle w:val="51"/>
                    <w:spacing w:line="240" w:lineRule="auto"/>
                    <w:ind w:firstLine="0" w:firstLineChars="0"/>
                    <w:jc w:val="center"/>
                    <w:rPr>
                      <w:rFonts w:hint="default" w:eastAsia="宋体"/>
                      <w:color w:val="FF0000"/>
                      <w:sz w:val="21"/>
                      <w:szCs w:val="21"/>
                      <w:lang w:val="en-US" w:eastAsia="zh-CN"/>
                    </w:rPr>
                  </w:pPr>
                  <w:r>
                    <w:rPr>
                      <w:rFonts w:hint="eastAsia"/>
                      <w:color w:val="FF0000"/>
                      <w:sz w:val="21"/>
                      <w:szCs w:val="21"/>
                      <w:lang w:val="en-US" w:eastAsia="zh-CN"/>
                    </w:rPr>
                    <w:t>荧光粉</w:t>
                  </w:r>
                </w:p>
              </w:tc>
              <w:tc>
                <w:tcPr>
                  <w:tcW w:w="2128" w:type="dxa"/>
                  <w:shd w:val="clear" w:color="auto" w:fill="auto"/>
                  <w:vAlign w:val="center"/>
                </w:tcPr>
                <w:p w14:paraId="081F2F6F">
                  <w:pPr>
                    <w:pStyle w:val="51"/>
                    <w:spacing w:line="240" w:lineRule="auto"/>
                    <w:ind w:firstLine="0" w:firstLineChars="0"/>
                    <w:jc w:val="center"/>
                    <w:rPr>
                      <w:rFonts w:hint="default"/>
                      <w:color w:val="FF0000"/>
                      <w:sz w:val="21"/>
                      <w:szCs w:val="21"/>
                      <w:lang w:val="en-US" w:eastAsia="zh-CN"/>
                    </w:rPr>
                  </w:pPr>
                  <w:r>
                    <w:rPr>
                      <w:rFonts w:hint="eastAsia"/>
                      <w:color w:val="FF0000"/>
                      <w:sz w:val="21"/>
                      <w:szCs w:val="21"/>
                      <w:lang w:val="en-US" w:eastAsia="zh-CN"/>
                    </w:rPr>
                    <w:t>Sr</w:t>
                  </w:r>
                </w:p>
              </w:tc>
              <w:tc>
                <w:tcPr>
                  <w:tcW w:w="1709" w:type="dxa"/>
                  <w:shd w:val="clear" w:color="auto" w:fill="auto"/>
                  <w:vAlign w:val="center"/>
                </w:tcPr>
                <w:p w14:paraId="785A1B69">
                  <w:pPr>
                    <w:pStyle w:val="51"/>
                    <w:spacing w:line="240" w:lineRule="auto"/>
                    <w:ind w:firstLine="0" w:firstLineChars="0"/>
                    <w:jc w:val="center"/>
                    <w:rPr>
                      <w:rFonts w:hint="default" w:eastAsia="宋体"/>
                      <w:color w:val="FF0000"/>
                      <w:sz w:val="21"/>
                      <w:szCs w:val="21"/>
                      <w:lang w:val="en-US" w:eastAsia="zh-CN"/>
                    </w:rPr>
                  </w:pPr>
                  <w:r>
                    <w:rPr>
                      <w:rFonts w:hint="eastAsia"/>
                      <w:color w:val="FF0000"/>
                      <w:sz w:val="21"/>
                      <w:szCs w:val="21"/>
                      <w:lang w:val="en-US" w:eastAsia="zh-CN"/>
                    </w:rPr>
                    <w:t>7440-24-6</w:t>
                  </w:r>
                </w:p>
              </w:tc>
              <w:tc>
                <w:tcPr>
                  <w:tcW w:w="1291" w:type="dxa"/>
                  <w:shd w:val="clear" w:color="auto" w:fill="auto"/>
                  <w:vAlign w:val="center"/>
                </w:tcPr>
                <w:p w14:paraId="7059919F">
                  <w:pPr>
                    <w:pStyle w:val="51"/>
                    <w:spacing w:line="240" w:lineRule="auto"/>
                    <w:ind w:firstLine="0" w:firstLineChars="0"/>
                    <w:jc w:val="center"/>
                    <w:rPr>
                      <w:rFonts w:hint="default"/>
                      <w:color w:val="FF0000"/>
                      <w:sz w:val="21"/>
                      <w:szCs w:val="21"/>
                      <w:lang w:val="en-US" w:eastAsia="zh-CN"/>
                    </w:rPr>
                  </w:pPr>
                  <w:r>
                    <w:rPr>
                      <w:rFonts w:hint="eastAsia"/>
                      <w:color w:val="FF0000"/>
                      <w:sz w:val="21"/>
                      <w:szCs w:val="21"/>
                      <w:lang w:val="en-US" w:eastAsia="zh-CN"/>
                    </w:rPr>
                    <w:t>43</w:t>
                  </w:r>
                </w:p>
              </w:tc>
              <w:tc>
                <w:tcPr>
                  <w:tcW w:w="1806" w:type="dxa"/>
                  <w:shd w:val="clear" w:color="auto" w:fill="auto"/>
                  <w:vAlign w:val="center"/>
                </w:tcPr>
                <w:p w14:paraId="5FCB6481">
                  <w:pPr>
                    <w:pStyle w:val="51"/>
                    <w:spacing w:line="240" w:lineRule="auto"/>
                    <w:ind w:firstLine="0" w:firstLineChars="0"/>
                    <w:jc w:val="center"/>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43</w:t>
                  </w:r>
                </w:p>
              </w:tc>
            </w:tr>
            <w:tr w14:paraId="4C807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continue"/>
                  <w:shd w:val="clear" w:color="auto" w:fill="auto"/>
                  <w:vAlign w:val="center"/>
                </w:tcPr>
                <w:p w14:paraId="58076CC2">
                  <w:pPr>
                    <w:pStyle w:val="51"/>
                    <w:spacing w:line="240" w:lineRule="auto"/>
                    <w:ind w:firstLine="0" w:firstLineChars="0"/>
                    <w:jc w:val="center"/>
                    <w:rPr>
                      <w:color w:val="FF0000"/>
                      <w:sz w:val="21"/>
                      <w:szCs w:val="21"/>
                    </w:rPr>
                  </w:pPr>
                </w:p>
              </w:tc>
              <w:tc>
                <w:tcPr>
                  <w:tcW w:w="2128" w:type="dxa"/>
                  <w:shd w:val="clear" w:color="auto" w:fill="auto"/>
                  <w:vAlign w:val="center"/>
                </w:tcPr>
                <w:p w14:paraId="77123329">
                  <w:pPr>
                    <w:pStyle w:val="51"/>
                    <w:spacing w:line="240" w:lineRule="auto"/>
                    <w:ind w:firstLine="0" w:firstLineChars="0"/>
                    <w:jc w:val="center"/>
                    <w:rPr>
                      <w:rFonts w:hint="default"/>
                      <w:color w:val="FF0000"/>
                      <w:sz w:val="21"/>
                      <w:szCs w:val="21"/>
                      <w:lang w:val="en-US" w:eastAsia="zh-CN"/>
                    </w:rPr>
                  </w:pPr>
                  <w:r>
                    <w:rPr>
                      <w:rFonts w:hint="eastAsia"/>
                      <w:color w:val="FF0000"/>
                      <w:sz w:val="21"/>
                      <w:szCs w:val="21"/>
                      <w:lang w:val="en-US" w:eastAsia="zh-CN"/>
                    </w:rPr>
                    <w:t>Si</w:t>
                  </w:r>
                </w:p>
              </w:tc>
              <w:tc>
                <w:tcPr>
                  <w:tcW w:w="1709" w:type="dxa"/>
                  <w:shd w:val="clear" w:color="auto" w:fill="auto"/>
                  <w:vAlign w:val="center"/>
                </w:tcPr>
                <w:p w14:paraId="1654E724">
                  <w:pPr>
                    <w:pStyle w:val="51"/>
                    <w:spacing w:line="240" w:lineRule="auto"/>
                    <w:ind w:firstLine="0" w:firstLineChars="0"/>
                    <w:jc w:val="center"/>
                    <w:rPr>
                      <w:rFonts w:hint="default"/>
                      <w:color w:val="FF0000"/>
                      <w:sz w:val="21"/>
                      <w:szCs w:val="21"/>
                      <w:lang w:val="en-US" w:eastAsia="zh-CN"/>
                    </w:rPr>
                  </w:pPr>
                  <w:r>
                    <w:rPr>
                      <w:rFonts w:hint="eastAsia"/>
                      <w:color w:val="FF0000"/>
                      <w:sz w:val="21"/>
                      <w:szCs w:val="21"/>
                      <w:lang w:val="en-US" w:eastAsia="zh-CN"/>
                    </w:rPr>
                    <w:t>7440-21-3</w:t>
                  </w:r>
                </w:p>
              </w:tc>
              <w:tc>
                <w:tcPr>
                  <w:tcW w:w="1291" w:type="dxa"/>
                  <w:shd w:val="clear" w:color="auto" w:fill="auto"/>
                  <w:vAlign w:val="center"/>
                </w:tcPr>
                <w:p w14:paraId="1C4EBF03">
                  <w:pPr>
                    <w:pStyle w:val="51"/>
                    <w:spacing w:line="240" w:lineRule="auto"/>
                    <w:ind w:firstLine="0" w:firstLineChars="0"/>
                    <w:jc w:val="center"/>
                    <w:rPr>
                      <w:rFonts w:hint="default"/>
                      <w:color w:val="FF0000"/>
                      <w:sz w:val="21"/>
                      <w:szCs w:val="21"/>
                      <w:lang w:val="en-US" w:eastAsia="zh-CN"/>
                    </w:rPr>
                  </w:pPr>
                  <w:r>
                    <w:rPr>
                      <w:rFonts w:hint="eastAsia"/>
                      <w:color w:val="FF0000"/>
                      <w:sz w:val="21"/>
                      <w:szCs w:val="21"/>
                      <w:lang w:val="en-US" w:eastAsia="zh-CN"/>
                    </w:rPr>
                    <w:t>10</w:t>
                  </w:r>
                </w:p>
              </w:tc>
              <w:tc>
                <w:tcPr>
                  <w:tcW w:w="1806" w:type="dxa"/>
                  <w:shd w:val="clear" w:color="auto" w:fill="auto"/>
                  <w:vAlign w:val="center"/>
                </w:tcPr>
                <w:p w14:paraId="417CDB0C">
                  <w:pPr>
                    <w:pStyle w:val="51"/>
                    <w:spacing w:line="240" w:lineRule="auto"/>
                    <w:ind w:firstLine="0" w:firstLineChars="0"/>
                    <w:jc w:val="center"/>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10</w:t>
                  </w:r>
                </w:p>
              </w:tc>
            </w:tr>
            <w:tr w14:paraId="1DC53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continue"/>
                  <w:shd w:val="clear" w:color="auto" w:fill="auto"/>
                  <w:vAlign w:val="center"/>
                </w:tcPr>
                <w:p w14:paraId="5604841C">
                  <w:pPr>
                    <w:pStyle w:val="51"/>
                    <w:spacing w:line="240" w:lineRule="auto"/>
                    <w:ind w:firstLine="0" w:firstLineChars="0"/>
                    <w:jc w:val="center"/>
                    <w:rPr>
                      <w:color w:val="FF0000"/>
                      <w:sz w:val="21"/>
                      <w:szCs w:val="21"/>
                    </w:rPr>
                  </w:pPr>
                </w:p>
              </w:tc>
              <w:tc>
                <w:tcPr>
                  <w:tcW w:w="2128" w:type="dxa"/>
                  <w:shd w:val="clear" w:color="auto" w:fill="auto"/>
                  <w:vAlign w:val="center"/>
                </w:tcPr>
                <w:p w14:paraId="571A70CC">
                  <w:pPr>
                    <w:pStyle w:val="51"/>
                    <w:spacing w:line="240" w:lineRule="auto"/>
                    <w:ind w:firstLine="0" w:firstLineChars="0"/>
                    <w:jc w:val="center"/>
                    <w:rPr>
                      <w:rFonts w:hint="default"/>
                      <w:color w:val="FF0000"/>
                      <w:sz w:val="21"/>
                      <w:szCs w:val="21"/>
                      <w:lang w:val="en-US" w:eastAsia="zh-CN"/>
                    </w:rPr>
                  </w:pPr>
                  <w:r>
                    <w:rPr>
                      <w:rFonts w:hint="eastAsia"/>
                      <w:color w:val="FF0000"/>
                      <w:sz w:val="21"/>
                      <w:szCs w:val="21"/>
                      <w:lang w:val="en-US" w:eastAsia="zh-CN"/>
                    </w:rPr>
                    <w:t>O</w:t>
                  </w:r>
                </w:p>
              </w:tc>
              <w:tc>
                <w:tcPr>
                  <w:tcW w:w="1709" w:type="dxa"/>
                  <w:shd w:val="clear" w:color="auto" w:fill="auto"/>
                  <w:vAlign w:val="center"/>
                </w:tcPr>
                <w:p w14:paraId="72285C53">
                  <w:pPr>
                    <w:pStyle w:val="51"/>
                    <w:spacing w:line="240" w:lineRule="auto"/>
                    <w:ind w:firstLine="0" w:firstLineChars="0"/>
                    <w:jc w:val="center"/>
                    <w:rPr>
                      <w:rFonts w:hint="default" w:eastAsia="宋体"/>
                      <w:color w:val="FF0000"/>
                      <w:sz w:val="21"/>
                      <w:szCs w:val="21"/>
                      <w:lang w:val="en-US" w:eastAsia="zh-CN"/>
                    </w:rPr>
                  </w:pPr>
                  <w:r>
                    <w:rPr>
                      <w:rFonts w:hint="eastAsia"/>
                      <w:color w:val="FF0000"/>
                      <w:sz w:val="21"/>
                      <w:szCs w:val="21"/>
                      <w:lang w:val="en-US" w:eastAsia="zh-CN"/>
                    </w:rPr>
                    <w:t>7782-44-7</w:t>
                  </w:r>
                </w:p>
              </w:tc>
              <w:tc>
                <w:tcPr>
                  <w:tcW w:w="1291" w:type="dxa"/>
                  <w:shd w:val="clear" w:color="auto" w:fill="auto"/>
                  <w:vAlign w:val="center"/>
                </w:tcPr>
                <w:p w14:paraId="691BE149">
                  <w:pPr>
                    <w:pStyle w:val="51"/>
                    <w:spacing w:line="240" w:lineRule="auto"/>
                    <w:ind w:firstLine="0" w:firstLineChars="0"/>
                    <w:jc w:val="center"/>
                    <w:rPr>
                      <w:rFonts w:hint="default"/>
                      <w:color w:val="FF0000"/>
                      <w:sz w:val="21"/>
                      <w:szCs w:val="21"/>
                      <w:lang w:val="en-US" w:eastAsia="zh-CN"/>
                    </w:rPr>
                  </w:pPr>
                  <w:r>
                    <w:rPr>
                      <w:rFonts w:hint="eastAsia"/>
                      <w:color w:val="FF0000"/>
                      <w:sz w:val="21"/>
                      <w:szCs w:val="21"/>
                      <w:lang w:val="en-US" w:eastAsia="zh-CN"/>
                    </w:rPr>
                    <w:t>21</w:t>
                  </w:r>
                </w:p>
              </w:tc>
              <w:tc>
                <w:tcPr>
                  <w:tcW w:w="1806" w:type="dxa"/>
                  <w:shd w:val="clear" w:color="auto" w:fill="auto"/>
                  <w:vAlign w:val="center"/>
                </w:tcPr>
                <w:p w14:paraId="4C7C22FD">
                  <w:pPr>
                    <w:pStyle w:val="51"/>
                    <w:spacing w:line="240" w:lineRule="auto"/>
                    <w:ind w:firstLine="0" w:firstLineChars="0"/>
                    <w:jc w:val="center"/>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21</w:t>
                  </w:r>
                </w:p>
              </w:tc>
            </w:tr>
            <w:tr w14:paraId="62781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continue"/>
                  <w:shd w:val="clear" w:color="auto" w:fill="auto"/>
                  <w:vAlign w:val="center"/>
                </w:tcPr>
                <w:p w14:paraId="3992AFE6">
                  <w:pPr>
                    <w:pStyle w:val="51"/>
                    <w:spacing w:line="240" w:lineRule="auto"/>
                    <w:ind w:firstLine="0" w:firstLineChars="0"/>
                    <w:jc w:val="center"/>
                    <w:rPr>
                      <w:color w:val="FF0000"/>
                      <w:sz w:val="21"/>
                      <w:szCs w:val="21"/>
                    </w:rPr>
                  </w:pPr>
                </w:p>
              </w:tc>
              <w:tc>
                <w:tcPr>
                  <w:tcW w:w="2128" w:type="dxa"/>
                  <w:shd w:val="clear" w:color="auto" w:fill="auto"/>
                  <w:vAlign w:val="center"/>
                </w:tcPr>
                <w:p w14:paraId="303C85CC">
                  <w:pPr>
                    <w:pStyle w:val="51"/>
                    <w:spacing w:line="240" w:lineRule="auto"/>
                    <w:ind w:firstLine="0" w:firstLineChars="0"/>
                    <w:jc w:val="center"/>
                    <w:rPr>
                      <w:rFonts w:hint="default"/>
                      <w:color w:val="FF0000"/>
                      <w:sz w:val="21"/>
                      <w:szCs w:val="21"/>
                      <w:lang w:val="en-US" w:eastAsia="zh-CN"/>
                    </w:rPr>
                  </w:pPr>
                  <w:r>
                    <w:rPr>
                      <w:rFonts w:hint="eastAsia"/>
                      <w:color w:val="FF0000"/>
                      <w:sz w:val="21"/>
                      <w:szCs w:val="21"/>
                      <w:lang w:val="en-US" w:eastAsia="zh-CN"/>
                    </w:rPr>
                    <w:t>Eu</w:t>
                  </w:r>
                </w:p>
              </w:tc>
              <w:tc>
                <w:tcPr>
                  <w:tcW w:w="1709" w:type="dxa"/>
                  <w:shd w:val="clear" w:color="auto" w:fill="auto"/>
                  <w:vAlign w:val="center"/>
                </w:tcPr>
                <w:p w14:paraId="15F38450">
                  <w:pPr>
                    <w:pStyle w:val="51"/>
                    <w:spacing w:line="240" w:lineRule="auto"/>
                    <w:ind w:firstLine="0" w:firstLineChars="0"/>
                    <w:jc w:val="center"/>
                    <w:rPr>
                      <w:rFonts w:hint="default"/>
                      <w:color w:val="FF0000"/>
                      <w:sz w:val="21"/>
                      <w:szCs w:val="21"/>
                      <w:lang w:val="en-US" w:eastAsia="zh-CN"/>
                    </w:rPr>
                  </w:pPr>
                  <w:r>
                    <w:rPr>
                      <w:rFonts w:hint="eastAsia"/>
                      <w:color w:val="FF0000"/>
                      <w:sz w:val="21"/>
                      <w:szCs w:val="21"/>
                      <w:lang w:val="en-US" w:eastAsia="zh-CN"/>
                    </w:rPr>
                    <w:t>7440-53-1</w:t>
                  </w:r>
                </w:p>
              </w:tc>
              <w:tc>
                <w:tcPr>
                  <w:tcW w:w="1291" w:type="dxa"/>
                  <w:shd w:val="clear" w:color="auto" w:fill="auto"/>
                  <w:vAlign w:val="center"/>
                </w:tcPr>
                <w:p w14:paraId="088D7E1D">
                  <w:pPr>
                    <w:pStyle w:val="51"/>
                    <w:spacing w:line="240" w:lineRule="auto"/>
                    <w:ind w:firstLine="0" w:firstLineChars="0"/>
                    <w:jc w:val="center"/>
                    <w:rPr>
                      <w:rFonts w:hint="default"/>
                      <w:color w:val="FF0000"/>
                      <w:sz w:val="21"/>
                      <w:szCs w:val="21"/>
                      <w:lang w:val="en-US" w:eastAsia="zh-CN"/>
                    </w:rPr>
                  </w:pPr>
                  <w:r>
                    <w:rPr>
                      <w:rFonts w:hint="eastAsia"/>
                      <w:color w:val="FF0000"/>
                      <w:sz w:val="21"/>
                      <w:szCs w:val="21"/>
                      <w:lang w:val="en-US" w:eastAsia="zh-CN"/>
                    </w:rPr>
                    <w:t>2</w:t>
                  </w:r>
                </w:p>
              </w:tc>
              <w:tc>
                <w:tcPr>
                  <w:tcW w:w="1806" w:type="dxa"/>
                  <w:shd w:val="clear" w:color="auto" w:fill="auto"/>
                  <w:vAlign w:val="center"/>
                </w:tcPr>
                <w:p w14:paraId="10370644">
                  <w:pPr>
                    <w:pStyle w:val="51"/>
                    <w:spacing w:line="240" w:lineRule="auto"/>
                    <w:ind w:firstLine="0" w:firstLineChars="0"/>
                    <w:jc w:val="center"/>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2</w:t>
                  </w:r>
                </w:p>
              </w:tc>
            </w:tr>
            <w:tr w14:paraId="155B9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89" w:type="dxa"/>
                  <w:vMerge w:val="continue"/>
                  <w:shd w:val="clear" w:color="auto" w:fill="auto"/>
                  <w:vAlign w:val="center"/>
                </w:tcPr>
                <w:p w14:paraId="695E9A5C">
                  <w:pPr>
                    <w:pStyle w:val="51"/>
                    <w:spacing w:line="240" w:lineRule="auto"/>
                    <w:ind w:firstLine="0" w:firstLineChars="0"/>
                    <w:jc w:val="center"/>
                    <w:rPr>
                      <w:color w:val="FF0000"/>
                      <w:sz w:val="21"/>
                      <w:szCs w:val="21"/>
                    </w:rPr>
                  </w:pPr>
                </w:p>
              </w:tc>
              <w:tc>
                <w:tcPr>
                  <w:tcW w:w="2128" w:type="dxa"/>
                  <w:shd w:val="clear" w:color="auto" w:fill="auto"/>
                  <w:vAlign w:val="center"/>
                </w:tcPr>
                <w:p w14:paraId="0CB614B7">
                  <w:pPr>
                    <w:pStyle w:val="51"/>
                    <w:spacing w:line="240" w:lineRule="auto"/>
                    <w:ind w:firstLine="0" w:firstLineChars="0"/>
                    <w:jc w:val="center"/>
                    <w:rPr>
                      <w:rFonts w:hint="default"/>
                      <w:color w:val="FF0000"/>
                      <w:sz w:val="21"/>
                      <w:szCs w:val="21"/>
                      <w:lang w:val="en-US" w:eastAsia="zh-CN"/>
                    </w:rPr>
                  </w:pPr>
                  <w:r>
                    <w:rPr>
                      <w:rFonts w:hint="eastAsia"/>
                      <w:color w:val="FF0000"/>
                      <w:sz w:val="21"/>
                      <w:szCs w:val="21"/>
                      <w:lang w:val="en-US" w:eastAsia="zh-CN"/>
                    </w:rPr>
                    <w:t>Ba</w:t>
                  </w:r>
                </w:p>
              </w:tc>
              <w:tc>
                <w:tcPr>
                  <w:tcW w:w="1709" w:type="dxa"/>
                  <w:shd w:val="clear" w:color="auto" w:fill="auto"/>
                  <w:vAlign w:val="center"/>
                </w:tcPr>
                <w:p w14:paraId="07EFACA7">
                  <w:pPr>
                    <w:pStyle w:val="51"/>
                    <w:spacing w:line="240" w:lineRule="auto"/>
                    <w:ind w:firstLine="0" w:firstLineChars="0"/>
                    <w:jc w:val="center"/>
                    <w:rPr>
                      <w:rFonts w:hint="default"/>
                      <w:color w:val="FF0000"/>
                      <w:sz w:val="21"/>
                      <w:szCs w:val="21"/>
                      <w:lang w:val="en-US" w:eastAsia="zh-CN"/>
                    </w:rPr>
                  </w:pPr>
                  <w:r>
                    <w:rPr>
                      <w:rFonts w:hint="eastAsia"/>
                      <w:color w:val="FF0000"/>
                      <w:sz w:val="21"/>
                      <w:szCs w:val="21"/>
                      <w:lang w:val="en-US" w:eastAsia="zh-CN"/>
                    </w:rPr>
                    <w:t>7440-39-3</w:t>
                  </w:r>
                </w:p>
              </w:tc>
              <w:tc>
                <w:tcPr>
                  <w:tcW w:w="1291" w:type="dxa"/>
                  <w:shd w:val="clear" w:color="auto" w:fill="auto"/>
                  <w:vAlign w:val="center"/>
                </w:tcPr>
                <w:p w14:paraId="7A7923FC">
                  <w:pPr>
                    <w:pStyle w:val="51"/>
                    <w:spacing w:line="240" w:lineRule="auto"/>
                    <w:ind w:firstLine="0" w:firstLineChars="0"/>
                    <w:jc w:val="center"/>
                    <w:rPr>
                      <w:rFonts w:hint="default"/>
                      <w:color w:val="FF0000"/>
                      <w:sz w:val="21"/>
                      <w:szCs w:val="21"/>
                      <w:lang w:val="en-US" w:eastAsia="zh-CN"/>
                    </w:rPr>
                  </w:pPr>
                  <w:r>
                    <w:rPr>
                      <w:rFonts w:hint="eastAsia"/>
                      <w:color w:val="FF0000"/>
                      <w:sz w:val="21"/>
                      <w:szCs w:val="21"/>
                      <w:lang w:val="en-US" w:eastAsia="zh-CN"/>
                    </w:rPr>
                    <w:t>24</w:t>
                  </w:r>
                </w:p>
              </w:tc>
              <w:tc>
                <w:tcPr>
                  <w:tcW w:w="1806" w:type="dxa"/>
                  <w:shd w:val="clear" w:color="auto" w:fill="auto"/>
                  <w:vAlign w:val="center"/>
                </w:tcPr>
                <w:p w14:paraId="1BC11638">
                  <w:pPr>
                    <w:pStyle w:val="51"/>
                    <w:spacing w:line="240" w:lineRule="auto"/>
                    <w:ind w:firstLine="0" w:firstLineChars="0"/>
                    <w:jc w:val="center"/>
                    <w:rPr>
                      <w:rFonts w:hint="eastAsia" w:ascii="Times New Roman" w:hAnsi="Times New Roman" w:eastAsia="宋体" w:cs="Times New Roman"/>
                      <w:color w:val="FF0000"/>
                      <w:kern w:val="0"/>
                      <w:sz w:val="21"/>
                      <w:szCs w:val="21"/>
                      <w:lang w:val="en-US" w:eastAsia="zh-CN" w:bidi="ar-SA"/>
                    </w:rPr>
                  </w:pPr>
                  <w:r>
                    <w:rPr>
                      <w:rFonts w:hint="eastAsia"/>
                      <w:color w:val="FF0000"/>
                      <w:sz w:val="21"/>
                      <w:szCs w:val="21"/>
                      <w:lang w:val="en-US" w:eastAsia="zh-CN"/>
                    </w:rPr>
                    <w:t>24</w:t>
                  </w:r>
                </w:p>
              </w:tc>
            </w:tr>
          </w:tbl>
          <w:p w14:paraId="5C2EF2C4">
            <w:pPr>
              <w:pStyle w:val="51"/>
              <w:ind w:firstLine="482"/>
              <w:rPr>
                <w:b/>
                <w:bCs/>
                <w:lang w:val="fr-FR"/>
              </w:rPr>
            </w:pPr>
            <w:r>
              <w:rPr>
                <w:rFonts w:hint="eastAsia"/>
                <w:b/>
                <w:bCs/>
                <w:lang w:val="fr-FR"/>
              </w:rPr>
              <w:t>（</w:t>
            </w:r>
            <w:r>
              <w:rPr>
                <w:rFonts w:hint="eastAsia"/>
                <w:b/>
                <w:bCs/>
                <w:lang w:val="en-US" w:eastAsia="zh-CN"/>
              </w:rPr>
              <w:t>3</w:t>
            </w:r>
            <w:r>
              <w:rPr>
                <w:rFonts w:hint="eastAsia"/>
                <w:b/>
                <w:bCs/>
                <w:lang w:val="fr-FR"/>
              </w:rPr>
              <w:t>）</w:t>
            </w:r>
            <w:r>
              <w:rPr>
                <w:rFonts w:hint="eastAsia"/>
                <w:b/>
                <w:bCs/>
              </w:rPr>
              <w:t>主要原辅材料理化性质</w:t>
            </w:r>
          </w:p>
          <w:p w14:paraId="32BA4901">
            <w:pPr>
              <w:pStyle w:val="51"/>
              <w:ind w:firstLine="480"/>
            </w:pPr>
            <w:r>
              <w:rPr>
                <w:rFonts w:hint="eastAsia"/>
              </w:rPr>
              <w:t>项目主要原辅材料性质见表</w:t>
            </w:r>
            <w:r>
              <w:t>2-</w:t>
            </w:r>
            <w:r>
              <w:rPr>
                <w:rFonts w:hint="eastAsia"/>
                <w:lang w:val="en-US" w:eastAsia="zh-CN"/>
              </w:rPr>
              <w:t>8</w:t>
            </w:r>
            <w:r>
              <w:rPr>
                <w:rFonts w:hint="eastAsia"/>
              </w:rPr>
              <w:t>。</w:t>
            </w:r>
          </w:p>
          <w:p w14:paraId="2DE7E53B">
            <w:pPr>
              <w:pStyle w:val="52"/>
            </w:pPr>
            <w:r>
              <w:rPr>
                <w:rFonts w:hint="eastAsia"/>
              </w:rPr>
              <w:t>表2-</w:t>
            </w:r>
            <w:r>
              <w:rPr>
                <w:rFonts w:hint="eastAsia"/>
                <w:lang w:val="en-US" w:eastAsia="zh-CN"/>
              </w:rPr>
              <w:t>8</w:t>
            </w:r>
            <w:r>
              <w:rPr>
                <w:rFonts w:hint="eastAsia"/>
              </w:rPr>
              <w:t xml:space="preserve">  项目主要原辅材料理化性质一览表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
              <w:gridCol w:w="11"/>
              <w:gridCol w:w="837"/>
              <w:gridCol w:w="3830"/>
              <w:gridCol w:w="1086"/>
              <w:gridCol w:w="1992"/>
            </w:tblGrid>
            <w:tr w14:paraId="754A4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1315" w:type="dxa"/>
                  <w:gridSpan w:val="3"/>
                  <w:vAlign w:val="center"/>
                </w:tcPr>
                <w:p w14:paraId="1A25D722">
                  <w:pPr>
                    <w:adjustRightInd w:val="0"/>
                    <w:snapToGrid w:val="0"/>
                    <w:jc w:val="center"/>
                    <w:rPr>
                      <w:b/>
                      <w:bCs/>
                      <w:szCs w:val="21"/>
                    </w:rPr>
                  </w:pPr>
                  <w:r>
                    <w:rPr>
                      <w:b/>
                      <w:bCs/>
                      <w:szCs w:val="21"/>
                    </w:rPr>
                    <w:t>名称</w:t>
                  </w:r>
                </w:p>
              </w:tc>
              <w:tc>
                <w:tcPr>
                  <w:tcW w:w="3830" w:type="dxa"/>
                  <w:vAlign w:val="center"/>
                </w:tcPr>
                <w:p w14:paraId="38BAE75A">
                  <w:pPr>
                    <w:adjustRightInd w:val="0"/>
                    <w:snapToGrid w:val="0"/>
                    <w:jc w:val="center"/>
                    <w:rPr>
                      <w:b/>
                      <w:bCs/>
                      <w:szCs w:val="21"/>
                    </w:rPr>
                  </w:pPr>
                  <w:r>
                    <w:rPr>
                      <w:b/>
                      <w:bCs/>
                      <w:szCs w:val="21"/>
                    </w:rPr>
                    <w:t>理化性质和用途</w:t>
                  </w:r>
                </w:p>
              </w:tc>
              <w:tc>
                <w:tcPr>
                  <w:tcW w:w="1086" w:type="dxa"/>
                  <w:vAlign w:val="center"/>
                </w:tcPr>
                <w:p w14:paraId="19FDF88D">
                  <w:pPr>
                    <w:adjustRightInd w:val="0"/>
                    <w:snapToGrid w:val="0"/>
                    <w:jc w:val="center"/>
                    <w:rPr>
                      <w:b/>
                      <w:bCs/>
                      <w:szCs w:val="21"/>
                    </w:rPr>
                  </w:pPr>
                  <w:r>
                    <w:rPr>
                      <w:b/>
                      <w:bCs/>
                      <w:szCs w:val="21"/>
                    </w:rPr>
                    <w:t>燃烧爆炸性</w:t>
                  </w:r>
                </w:p>
              </w:tc>
              <w:tc>
                <w:tcPr>
                  <w:tcW w:w="1992" w:type="dxa"/>
                  <w:vAlign w:val="center"/>
                </w:tcPr>
                <w:p w14:paraId="3E16CF94">
                  <w:pPr>
                    <w:adjustRightInd w:val="0"/>
                    <w:snapToGrid w:val="0"/>
                    <w:jc w:val="center"/>
                    <w:rPr>
                      <w:b/>
                      <w:bCs/>
                      <w:szCs w:val="21"/>
                    </w:rPr>
                  </w:pPr>
                  <w:r>
                    <w:rPr>
                      <w:b/>
                      <w:bCs/>
                      <w:szCs w:val="21"/>
                    </w:rPr>
                    <w:t>毒性及腐蚀性</w:t>
                  </w:r>
                </w:p>
              </w:tc>
            </w:tr>
            <w:tr w14:paraId="75E60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5" w:type="dxa"/>
                  <w:gridSpan w:val="3"/>
                  <w:vAlign w:val="center"/>
                </w:tcPr>
                <w:p w14:paraId="79F8FE95">
                  <w:pPr>
                    <w:adjustRightInd w:val="0"/>
                    <w:snapToGrid w:val="0"/>
                    <w:jc w:val="center"/>
                    <w:rPr>
                      <w:rFonts w:hint="eastAsia" w:eastAsia="宋体"/>
                      <w:szCs w:val="21"/>
                      <w:lang w:val="en-US" w:eastAsia="zh-CN"/>
                    </w:rPr>
                  </w:pPr>
                  <w:r>
                    <w:rPr>
                      <w:rFonts w:hint="eastAsia"/>
                      <w:szCs w:val="21"/>
                      <w:lang w:val="en-US" w:eastAsia="zh-CN"/>
                    </w:rPr>
                    <w:t>锡膏</w:t>
                  </w:r>
                </w:p>
              </w:tc>
              <w:tc>
                <w:tcPr>
                  <w:tcW w:w="3830" w:type="dxa"/>
                  <w:vAlign w:val="center"/>
                </w:tcPr>
                <w:p w14:paraId="71BA3429">
                  <w:pPr>
                    <w:adjustRightInd w:val="0"/>
                    <w:snapToGrid w:val="0"/>
                    <w:rPr>
                      <w:rFonts w:hint="eastAsia"/>
                      <w:szCs w:val="21"/>
                    </w:rPr>
                  </w:pPr>
                  <w:r>
                    <w:rPr>
                      <w:rFonts w:hint="eastAsia"/>
                      <w:szCs w:val="21"/>
                      <w:lang w:val="en-US" w:eastAsia="zh-CN"/>
                    </w:rPr>
                    <w:t>银</w:t>
                  </w:r>
                  <w:r>
                    <w:rPr>
                      <w:rFonts w:hint="eastAsia"/>
                      <w:szCs w:val="21"/>
                    </w:rPr>
                    <w:t>灰色膏体，微弱的刺激性气味。相对密度约</w:t>
                  </w:r>
                  <w:r>
                    <w:rPr>
                      <w:rFonts w:hint="eastAsia"/>
                      <w:szCs w:val="21"/>
                      <w:lang w:val="en-US" w:eastAsia="zh-CN"/>
                    </w:rPr>
                    <w:t>3.5-4.0</w:t>
                  </w:r>
                  <w:r>
                    <w:rPr>
                      <w:rFonts w:hint="eastAsia"/>
                      <w:szCs w:val="21"/>
                    </w:rPr>
                    <w:t>（水=1），熔点217℃，不溶于水，严禁阳光直射或高热，避免接触水气或酸，主要用于电子元器件的焊接。</w:t>
                  </w:r>
                </w:p>
              </w:tc>
              <w:tc>
                <w:tcPr>
                  <w:tcW w:w="1086" w:type="dxa"/>
                  <w:vAlign w:val="center"/>
                </w:tcPr>
                <w:p w14:paraId="6B03918F">
                  <w:pPr>
                    <w:adjustRightInd w:val="0"/>
                    <w:snapToGrid w:val="0"/>
                    <w:jc w:val="center"/>
                    <w:rPr>
                      <w:rFonts w:hint="default" w:eastAsia="宋体"/>
                      <w:szCs w:val="21"/>
                      <w:lang w:val="en-US" w:eastAsia="zh-CN"/>
                    </w:rPr>
                  </w:pPr>
                  <w:r>
                    <w:rPr>
                      <w:rFonts w:hint="eastAsia"/>
                      <w:szCs w:val="21"/>
                      <w:lang w:val="en-US" w:eastAsia="zh-CN"/>
                    </w:rPr>
                    <w:t>/</w:t>
                  </w:r>
                </w:p>
              </w:tc>
              <w:tc>
                <w:tcPr>
                  <w:tcW w:w="1992" w:type="dxa"/>
                  <w:vAlign w:val="center"/>
                </w:tcPr>
                <w:p w14:paraId="3EA21891">
                  <w:pPr>
                    <w:adjustRightInd w:val="0"/>
                    <w:snapToGrid w:val="0"/>
                    <w:jc w:val="center"/>
                    <w:rPr>
                      <w:rFonts w:hint="eastAsia" w:eastAsia="宋体"/>
                      <w:szCs w:val="21"/>
                      <w:lang w:val="en-US" w:eastAsia="zh-CN"/>
                    </w:rPr>
                  </w:pPr>
                  <w:r>
                    <w:rPr>
                      <w:rFonts w:hint="eastAsia"/>
                      <w:szCs w:val="21"/>
                      <w:lang w:val="en-US" w:eastAsia="zh-CN"/>
                    </w:rPr>
                    <w:t>/</w:t>
                  </w:r>
                </w:p>
              </w:tc>
            </w:tr>
            <w:tr w14:paraId="735F5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8" w:type="dxa"/>
                  <w:gridSpan w:val="2"/>
                  <w:vMerge w:val="restart"/>
                  <w:vAlign w:val="center"/>
                </w:tcPr>
                <w:p w14:paraId="155262F5">
                  <w:pPr>
                    <w:adjustRightInd w:val="0"/>
                    <w:snapToGrid w:val="0"/>
                    <w:jc w:val="center"/>
                    <w:rPr>
                      <w:szCs w:val="21"/>
                      <w:lang w:val="zh-CN"/>
                    </w:rPr>
                  </w:pPr>
                  <w:r>
                    <w:rPr>
                      <w:rFonts w:hint="eastAsia"/>
                      <w:szCs w:val="21"/>
                      <w:lang w:val="zh-CN"/>
                    </w:rPr>
                    <w:t>其中</w:t>
                  </w:r>
                </w:p>
              </w:tc>
              <w:tc>
                <w:tcPr>
                  <w:tcW w:w="837" w:type="dxa"/>
                  <w:vAlign w:val="center"/>
                </w:tcPr>
                <w:p w14:paraId="1CCB418B">
                  <w:pPr>
                    <w:adjustRightInd w:val="0"/>
                    <w:snapToGrid w:val="0"/>
                    <w:jc w:val="center"/>
                    <w:rPr>
                      <w:szCs w:val="21"/>
                      <w:lang w:val="zh-CN"/>
                    </w:rPr>
                  </w:pPr>
                  <w:r>
                    <w:rPr>
                      <w:rFonts w:hint="eastAsia"/>
                      <w:szCs w:val="21"/>
                      <w:lang w:val="en-US" w:eastAsia="zh-CN"/>
                    </w:rPr>
                    <w:t>聚合</w:t>
                  </w:r>
                  <w:r>
                    <w:rPr>
                      <w:rFonts w:hint="eastAsia"/>
                      <w:szCs w:val="21"/>
                      <w:lang w:val="zh-CN"/>
                    </w:rPr>
                    <w:t>松香</w:t>
                  </w:r>
                </w:p>
              </w:tc>
              <w:tc>
                <w:tcPr>
                  <w:tcW w:w="3830" w:type="dxa"/>
                  <w:vAlign w:val="center"/>
                </w:tcPr>
                <w:p w14:paraId="3C9E293E">
                  <w:pPr>
                    <w:adjustRightInd w:val="0"/>
                    <w:snapToGrid w:val="0"/>
                    <w:rPr>
                      <w:szCs w:val="21"/>
                    </w:rPr>
                  </w:pPr>
                  <w:r>
                    <w:rPr>
                      <w:rFonts w:hint="eastAsia"/>
                      <w:bCs/>
                      <w:color w:val="auto"/>
                      <w:szCs w:val="21"/>
                    </w:rPr>
                    <w:t>松香为透明、脆性的固体天然树脂，通常呈淡黄色至淡棕色，有玻璃状光泽，带松节油气味。软化点一般在72～76℃之间，沸点约300℃（0.67kPa），密度约为1.060～1.085g/cm³。松香易溶于乙醇、乙醚、丙酮等有机溶剂，但不溶于冷水，微溶于热水。松香中的树脂酸分子结构中含有双键和羧基，因此具有较强的化学活性，能发生氧化、氢化、歧化等多种化学反应。在电路板焊接时，松香常用作助焊剂，帮助金属表面更好地连接。</w:t>
                  </w:r>
                </w:p>
              </w:tc>
              <w:tc>
                <w:tcPr>
                  <w:tcW w:w="1086" w:type="dxa"/>
                  <w:vAlign w:val="center"/>
                </w:tcPr>
                <w:p w14:paraId="1AA10EC3">
                  <w:pPr>
                    <w:adjustRightInd w:val="0"/>
                    <w:snapToGrid w:val="0"/>
                    <w:jc w:val="center"/>
                    <w:rPr>
                      <w:rFonts w:hint="eastAsia" w:eastAsia="宋体"/>
                      <w:szCs w:val="21"/>
                      <w:lang w:eastAsia="zh-CN"/>
                    </w:rPr>
                  </w:pPr>
                  <w:r>
                    <w:rPr>
                      <w:rFonts w:hint="eastAsia"/>
                      <w:szCs w:val="21"/>
                      <w:lang w:val="en-US" w:eastAsia="zh-CN"/>
                    </w:rPr>
                    <w:t>可燃</w:t>
                  </w:r>
                </w:p>
              </w:tc>
              <w:tc>
                <w:tcPr>
                  <w:tcW w:w="1992" w:type="dxa"/>
                  <w:vAlign w:val="center"/>
                </w:tcPr>
                <w:p w14:paraId="2FBFFD26">
                  <w:pPr>
                    <w:adjustRightInd w:val="0"/>
                    <w:snapToGrid w:val="0"/>
                    <w:jc w:val="center"/>
                    <w:rPr>
                      <w:rFonts w:hint="eastAsia" w:eastAsia="宋体"/>
                      <w:szCs w:val="21"/>
                      <w:lang w:eastAsia="zh-CN"/>
                    </w:rPr>
                  </w:pPr>
                  <w:r>
                    <w:rPr>
                      <w:rFonts w:hint="eastAsia"/>
                      <w:szCs w:val="21"/>
                      <w:lang w:val="en-US" w:eastAsia="zh-CN"/>
                    </w:rPr>
                    <w:t>/</w:t>
                  </w:r>
                </w:p>
              </w:tc>
            </w:tr>
            <w:tr w14:paraId="01A86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8" w:type="dxa"/>
                  <w:gridSpan w:val="2"/>
                  <w:vMerge w:val="continue"/>
                  <w:vAlign w:val="center"/>
                </w:tcPr>
                <w:p w14:paraId="207F6CB7">
                  <w:pPr>
                    <w:adjustRightInd w:val="0"/>
                    <w:snapToGrid w:val="0"/>
                    <w:jc w:val="center"/>
                    <w:rPr>
                      <w:rFonts w:hint="eastAsia"/>
                      <w:szCs w:val="21"/>
                      <w:lang w:val="zh-CN"/>
                    </w:rPr>
                  </w:pPr>
                </w:p>
              </w:tc>
              <w:tc>
                <w:tcPr>
                  <w:tcW w:w="837" w:type="dxa"/>
                  <w:vAlign w:val="center"/>
                </w:tcPr>
                <w:p w14:paraId="15DF3E76">
                  <w:pPr>
                    <w:adjustRightInd w:val="0"/>
                    <w:snapToGrid w:val="0"/>
                    <w:jc w:val="center"/>
                    <w:rPr>
                      <w:rFonts w:hint="eastAsia"/>
                      <w:szCs w:val="21"/>
                      <w:lang w:val="zh-CN"/>
                    </w:rPr>
                  </w:pPr>
                  <w:r>
                    <w:rPr>
                      <w:rFonts w:hint="eastAsia"/>
                      <w:sz w:val="21"/>
                      <w:szCs w:val="21"/>
                      <w:lang w:val="en-US" w:eastAsia="zh-CN"/>
                    </w:rPr>
                    <w:t>表面活性剂（氢溴酸）</w:t>
                  </w:r>
                </w:p>
              </w:tc>
              <w:tc>
                <w:tcPr>
                  <w:tcW w:w="3830" w:type="dxa"/>
                  <w:vAlign w:val="center"/>
                </w:tcPr>
                <w:p w14:paraId="7F052EFB">
                  <w:pPr>
                    <w:adjustRightInd w:val="0"/>
                    <w:snapToGrid w:val="0"/>
                    <w:rPr>
                      <w:szCs w:val="21"/>
                    </w:rPr>
                  </w:pPr>
                  <w:r>
                    <w:rPr>
                      <w:rFonts w:hint="eastAsia"/>
                      <w:szCs w:val="21"/>
                    </w:rPr>
                    <w:t>通常为无色或淡黄色的强酸性发烟液体，久置或见光会因溴单质析出而变为黄棕色。它具有刺激性酸味，常见商品浓度约为47%，此时沸点约126℃，密度约1.49g/cm³，可与水、乙醇等混溶。其化学性质主要表现为强酸性和强还原性，酸性强于盐酸，但极易被空气等氧化剂氧化成溴单质。氢溴酸对大多数金属有强腐蚀性，对皮肤、眼睛和呼吸道也具有强腐蚀性和毒性，操作时必须严格防护，并避光密封保存。</w:t>
                  </w:r>
                </w:p>
              </w:tc>
              <w:tc>
                <w:tcPr>
                  <w:tcW w:w="1086" w:type="dxa"/>
                  <w:vAlign w:val="center"/>
                </w:tcPr>
                <w:p w14:paraId="327C9EAE">
                  <w:pPr>
                    <w:adjustRightInd w:val="0"/>
                    <w:snapToGrid w:val="0"/>
                    <w:jc w:val="center"/>
                    <w:rPr>
                      <w:rFonts w:hint="eastAsia" w:eastAsia="宋体"/>
                      <w:szCs w:val="21"/>
                      <w:lang w:val="en-US" w:eastAsia="zh-CN"/>
                    </w:rPr>
                  </w:pPr>
                  <w:r>
                    <w:rPr>
                      <w:rFonts w:hint="eastAsia"/>
                      <w:szCs w:val="21"/>
                      <w:lang w:val="en-US" w:eastAsia="zh-CN"/>
                    </w:rPr>
                    <w:t>不可燃</w:t>
                  </w:r>
                </w:p>
              </w:tc>
              <w:tc>
                <w:tcPr>
                  <w:tcW w:w="1992" w:type="dxa"/>
                  <w:vAlign w:val="center"/>
                </w:tcPr>
                <w:p w14:paraId="75EB9747">
                  <w:pPr>
                    <w:adjustRightInd w:val="0"/>
                    <w:snapToGrid w:val="0"/>
                    <w:rPr>
                      <w:rFonts w:hint="eastAsia" w:eastAsia="宋体"/>
                      <w:szCs w:val="21"/>
                      <w:lang w:val="en-US" w:eastAsia="zh-CN"/>
                    </w:rPr>
                  </w:pPr>
                  <w:r>
                    <w:rPr>
                      <w:szCs w:val="21"/>
                    </w:rPr>
                    <w:t>L</w:t>
                  </w:r>
                  <w:r>
                    <w:rPr>
                      <w:rFonts w:hint="eastAsia"/>
                      <w:szCs w:val="21"/>
                      <w:lang w:val="en-US" w:eastAsia="zh-CN"/>
                    </w:rPr>
                    <w:t>C</w:t>
                  </w:r>
                  <w:r>
                    <w:rPr>
                      <w:szCs w:val="21"/>
                    </w:rPr>
                    <w:t>50：</w:t>
                  </w:r>
                  <w:r>
                    <w:rPr>
                      <w:rFonts w:hint="eastAsia"/>
                      <w:szCs w:val="21"/>
                    </w:rPr>
                    <w:t>2858PPM/1小时</w:t>
                  </w:r>
                  <w:r>
                    <w:rPr>
                      <w:szCs w:val="21"/>
                    </w:rPr>
                    <w:t>(大鼠</w:t>
                  </w:r>
                  <w:r>
                    <w:rPr>
                      <w:rFonts w:hint="eastAsia"/>
                      <w:szCs w:val="21"/>
                      <w:lang w:val="en-US" w:eastAsia="zh-CN"/>
                    </w:rPr>
                    <w:t>吸入</w:t>
                  </w:r>
                  <w:r>
                    <w:rPr>
                      <w:szCs w:val="21"/>
                    </w:rPr>
                    <w:t>)</w:t>
                  </w:r>
                  <w:r>
                    <w:rPr>
                      <w:rFonts w:hint="eastAsia"/>
                      <w:szCs w:val="21"/>
                      <w:lang w:eastAsia="zh-CN"/>
                    </w:rPr>
                    <w:t>；</w:t>
                  </w:r>
                  <w:r>
                    <w:rPr>
                      <w:szCs w:val="21"/>
                    </w:rPr>
                    <w:t>L</w:t>
                  </w:r>
                  <w:r>
                    <w:rPr>
                      <w:rFonts w:hint="eastAsia"/>
                      <w:szCs w:val="21"/>
                      <w:lang w:val="en-US" w:eastAsia="zh-CN"/>
                    </w:rPr>
                    <w:t>C</w:t>
                  </w:r>
                  <w:r>
                    <w:rPr>
                      <w:szCs w:val="21"/>
                    </w:rPr>
                    <w:t>50：</w:t>
                  </w:r>
                  <w:r>
                    <w:rPr>
                      <w:rFonts w:hint="eastAsia"/>
                      <w:szCs w:val="21"/>
                      <w:lang w:val="en-US" w:eastAsia="zh-CN"/>
                    </w:rPr>
                    <w:t>814</w:t>
                  </w:r>
                  <w:r>
                    <w:rPr>
                      <w:rFonts w:hint="eastAsia"/>
                      <w:szCs w:val="21"/>
                    </w:rPr>
                    <w:t>PPM/1小时</w:t>
                  </w:r>
                  <w:r>
                    <w:rPr>
                      <w:szCs w:val="21"/>
                    </w:rPr>
                    <w:t>(</w:t>
                  </w:r>
                  <w:r>
                    <w:rPr>
                      <w:rFonts w:hint="eastAsia"/>
                      <w:szCs w:val="21"/>
                      <w:lang w:val="en-US" w:eastAsia="zh-CN"/>
                    </w:rPr>
                    <w:t>小</w:t>
                  </w:r>
                  <w:r>
                    <w:rPr>
                      <w:szCs w:val="21"/>
                    </w:rPr>
                    <w:t>鼠</w:t>
                  </w:r>
                  <w:r>
                    <w:rPr>
                      <w:rFonts w:hint="eastAsia"/>
                      <w:szCs w:val="21"/>
                      <w:lang w:val="en-US" w:eastAsia="zh-CN"/>
                    </w:rPr>
                    <w:t>吸入</w:t>
                  </w:r>
                  <w:r>
                    <w:rPr>
                      <w:szCs w:val="21"/>
                    </w:rPr>
                    <w:t>)</w:t>
                  </w:r>
                  <w:r>
                    <w:rPr>
                      <w:rFonts w:hint="eastAsia"/>
                      <w:szCs w:val="21"/>
                      <w:lang w:eastAsia="zh-CN"/>
                    </w:rPr>
                    <w:t>；</w:t>
                  </w:r>
                </w:p>
              </w:tc>
            </w:tr>
            <w:tr w14:paraId="56035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8" w:type="dxa"/>
                  <w:gridSpan w:val="2"/>
                  <w:vMerge w:val="continue"/>
                  <w:vAlign w:val="center"/>
                </w:tcPr>
                <w:p w14:paraId="6C266D6D">
                  <w:pPr>
                    <w:adjustRightInd w:val="0"/>
                    <w:snapToGrid w:val="0"/>
                    <w:jc w:val="center"/>
                    <w:rPr>
                      <w:rFonts w:hint="eastAsia"/>
                      <w:szCs w:val="21"/>
                      <w:lang w:val="zh-CN"/>
                    </w:rPr>
                  </w:pPr>
                </w:p>
              </w:tc>
              <w:tc>
                <w:tcPr>
                  <w:tcW w:w="837" w:type="dxa"/>
                  <w:vAlign w:val="center"/>
                </w:tcPr>
                <w:p w14:paraId="1B5B175A">
                  <w:pPr>
                    <w:adjustRightInd w:val="0"/>
                    <w:snapToGrid w:val="0"/>
                    <w:jc w:val="center"/>
                    <w:rPr>
                      <w:rFonts w:hint="eastAsia"/>
                      <w:sz w:val="21"/>
                      <w:szCs w:val="21"/>
                      <w:lang w:val="en-US" w:eastAsia="zh-CN"/>
                    </w:rPr>
                  </w:pPr>
                  <w:r>
                    <w:rPr>
                      <w:rFonts w:hint="eastAsia"/>
                      <w:sz w:val="21"/>
                      <w:szCs w:val="21"/>
                      <w:lang w:val="en-US" w:eastAsia="zh-CN"/>
                    </w:rPr>
                    <w:t>活性剂（辛二酸）</w:t>
                  </w:r>
                </w:p>
              </w:tc>
              <w:tc>
                <w:tcPr>
                  <w:tcW w:w="3830" w:type="dxa"/>
                  <w:vAlign w:val="center"/>
                </w:tcPr>
                <w:p w14:paraId="7B5CDA57">
                  <w:pPr>
                    <w:adjustRightInd w:val="0"/>
                    <w:snapToGrid w:val="0"/>
                    <w:rPr>
                      <w:szCs w:val="21"/>
                    </w:rPr>
                  </w:pPr>
                  <w:r>
                    <w:rPr>
                      <w:rFonts w:hint="eastAsia"/>
                      <w:szCs w:val="21"/>
                    </w:rPr>
                    <w:t>常温下为白色至乳白色的结晶或粉末。它的熔点约为140至144°C，在减压条件下（约15 mmHg）沸点约为230°C。辛二酸微溶于冷水，但易溶于乙醇、乙醚等有机溶剂，其化学性质典型，能发生酯化、中和等羧酸反应，是合成聚酯、聚酰胺（尼龙）的重要单体，也用作高分子材料的交联剂。‌</w:t>
                  </w:r>
                </w:p>
              </w:tc>
              <w:tc>
                <w:tcPr>
                  <w:tcW w:w="1086" w:type="dxa"/>
                  <w:vAlign w:val="center"/>
                </w:tcPr>
                <w:p w14:paraId="7050BC58">
                  <w:pPr>
                    <w:adjustRightInd w:val="0"/>
                    <w:snapToGrid w:val="0"/>
                    <w:jc w:val="center"/>
                    <w:rPr>
                      <w:rFonts w:hint="eastAsia" w:eastAsia="宋体"/>
                      <w:szCs w:val="21"/>
                      <w:lang w:val="en-US" w:eastAsia="zh-CN"/>
                    </w:rPr>
                  </w:pPr>
                  <w:r>
                    <w:rPr>
                      <w:rFonts w:hint="eastAsia"/>
                      <w:szCs w:val="21"/>
                      <w:lang w:val="en-US" w:eastAsia="zh-CN"/>
                    </w:rPr>
                    <w:t>可燃</w:t>
                  </w:r>
                </w:p>
              </w:tc>
              <w:tc>
                <w:tcPr>
                  <w:tcW w:w="1992" w:type="dxa"/>
                  <w:vAlign w:val="center"/>
                </w:tcPr>
                <w:p w14:paraId="17696758">
                  <w:pPr>
                    <w:adjustRightInd w:val="0"/>
                    <w:snapToGrid w:val="0"/>
                    <w:rPr>
                      <w:szCs w:val="21"/>
                    </w:rPr>
                  </w:pPr>
                  <w:r>
                    <w:rPr>
                      <w:rFonts w:hint="eastAsia"/>
                      <w:szCs w:val="21"/>
                      <w:lang w:val="en-US" w:eastAsia="zh-CN"/>
                    </w:rPr>
                    <w:t>低毒，</w:t>
                  </w:r>
                  <w:r>
                    <w:rPr>
                      <w:rFonts w:hint="eastAsia"/>
                      <w:szCs w:val="21"/>
                    </w:rPr>
                    <w:t>大鼠经口LD50&gt;2000mg/kg、小鼠静脉注射LD50&gt;320mg/kg</w:t>
                  </w:r>
                </w:p>
              </w:tc>
            </w:tr>
            <w:tr w14:paraId="6B3FD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8" w:type="dxa"/>
                  <w:gridSpan w:val="2"/>
                  <w:vMerge w:val="continue"/>
                  <w:vAlign w:val="center"/>
                </w:tcPr>
                <w:p w14:paraId="6BB97065">
                  <w:pPr>
                    <w:adjustRightInd w:val="0"/>
                    <w:snapToGrid w:val="0"/>
                    <w:jc w:val="center"/>
                    <w:rPr>
                      <w:rFonts w:hint="eastAsia"/>
                      <w:szCs w:val="21"/>
                      <w:lang w:val="zh-CN"/>
                    </w:rPr>
                  </w:pPr>
                </w:p>
              </w:tc>
              <w:tc>
                <w:tcPr>
                  <w:tcW w:w="837" w:type="dxa"/>
                  <w:vAlign w:val="center"/>
                </w:tcPr>
                <w:p w14:paraId="2C720F26">
                  <w:pPr>
                    <w:adjustRightInd w:val="0"/>
                    <w:snapToGrid w:val="0"/>
                    <w:jc w:val="center"/>
                    <w:rPr>
                      <w:rFonts w:hint="eastAsia"/>
                      <w:sz w:val="21"/>
                      <w:szCs w:val="21"/>
                      <w:lang w:val="en-US" w:eastAsia="zh-CN"/>
                    </w:rPr>
                  </w:pPr>
                  <w:r>
                    <w:rPr>
                      <w:rFonts w:hint="eastAsia"/>
                      <w:sz w:val="21"/>
                      <w:szCs w:val="21"/>
                      <w:lang w:val="en-US" w:eastAsia="zh-CN"/>
                    </w:rPr>
                    <w:t>有机溶剂（‌乙二醇‌）</w:t>
                  </w:r>
                </w:p>
              </w:tc>
              <w:tc>
                <w:tcPr>
                  <w:tcW w:w="3830" w:type="dxa"/>
                  <w:vAlign w:val="center"/>
                </w:tcPr>
                <w:p w14:paraId="22517456">
                  <w:pPr>
                    <w:adjustRightInd w:val="0"/>
                    <w:snapToGrid w:val="0"/>
                    <w:rPr>
                      <w:rFonts w:hint="eastAsia" w:eastAsia="宋体"/>
                      <w:szCs w:val="21"/>
                      <w:lang w:eastAsia="zh-CN"/>
                    </w:rPr>
                  </w:pPr>
                  <w:r>
                    <w:rPr>
                      <w:rFonts w:hint="eastAsia"/>
                      <w:szCs w:val="21"/>
                    </w:rPr>
                    <w:t>常温下为无色、无臭、具甜味的粘稠液体，沸点约为197.3°C，冰点低至-13°C，能与水、乙醇、丙酮等溶剂以任意比例混溶</w:t>
                  </w:r>
                  <w:r>
                    <w:rPr>
                      <w:rFonts w:hint="eastAsia"/>
                      <w:szCs w:val="21"/>
                      <w:lang w:eastAsia="zh-CN"/>
                    </w:rPr>
                    <w:t>。</w:t>
                  </w:r>
                </w:p>
              </w:tc>
              <w:tc>
                <w:tcPr>
                  <w:tcW w:w="1086" w:type="dxa"/>
                  <w:vAlign w:val="center"/>
                </w:tcPr>
                <w:p w14:paraId="2A00C125">
                  <w:pPr>
                    <w:adjustRightInd w:val="0"/>
                    <w:snapToGrid w:val="0"/>
                    <w:jc w:val="center"/>
                    <w:rPr>
                      <w:rFonts w:hint="eastAsia" w:eastAsia="宋体"/>
                      <w:szCs w:val="21"/>
                      <w:lang w:val="en-US" w:eastAsia="zh-CN"/>
                    </w:rPr>
                  </w:pPr>
                  <w:r>
                    <w:rPr>
                      <w:rFonts w:hint="eastAsia"/>
                      <w:szCs w:val="21"/>
                      <w:lang w:val="en-US" w:eastAsia="zh-CN"/>
                    </w:rPr>
                    <w:t>可燃</w:t>
                  </w:r>
                </w:p>
              </w:tc>
              <w:tc>
                <w:tcPr>
                  <w:tcW w:w="1992" w:type="dxa"/>
                  <w:vAlign w:val="center"/>
                </w:tcPr>
                <w:p w14:paraId="7BA59E57">
                  <w:pPr>
                    <w:adjustRightInd w:val="0"/>
                    <w:snapToGrid w:val="0"/>
                    <w:rPr>
                      <w:szCs w:val="21"/>
                    </w:rPr>
                  </w:pPr>
                  <w:r>
                    <w:rPr>
                      <w:szCs w:val="21"/>
                    </w:rPr>
                    <w:t>LD50：</w:t>
                  </w:r>
                  <w:r>
                    <w:rPr>
                      <w:rFonts w:hint="eastAsia"/>
                      <w:szCs w:val="21"/>
                      <w:lang w:val="en-US" w:eastAsia="zh-CN"/>
                    </w:rPr>
                    <w:t>5900</w:t>
                  </w:r>
                  <w:r>
                    <w:rPr>
                      <w:szCs w:val="21"/>
                    </w:rPr>
                    <w:t>mg/kg(大鼠经口)</w:t>
                  </w:r>
                </w:p>
              </w:tc>
            </w:tr>
            <w:tr w14:paraId="21713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5" w:type="dxa"/>
                  <w:gridSpan w:val="3"/>
                  <w:vAlign w:val="center"/>
                </w:tcPr>
                <w:p w14:paraId="60A79092">
                  <w:pPr>
                    <w:adjustRightInd w:val="0"/>
                    <w:snapToGrid w:val="0"/>
                    <w:jc w:val="center"/>
                    <w:rPr>
                      <w:rFonts w:hint="eastAsia" w:eastAsia="宋体"/>
                      <w:szCs w:val="21"/>
                      <w:lang w:eastAsia="zh-CN"/>
                    </w:rPr>
                  </w:pPr>
                  <w:r>
                    <w:rPr>
                      <w:rFonts w:hint="eastAsia"/>
                      <w:szCs w:val="21"/>
                      <w:lang w:val="en-US" w:eastAsia="zh-CN"/>
                    </w:rPr>
                    <w:t>锡丝</w:t>
                  </w:r>
                </w:p>
              </w:tc>
              <w:tc>
                <w:tcPr>
                  <w:tcW w:w="3830" w:type="dxa"/>
                  <w:vAlign w:val="center"/>
                </w:tcPr>
                <w:p w14:paraId="17622661">
                  <w:pPr>
                    <w:adjustRightInd w:val="0"/>
                    <w:snapToGrid w:val="0"/>
                    <w:rPr>
                      <w:szCs w:val="21"/>
                    </w:rPr>
                  </w:pPr>
                  <w:r>
                    <w:rPr>
                      <w:rFonts w:hint="eastAsia"/>
                      <w:szCs w:val="21"/>
                    </w:rPr>
                    <w:t>用在金属切削、磨加工过程中，用来冷却和润滑刀具和加工件的工业用液体，切削液由多种超强功能助剂经科学复合配合而成，同时具备良好的冷却性能、润滑性能、防锈性能、除油清洗功能、防腐功能、易稀释特点。</w:t>
                  </w:r>
                </w:p>
              </w:tc>
              <w:tc>
                <w:tcPr>
                  <w:tcW w:w="1086" w:type="dxa"/>
                  <w:vAlign w:val="center"/>
                </w:tcPr>
                <w:p w14:paraId="2B671BF3">
                  <w:pPr>
                    <w:adjustRightInd w:val="0"/>
                    <w:snapToGrid w:val="0"/>
                    <w:jc w:val="center"/>
                    <w:rPr>
                      <w:szCs w:val="21"/>
                    </w:rPr>
                  </w:pPr>
                  <w:r>
                    <w:rPr>
                      <w:rFonts w:hint="eastAsia"/>
                      <w:szCs w:val="21"/>
                    </w:rPr>
                    <w:t>/</w:t>
                  </w:r>
                </w:p>
              </w:tc>
              <w:tc>
                <w:tcPr>
                  <w:tcW w:w="1992" w:type="dxa"/>
                  <w:vAlign w:val="center"/>
                </w:tcPr>
                <w:p w14:paraId="2DA80269">
                  <w:pPr>
                    <w:adjustRightInd w:val="0"/>
                    <w:snapToGrid w:val="0"/>
                    <w:jc w:val="center"/>
                    <w:rPr>
                      <w:szCs w:val="21"/>
                    </w:rPr>
                  </w:pPr>
                  <w:r>
                    <w:rPr>
                      <w:rFonts w:hint="eastAsia"/>
                      <w:szCs w:val="21"/>
                    </w:rPr>
                    <w:t>/</w:t>
                  </w:r>
                </w:p>
              </w:tc>
            </w:tr>
            <w:tr w14:paraId="63C4B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78" w:type="dxa"/>
                  <w:gridSpan w:val="2"/>
                  <w:vAlign w:val="center"/>
                </w:tcPr>
                <w:p w14:paraId="5C69E697">
                  <w:pPr>
                    <w:adjustRightInd w:val="0"/>
                    <w:snapToGrid w:val="0"/>
                    <w:jc w:val="center"/>
                    <w:rPr>
                      <w:szCs w:val="21"/>
                    </w:rPr>
                  </w:pPr>
                  <w:r>
                    <w:rPr>
                      <w:szCs w:val="21"/>
                    </w:rPr>
                    <w:t>其中</w:t>
                  </w:r>
                </w:p>
              </w:tc>
              <w:tc>
                <w:tcPr>
                  <w:tcW w:w="837" w:type="dxa"/>
                  <w:vAlign w:val="center"/>
                </w:tcPr>
                <w:p w14:paraId="07E410D2">
                  <w:pPr>
                    <w:adjustRightInd w:val="0"/>
                    <w:snapToGrid w:val="0"/>
                    <w:jc w:val="center"/>
                    <w:rPr>
                      <w:szCs w:val="21"/>
                    </w:rPr>
                  </w:pPr>
                  <w:r>
                    <w:rPr>
                      <w:rFonts w:hint="eastAsia"/>
                      <w:szCs w:val="21"/>
                    </w:rPr>
                    <w:t>助焊剂（松香）</w:t>
                  </w:r>
                </w:p>
              </w:tc>
              <w:tc>
                <w:tcPr>
                  <w:tcW w:w="3830" w:type="dxa"/>
                  <w:vAlign w:val="center"/>
                </w:tcPr>
                <w:p w14:paraId="5365ED87">
                  <w:pPr>
                    <w:adjustRightInd w:val="0"/>
                    <w:snapToGrid w:val="0"/>
                    <w:rPr>
                      <w:szCs w:val="21"/>
                    </w:rPr>
                  </w:pPr>
                  <w:r>
                    <w:rPr>
                      <w:rFonts w:hint="eastAsia"/>
                      <w:szCs w:val="21"/>
                    </w:rPr>
                    <w:t>一种天然树脂，主要从松树分泌物中提取。‌松香为无定形透明固体，常呈淡黄色或棕色，不溶于水，熔点约110–135℃，密度1.060–1.085 g/cm³，广泛用于肥皂、造纸、涂料、助焊剂及乐器制造等领域</w:t>
                  </w:r>
                </w:p>
              </w:tc>
              <w:tc>
                <w:tcPr>
                  <w:tcW w:w="1086" w:type="dxa"/>
                  <w:vAlign w:val="center"/>
                </w:tcPr>
                <w:p w14:paraId="08563873">
                  <w:pPr>
                    <w:adjustRightInd w:val="0"/>
                    <w:snapToGrid w:val="0"/>
                    <w:jc w:val="center"/>
                    <w:rPr>
                      <w:szCs w:val="21"/>
                    </w:rPr>
                  </w:pPr>
                  <w:r>
                    <w:rPr>
                      <w:szCs w:val="21"/>
                    </w:rPr>
                    <w:t>可燃</w:t>
                  </w:r>
                </w:p>
              </w:tc>
              <w:tc>
                <w:tcPr>
                  <w:tcW w:w="1992" w:type="dxa"/>
                  <w:vAlign w:val="center"/>
                </w:tcPr>
                <w:p w14:paraId="6EC05689">
                  <w:pPr>
                    <w:adjustRightInd w:val="0"/>
                    <w:snapToGrid w:val="0"/>
                    <w:jc w:val="center"/>
                    <w:rPr>
                      <w:szCs w:val="21"/>
                    </w:rPr>
                  </w:pPr>
                  <w:r>
                    <w:rPr>
                      <w:szCs w:val="21"/>
                    </w:rPr>
                    <w:t>/</w:t>
                  </w:r>
                </w:p>
              </w:tc>
            </w:tr>
            <w:tr w14:paraId="71631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5" w:type="dxa"/>
                  <w:gridSpan w:val="3"/>
                  <w:vAlign w:val="center"/>
                </w:tcPr>
                <w:p w14:paraId="5B0D1EFF">
                  <w:pPr>
                    <w:adjustRightInd w:val="0"/>
                    <w:snapToGrid w:val="0"/>
                    <w:jc w:val="center"/>
                    <w:rPr>
                      <w:rFonts w:hint="default" w:eastAsia="宋体"/>
                      <w:szCs w:val="21"/>
                      <w:lang w:val="en-US" w:eastAsia="zh-CN"/>
                    </w:rPr>
                  </w:pPr>
                  <w:r>
                    <w:rPr>
                      <w:rFonts w:hint="eastAsia"/>
                      <w:szCs w:val="21"/>
                      <w:lang w:val="en-US" w:eastAsia="zh-CN"/>
                    </w:rPr>
                    <w:t>酒精（乙醇）</w:t>
                  </w:r>
                </w:p>
              </w:tc>
              <w:tc>
                <w:tcPr>
                  <w:tcW w:w="3830" w:type="dxa"/>
                  <w:vAlign w:val="center"/>
                </w:tcPr>
                <w:p w14:paraId="216B0DDB">
                  <w:pPr>
                    <w:adjustRightInd w:val="0"/>
                    <w:snapToGrid w:val="0"/>
                    <w:rPr>
                      <w:szCs w:val="21"/>
                    </w:rPr>
                  </w:pPr>
                  <w:r>
                    <w:rPr>
                      <w:szCs w:val="21"/>
                    </w:rPr>
                    <w:t>水状液体，淡黄色至褐色，无气味或略带极微弱味；pH值1.8-4.5；在正常的预期使用条件下，本产品对健康没有危险。过度接触会引起眼睛、皮肤不适，停止接触即可恢复正常</w:t>
                  </w:r>
                </w:p>
              </w:tc>
              <w:tc>
                <w:tcPr>
                  <w:tcW w:w="1086" w:type="dxa"/>
                  <w:vAlign w:val="center"/>
                </w:tcPr>
                <w:p w14:paraId="22FF4FA5">
                  <w:pPr>
                    <w:adjustRightInd w:val="0"/>
                    <w:snapToGrid w:val="0"/>
                    <w:jc w:val="center"/>
                    <w:rPr>
                      <w:rFonts w:hint="eastAsia" w:eastAsia="宋体"/>
                      <w:szCs w:val="21"/>
                      <w:lang w:eastAsia="zh-CN"/>
                    </w:rPr>
                  </w:pPr>
                  <w:r>
                    <w:rPr>
                      <w:rFonts w:hint="eastAsia"/>
                      <w:szCs w:val="21"/>
                      <w:lang w:val="en-US" w:eastAsia="zh-CN"/>
                    </w:rPr>
                    <w:t>易燃</w:t>
                  </w:r>
                </w:p>
              </w:tc>
              <w:tc>
                <w:tcPr>
                  <w:tcW w:w="1992" w:type="dxa"/>
                  <w:vAlign w:val="center"/>
                </w:tcPr>
                <w:p w14:paraId="379F328D">
                  <w:pPr>
                    <w:adjustRightInd w:val="0"/>
                    <w:snapToGrid w:val="0"/>
                    <w:jc w:val="center"/>
                    <w:rPr>
                      <w:szCs w:val="21"/>
                    </w:rPr>
                  </w:pPr>
                  <w:r>
                    <w:rPr>
                      <w:rFonts w:hint="eastAsia"/>
                      <w:szCs w:val="21"/>
                    </w:rPr>
                    <w:t>急性毒性，LD50：7060mg/kg（兔经口）；LD50：7340mg/kg（兔经皮）；LC50：37620mg/m</w:t>
                  </w:r>
                  <w:r>
                    <w:rPr>
                      <w:rFonts w:hint="eastAsia"/>
                      <w:szCs w:val="21"/>
                      <w:vertAlign w:val="superscript"/>
                    </w:rPr>
                    <w:t>3</w:t>
                  </w:r>
                  <w:r>
                    <w:rPr>
                      <w:rFonts w:hint="eastAsia"/>
                      <w:szCs w:val="21"/>
                    </w:rPr>
                    <w:t>，10h（大鼠吸入）</w:t>
                  </w:r>
                </w:p>
              </w:tc>
            </w:tr>
            <w:tr w14:paraId="4EB79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5" w:type="dxa"/>
                  <w:gridSpan w:val="3"/>
                  <w:vAlign w:val="center"/>
                </w:tcPr>
                <w:p w14:paraId="5457775B">
                  <w:pPr>
                    <w:adjustRightInd w:val="0"/>
                    <w:snapToGrid w:val="0"/>
                    <w:jc w:val="center"/>
                    <w:rPr>
                      <w:rFonts w:hint="eastAsia" w:eastAsia="宋体"/>
                      <w:szCs w:val="21"/>
                      <w:lang w:val="en-US" w:eastAsia="zh-CN"/>
                    </w:rPr>
                  </w:pPr>
                  <w:r>
                    <w:rPr>
                      <w:rFonts w:hint="eastAsia"/>
                      <w:szCs w:val="21"/>
                      <w:lang w:val="en-US" w:eastAsia="zh-CN"/>
                    </w:rPr>
                    <w:t>硅胶</w:t>
                  </w:r>
                </w:p>
              </w:tc>
              <w:tc>
                <w:tcPr>
                  <w:tcW w:w="3830" w:type="dxa"/>
                  <w:vAlign w:val="center"/>
                </w:tcPr>
                <w:p w14:paraId="3A8AC41D">
                  <w:pPr>
                    <w:adjustRightInd w:val="0"/>
                    <w:snapToGrid w:val="0"/>
                    <w:rPr>
                      <w:rFonts w:hint="default" w:eastAsia="宋体"/>
                      <w:szCs w:val="21"/>
                      <w:lang w:val="en-US" w:eastAsia="zh-CN"/>
                    </w:rPr>
                  </w:pPr>
                  <w:r>
                    <w:rPr>
                      <w:rFonts w:hint="eastAsia"/>
                      <w:szCs w:val="21"/>
                      <w:lang w:val="en-US" w:eastAsia="zh-CN"/>
                    </w:rPr>
                    <w:t>白色粘稠状液体，轻微气味，比重1.2</w:t>
                  </w:r>
                  <w:r>
                    <w:rPr>
                      <w:sz w:val="21"/>
                      <w:szCs w:val="21"/>
                    </w:rPr>
                    <w:t>~</w:t>
                  </w:r>
                  <w:r>
                    <w:rPr>
                      <w:rFonts w:hint="eastAsia"/>
                      <w:sz w:val="21"/>
                      <w:szCs w:val="21"/>
                      <w:lang w:val="en-US" w:eastAsia="zh-CN"/>
                    </w:rPr>
                    <w:t>1.3g/cm</w:t>
                  </w:r>
                  <w:r>
                    <w:rPr>
                      <w:rFonts w:hint="eastAsia"/>
                      <w:sz w:val="21"/>
                      <w:szCs w:val="21"/>
                      <w:vertAlign w:val="superscript"/>
                      <w:lang w:val="en-US" w:eastAsia="zh-CN"/>
                    </w:rPr>
                    <w:t>3</w:t>
                  </w:r>
                  <w:r>
                    <w:rPr>
                      <w:rFonts w:hint="eastAsia"/>
                      <w:sz w:val="21"/>
                      <w:szCs w:val="21"/>
                      <w:lang w:val="en-US" w:eastAsia="zh-CN"/>
                    </w:rPr>
                    <w:t>，正常条件下储存和使用是稳定的。</w:t>
                  </w:r>
                </w:p>
              </w:tc>
              <w:tc>
                <w:tcPr>
                  <w:tcW w:w="1086" w:type="dxa"/>
                  <w:vAlign w:val="center"/>
                </w:tcPr>
                <w:p w14:paraId="78924F25">
                  <w:pPr>
                    <w:adjustRightInd w:val="0"/>
                    <w:snapToGrid w:val="0"/>
                    <w:jc w:val="center"/>
                    <w:rPr>
                      <w:rFonts w:hint="eastAsia" w:eastAsia="宋体"/>
                      <w:szCs w:val="21"/>
                      <w:lang w:val="en-US" w:eastAsia="zh-CN"/>
                    </w:rPr>
                  </w:pPr>
                  <w:r>
                    <w:rPr>
                      <w:rFonts w:hint="eastAsia"/>
                      <w:szCs w:val="21"/>
                      <w:lang w:val="en-US" w:eastAsia="zh-CN"/>
                    </w:rPr>
                    <w:t>不可燃</w:t>
                  </w:r>
                </w:p>
              </w:tc>
              <w:tc>
                <w:tcPr>
                  <w:tcW w:w="1992" w:type="dxa"/>
                  <w:vAlign w:val="center"/>
                </w:tcPr>
                <w:p w14:paraId="1FF32AA4">
                  <w:pPr>
                    <w:adjustRightInd w:val="0"/>
                    <w:snapToGrid w:val="0"/>
                    <w:jc w:val="center"/>
                    <w:rPr>
                      <w:rFonts w:hint="eastAsia" w:eastAsia="宋体"/>
                      <w:szCs w:val="21"/>
                      <w:lang w:val="en-US" w:eastAsia="zh-CN"/>
                    </w:rPr>
                  </w:pPr>
                  <w:r>
                    <w:rPr>
                      <w:rFonts w:hint="eastAsia"/>
                      <w:szCs w:val="21"/>
                      <w:lang w:val="en-US" w:eastAsia="zh-CN"/>
                    </w:rPr>
                    <w:t>/</w:t>
                  </w:r>
                </w:p>
              </w:tc>
            </w:tr>
            <w:tr w14:paraId="407F7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7" w:type="dxa"/>
                  <w:vMerge w:val="restart"/>
                  <w:vAlign w:val="center"/>
                </w:tcPr>
                <w:p w14:paraId="2646DDBF">
                  <w:pPr>
                    <w:adjustRightInd w:val="0"/>
                    <w:snapToGrid w:val="0"/>
                    <w:jc w:val="center"/>
                    <w:rPr>
                      <w:rFonts w:hint="eastAsia" w:eastAsia="宋体"/>
                      <w:szCs w:val="21"/>
                      <w:lang w:val="en-US" w:eastAsia="zh-CN"/>
                    </w:rPr>
                  </w:pPr>
                  <w:r>
                    <w:rPr>
                      <w:rFonts w:hint="eastAsia"/>
                      <w:szCs w:val="21"/>
                      <w:lang w:val="en-US" w:eastAsia="zh-CN"/>
                    </w:rPr>
                    <w:t>其中</w:t>
                  </w:r>
                </w:p>
              </w:tc>
              <w:tc>
                <w:tcPr>
                  <w:tcW w:w="848" w:type="dxa"/>
                  <w:gridSpan w:val="2"/>
                  <w:shd w:val="clear" w:color="auto" w:fill="auto"/>
                  <w:vAlign w:val="center"/>
                </w:tcPr>
                <w:p w14:paraId="4E8D504D">
                  <w:pPr>
                    <w:pStyle w:val="51"/>
                    <w:spacing w:line="240" w:lineRule="auto"/>
                    <w:ind w:firstLine="0" w:firstLineChars="0"/>
                    <w:jc w:val="center"/>
                    <w:rPr>
                      <w:rFonts w:hint="default" w:ascii="Times New Roman" w:hAnsi="Times New Roman" w:eastAsia="宋体" w:cs="Times New Roman"/>
                      <w:kern w:val="0"/>
                      <w:sz w:val="21"/>
                      <w:szCs w:val="21"/>
                      <w:lang w:val="en-US" w:eastAsia="zh-CN" w:bidi="ar-SA"/>
                    </w:rPr>
                  </w:pPr>
                  <w:r>
                    <w:rPr>
                      <w:rFonts w:hint="eastAsia"/>
                      <w:sz w:val="21"/>
                      <w:szCs w:val="21"/>
                      <w:lang w:val="en-US" w:eastAsia="zh-CN"/>
                    </w:rPr>
                    <w:t>液体聚硅氧烷</w:t>
                  </w:r>
                </w:p>
              </w:tc>
              <w:tc>
                <w:tcPr>
                  <w:tcW w:w="3830" w:type="dxa"/>
                  <w:vAlign w:val="center"/>
                </w:tcPr>
                <w:p w14:paraId="1E4E6CFF">
                  <w:pPr>
                    <w:adjustRightInd w:val="0"/>
                    <w:snapToGrid w:val="0"/>
                    <w:rPr>
                      <w:rFonts w:hint="eastAsia" w:eastAsia="宋体"/>
                      <w:szCs w:val="21"/>
                      <w:lang w:eastAsia="zh-CN"/>
                    </w:rPr>
                  </w:pPr>
                  <w:r>
                    <w:rPr>
                      <w:rFonts w:hint="eastAsia"/>
                      <w:szCs w:val="21"/>
                    </w:rPr>
                    <w:t>常温下为透明无色、无味、无臭的粘稠油状液体，具有低表面张力，能良好润湿和铺展于基材表面</w:t>
                  </w:r>
                  <w:r>
                    <w:rPr>
                      <w:rFonts w:hint="eastAsia"/>
                      <w:szCs w:val="21"/>
                      <w:lang w:eastAsia="zh-CN"/>
                    </w:rPr>
                    <w:t>。密度通常较低，范围约为0.96–1.05g/cm³，接近或略高于水的密度。对水、酸、碱、氧化剂和多种溶剂（如油类、醇类）具有较高稳定性，不易水解或氧化；但可能与强还原剂、某些金属（如铝）不相容。</w:t>
                  </w:r>
                </w:p>
              </w:tc>
              <w:tc>
                <w:tcPr>
                  <w:tcW w:w="1086" w:type="dxa"/>
                  <w:vAlign w:val="center"/>
                </w:tcPr>
                <w:p w14:paraId="41B83001">
                  <w:pPr>
                    <w:adjustRightInd w:val="0"/>
                    <w:snapToGrid w:val="0"/>
                    <w:jc w:val="center"/>
                    <w:rPr>
                      <w:rFonts w:hint="eastAsia" w:eastAsia="宋体"/>
                      <w:szCs w:val="21"/>
                      <w:lang w:val="en-US" w:eastAsia="zh-CN"/>
                    </w:rPr>
                  </w:pPr>
                  <w:r>
                    <w:rPr>
                      <w:rFonts w:hint="eastAsia"/>
                      <w:szCs w:val="21"/>
                      <w:lang w:val="en-US" w:eastAsia="zh-CN"/>
                    </w:rPr>
                    <w:t>不易燃</w:t>
                  </w:r>
                </w:p>
              </w:tc>
              <w:tc>
                <w:tcPr>
                  <w:tcW w:w="1992" w:type="dxa"/>
                  <w:vAlign w:val="center"/>
                </w:tcPr>
                <w:p w14:paraId="52166723">
                  <w:pPr>
                    <w:adjustRightInd w:val="0"/>
                    <w:snapToGrid w:val="0"/>
                    <w:jc w:val="center"/>
                    <w:rPr>
                      <w:szCs w:val="21"/>
                    </w:rPr>
                  </w:pPr>
                  <w:r>
                    <w:rPr>
                      <w:rFonts w:hint="eastAsia"/>
                      <w:szCs w:val="21"/>
                    </w:rPr>
                    <w:t>经口LD50</w:t>
                  </w:r>
                  <w:r>
                    <w:rPr>
                      <w:rFonts w:hint="eastAsia"/>
                      <w:szCs w:val="21"/>
                      <w:lang w:eastAsia="zh-CN"/>
                    </w:rPr>
                    <w:t>（</w:t>
                  </w:r>
                  <w:r>
                    <w:rPr>
                      <w:rFonts w:hint="eastAsia"/>
                      <w:szCs w:val="21"/>
                    </w:rPr>
                    <w:t>大鼠</w:t>
                  </w:r>
                  <w:r>
                    <w:rPr>
                      <w:rFonts w:hint="eastAsia"/>
                      <w:szCs w:val="21"/>
                      <w:lang w:eastAsia="zh-CN"/>
                    </w:rPr>
                    <w:t>）</w:t>
                  </w:r>
                  <w:r>
                    <w:rPr>
                      <w:rFonts w:hint="eastAsia"/>
                      <w:szCs w:val="21"/>
                    </w:rPr>
                    <w:t>&gt;</w:t>
                  </w:r>
                  <w:r>
                    <w:rPr>
                      <w:rFonts w:hint="eastAsia"/>
                      <w:szCs w:val="21"/>
                      <w:lang w:val="en-US" w:eastAsia="zh-CN"/>
                    </w:rPr>
                    <w:t>64ml</w:t>
                  </w:r>
                  <w:r>
                    <w:rPr>
                      <w:rFonts w:hint="eastAsia"/>
                      <w:szCs w:val="21"/>
                    </w:rPr>
                    <w:t>/kg、经</w:t>
                  </w:r>
                  <w:r>
                    <w:rPr>
                      <w:rFonts w:hint="eastAsia"/>
                      <w:szCs w:val="21"/>
                      <w:lang w:val="en-US" w:eastAsia="zh-CN"/>
                    </w:rPr>
                    <w:t>皮</w:t>
                  </w:r>
                  <w:r>
                    <w:rPr>
                      <w:rFonts w:hint="eastAsia"/>
                      <w:szCs w:val="21"/>
                    </w:rPr>
                    <w:t>LD50</w:t>
                  </w:r>
                  <w:r>
                    <w:rPr>
                      <w:rFonts w:hint="eastAsia"/>
                      <w:szCs w:val="21"/>
                      <w:lang w:eastAsia="zh-CN"/>
                    </w:rPr>
                    <w:t>（</w:t>
                  </w:r>
                  <w:r>
                    <w:rPr>
                      <w:rFonts w:hint="eastAsia"/>
                      <w:szCs w:val="21"/>
                      <w:lang w:val="en-US" w:eastAsia="zh-CN"/>
                    </w:rPr>
                    <w:t>家兔</w:t>
                  </w:r>
                  <w:r>
                    <w:rPr>
                      <w:rFonts w:hint="eastAsia"/>
                      <w:szCs w:val="21"/>
                      <w:lang w:eastAsia="zh-CN"/>
                    </w:rPr>
                    <w:t>）</w:t>
                  </w:r>
                  <w:r>
                    <w:rPr>
                      <w:rFonts w:hint="eastAsia"/>
                      <w:szCs w:val="21"/>
                    </w:rPr>
                    <w:t>&gt;</w:t>
                  </w:r>
                  <w:r>
                    <w:rPr>
                      <w:rFonts w:hint="eastAsia"/>
                      <w:szCs w:val="21"/>
                      <w:lang w:val="en-US" w:eastAsia="zh-CN"/>
                    </w:rPr>
                    <w:t>16mg</w:t>
                  </w:r>
                  <w:r>
                    <w:rPr>
                      <w:rFonts w:hint="eastAsia"/>
                      <w:szCs w:val="21"/>
                    </w:rPr>
                    <w:t>/kg</w:t>
                  </w:r>
                </w:p>
              </w:tc>
            </w:tr>
            <w:tr w14:paraId="37106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7" w:type="dxa"/>
                  <w:vMerge w:val="continue"/>
                  <w:vAlign w:val="center"/>
                </w:tcPr>
                <w:p w14:paraId="70BD3A0E">
                  <w:pPr>
                    <w:adjustRightInd w:val="0"/>
                    <w:snapToGrid w:val="0"/>
                    <w:jc w:val="center"/>
                    <w:rPr>
                      <w:szCs w:val="21"/>
                    </w:rPr>
                  </w:pPr>
                </w:p>
              </w:tc>
              <w:tc>
                <w:tcPr>
                  <w:tcW w:w="848" w:type="dxa"/>
                  <w:gridSpan w:val="2"/>
                  <w:shd w:val="clear" w:color="auto" w:fill="auto"/>
                  <w:vAlign w:val="center"/>
                </w:tcPr>
                <w:p w14:paraId="1194D5E1">
                  <w:pPr>
                    <w:pStyle w:val="51"/>
                    <w:spacing w:line="240" w:lineRule="auto"/>
                    <w:ind w:firstLine="0" w:firstLineChars="0"/>
                    <w:jc w:val="center"/>
                    <w:rPr>
                      <w:rFonts w:hint="default" w:ascii="Times New Roman" w:hAnsi="Times New Roman" w:eastAsia="宋体" w:cs="Times New Roman"/>
                      <w:kern w:val="0"/>
                      <w:sz w:val="21"/>
                      <w:szCs w:val="21"/>
                      <w:lang w:val="en-US" w:eastAsia="zh-CN" w:bidi="ar-SA"/>
                    </w:rPr>
                  </w:pPr>
                  <w:r>
                    <w:rPr>
                      <w:rFonts w:hint="eastAsia"/>
                      <w:sz w:val="21"/>
                      <w:szCs w:val="21"/>
                      <w:lang w:val="en-US" w:eastAsia="zh-CN"/>
                    </w:rPr>
                    <w:t>硅烷偶联剂（二乙胺基甲基三乙氧基硅烷‌）</w:t>
                  </w:r>
                </w:p>
              </w:tc>
              <w:tc>
                <w:tcPr>
                  <w:tcW w:w="3830" w:type="dxa"/>
                  <w:vAlign w:val="center"/>
                </w:tcPr>
                <w:p w14:paraId="15DDC519">
                  <w:pPr>
                    <w:adjustRightInd w:val="0"/>
                    <w:snapToGrid w:val="0"/>
                    <w:rPr>
                      <w:szCs w:val="21"/>
                    </w:rPr>
                  </w:pPr>
                  <w:r>
                    <w:rPr>
                      <w:rFonts w:hint="eastAsia"/>
                      <w:szCs w:val="21"/>
                    </w:rPr>
                    <w:t>无色至淡黄色透明液体，具有胺类特有的刺激性气味</w:t>
                  </w:r>
                  <w:r>
                    <w:rPr>
                      <w:rFonts w:hint="eastAsia"/>
                      <w:szCs w:val="21"/>
                      <w:lang w:eastAsia="zh-CN"/>
                    </w:rPr>
                    <w:t>，密度‌：0.9–0.933g/cm³，沸点‌：248.3±23.0°C（常压）；在5mmHg压力下为110–130°C，可溶于乙醇、丙酮、甲苯等有机溶剂，并能与水混溶，但遇水会缓慢水解‌‌。</w:t>
                  </w:r>
                </w:p>
              </w:tc>
              <w:tc>
                <w:tcPr>
                  <w:tcW w:w="1086" w:type="dxa"/>
                  <w:vAlign w:val="center"/>
                </w:tcPr>
                <w:p w14:paraId="77DF17EF">
                  <w:pPr>
                    <w:jc w:val="center"/>
                    <w:rPr>
                      <w:rFonts w:hint="eastAsia" w:eastAsia="宋体"/>
                      <w:szCs w:val="21"/>
                      <w:lang w:val="en-US" w:eastAsia="zh-CN"/>
                    </w:rPr>
                  </w:pPr>
                  <w:r>
                    <w:rPr>
                      <w:rFonts w:hint="eastAsia"/>
                      <w:szCs w:val="21"/>
                      <w:lang w:val="en-US" w:eastAsia="zh-CN"/>
                    </w:rPr>
                    <w:t>易燃</w:t>
                  </w:r>
                </w:p>
              </w:tc>
              <w:tc>
                <w:tcPr>
                  <w:tcW w:w="1992" w:type="dxa"/>
                  <w:vAlign w:val="center"/>
                </w:tcPr>
                <w:p w14:paraId="44A63372">
                  <w:pPr>
                    <w:adjustRightInd w:val="0"/>
                    <w:snapToGrid w:val="0"/>
                    <w:jc w:val="center"/>
                    <w:rPr>
                      <w:rFonts w:hint="eastAsia" w:eastAsia="宋体"/>
                      <w:szCs w:val="21"/>
                      <w:lang w:val="en-US" w:eastAsia="zh-CN"/>
                    </w:rPr>
                  </w:pPr>
                  <w:r>
                    <w:rPr>
                      <w:rFonts w:hint="eastAsia"/>
                      <w:szCs w:val="21"/>
                      <w:lang w:val="en-US" w:eastAsia="zh-CN"/>
                    </w:rPr>
                    <w:t>/</w:t>
                  </w:r>
                </w:p>
              </w:tc>
            </w:tr>
            <w:tr w14:paraId="7DC86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7" w:type="dxa"/>
                  <w:vMerge w:val="continue"/>
                  <w:vAlign w:val="center"/>
                </w:tcPr>
                <w:p w14:paraId="722D7B6D">
                  <w:pPr>
                    <w:adjustRightInd w:val="0"/>
                    <w:snapToGrid w:val="0"/>
                    <w:jc w:val="center"/>
                    <w:rPr>
                      <w:szCs w:val="21"/>
                    </w:rPr>
                  </w:pPr>
                </w:p>
              </w:tc>
              <w:tc>
                <w:tcPr>
                  <w:tcW w:w="848" w:type="dxa"/>
                  <w:gridSpan w:val="2"/>
                  <w:shd w:val="clear" w:color="auto" w:fill="auto"/>
                  <w:vAlign w:val="center"/>
                </w:tcPr>
                <w:p w14:paraId="2AEDB177">
                  <w:pPr>
                    <w:pStyle w:val="51"/>
                    <w:spacing w:line="240" w:lineRule="auto"/>
                    <w:ind w:firstLine="0" w:firstLineChars="0"/>
                    <w:jc w:val="center"/>
                    <w:rPr>
                      <w:rFonts w:hint="default" w:ascii="Times New Roman" w:hAnsi="Times New Roman" w:eastAsia="宋体" w:cs="Times New Roman"/>
                      <w:kern w:val="0"/>
                      <w:sz w:val="21"/>
                      <w:szCs w:val="21"/>
                      <w:lang w:val="en-US" w:eastAsia="zh-CN" w:bidi="ar-SA"/>
                    </w:rPr>
                  </w:pPr>
                  <w:r>
                    <w:rPr>
                      <w:rFonts w:hint="eastAsia"/>
                      <w:sz w:val="21"/>
                      <w:szCs w:val="21"/>
                      <w:lang w:val="en-US" w:eastAsia="zh-CN"/>
                    </w:rPr>
                    <w:t>纳米碳酸钙</w:t>
                  </w:r>
                </w:p>
              </w:tc>
              <w:tc>
                <w:tcPr>
                  <w:tcW w:w="3830" w:type="dxa"/>
                  <w:vAlign w:val="center"/>
                </w:tcPr>
                <w:p w14:paraId="7BBDE031">
                  <w:pPr>
                    <w:adjustRightInd w:val="0"/>
                    <w:snapToGrid w:val="0"/>
                    <w:rPr>
                      <w:szCs w:val="21"/>
                    </w:rPr>
                  </w:pPr>
                  <w:r>
                    <w:rPr>
                      <w:rFonts w:hint="eastAsia"/>
                      <w:szCs w:val="21"/>
                    </w:rPr>
                    <w:t>是一种具有纳米级粒径（通常为1~100 nm）的碳酸钙材料，其理化性质结合了碳酸钙的固有特性与纳米尺度带来的独特效应。呈白色或淡黄色、无味的六方晶体粉末状。熔点约为1339℃（或1400℃左右），在825~896.6℃时分解为氧化钙和二氧化碳。相对密度约为2.71。</w:t>
                  </w:r>
                </w:p>
              </w:tc>
              <w:tc>
                <w:tcPr>
                  <w:tcW w:w="1086" w:type="dxa"/>
                  <w:vAlign w:val="center"/>
                </w:tcPr>
                <w:p w14:paraId="3E4EC052">
                  <w:pPr>
                    <w:jc w:val="center"/>
                    <w:rPr>
                      <w:rFonts w:hint="eastAsia" w:eastAsia="宋体"/>
                      <w:szCs w:val="21"/>
                      <w:lang w:val="en-US" w:eastAsia="zh-CN"/>
                    </w:rPr>
                  </w:pPr>
                  <w:r>
                    <w:rPr>
                      <w:rFonts w:hint="eastAsia"/>
                      <w:szCs w:val="21"/>
                      <w:lang w:val="en-US" w:eastAsia="zh-CN"/>
                    </w:rPr>
                    <w:t>不可燃</w:t>
                  </w:r>
                </w:p>
              </w:tc>
              <w:tc>
                <w:tcPr>
                  <w:tcW w:w="1992" w:type="dxa"/>
                  <w:vAlign w:val="center"/>
                </w:tcPr>
                <w:p w14:paraId="192FC730">
                  <w:pPr>
                    <w:adjustRightInd w:val="0"/>
                    <w:snapToGrid w:val="0"/>
                    <w:jc w:val="center"/>
                    <w:rPr>
                      <w:rFonts w:hint="eastAsia" w:eastAsia="宋体"/>
                      <w:szCs w:val="21"/>
                      <w:lang w:val="en-US" w:eastAsia="zh-CN"/>
                    </w:rPr>
                  </w:pPr>
                  <w:r>
                    <w:rPr>
                      <w:rFonts w:hint="eastAsia"/>
                      <w:szCs w:val="21"/>
                    </w:rPr>
                    <w:t>经口LD50</w:t>
                  </w:r>
                  <w:r>
                    <w:rPr>
                      <w:rFonts w:hint="eastAsia"/>
                      <w:szCs w:val="21"/>
                      <w:lang w:eastAsia="zh-CN"/>
                    </w:rPr>
                    <w:t>（</w:t>
                  </w:r>
                  <w:r>
                    <w:rPr>
                      <w:rFonts w:hint="eastAsia"/>
                      <w:szCs w:val="21"/>
                    </w:rPr>
                    <w:t>大鼠</w:t>
                  </w:r>
                  <w:r>
                    <w:rPr>
                      <w:rFonts w:hint="eastAsia"/>
                      <w:szCs w:val="21"/>
                      <w:lang w:eastAsia="zh-CN"/>
                    </w:rPr>
                    <w:t>）</w:t>
                  </w:r>
                  <w:r>
                    <w:rPr>
                      <w:rFonts w:hint="eastAsia"/>
                      <w:szCs w:val="21"/>
                    </w:rPr>
                    <w:t>&gt;</w:t>
                  </w:r>
                  <w:r>
                    <w:rPr>
                      <w:rFonts w:hint="eastAsia"/>
                      <w:szCs w:val="21"/>
                      <w:lang w:val="en-US" w:eastAsia="zh-CN"/>
                    </w:rPr>
                    <w:t>6450mg</w:t>
                  </w:r>
                  <w:r>
                    <w:rPr>
                      <w:rFonts w:hint="eastAsia"/>
                      <w:szCs w:val="21"/>
                    </w:rPr>
                    <w:t>/kg</w:t>
                  </w:r>
                  <w:r>
                    <w:rPr>
                      <w:rFonts w:hint="eastAsia"/>
                      <w:szCs w:val="21"/>
                      <w:lang w:val="en-US" w:eastAsia="zh-CN"/>
                    </w:rPr>
                    <w:t>，</w:t>
                  </w:r>
                  <w:r>
                    <w:rPr>
                      <w:rFonts w:hint="eastAsia"/>
                      <w:szCs w:val="21"/>
                    </w:rPr>
                    <w:t>经</w:t>
                  </w:r>
                  <w:r>
                    <w:rPr>
                      <w:rFonts w:hint="eastAsia"/>
                      <w:szCs w:val="21"/>
                      <w:lang w:val="en-US" w:eastAsia="zh-CN"/>
                    </w:rPr>
                    <w:t>皮</w:t>
                  </w:r>
                  <w:r>
                    <w:rPr>
                      <w:rFonts w:hint="eastAsia"/>
                      <w:szCs w:val="21"/>
                    </w:rPr>
                    <w:t>LD50</w:t>
                  </w:r>
                  <w:r>
                    <w:rPr>
                      <w:rFonts w:hint="eastAsia"/>
                      <w:szCs w:val="21"/>
                      <w:lang w:eastAsia="zh-CN"/>
                    </w:rPr>
                    <w:t>（</w:t>
                  </w:r>
                  <w:r>
                    <w:rPr>
                      <w:rFonts w:hint="eastAsia"/>
                      <w:szCs w:val="21"/>
                      <w:lang w:val="en-US" w:eastAsia="zh-CN"/>
                    </w:rPr>
                    <w:t>家兔</w:t>
                  </w:r>
                  <w:r>
                    <w:rPr>
                      <w:rFonts w:hint="eastAsia"/>
                      <w:szCs w:val="21"/>
                      <w:lang w:eastAsia="zh-CN"/>
                    </w:rPr>
                    <w:t>）</w:t>
                  </w:r>
                  <w:r>
                    <w:rPr>
                      <w:rFonts w:hint="eastAsia"/>
                      <w:szCs w:val="21"/>
                    </w:rPr>
                    <w:t>&gt;</w:t>
                  </w:r>
                  <w:r>
                    <w:rPr>
                      <w:rFonts w:hint="eastAsia"/>
                      <w:szCs w:val="21"/>
                      <w:lang w:val="en-US" w:eastAsia="zh-CN"/>
                    </w:rPr>
                    <w:t>500mg</w:t>
                  </w:r>
                  <w:r>
                    <w:rPr>
                      <w:rFonts w:hint="eastAsia"/>
                      <w:szCs w:val="21"/>
                    </w:rPr>
                    <w:t>/kg</w:t>
                  </w:r>
                </w:p>
              </w:tc>
            </w:tr>
            <w:tr w14:paraId="5DFD8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67" w:type="dxa"/>
                  <w:vMerge w:val="continue"/>
                  <w:vAlign w:val="center"/>
                </w:tcPr>
                <w:p w14:paraId="62D58ABF">
                  <w:pPr>
                    <w:adjustRightInd w:val="0"/>
                    <w:snapToGrid w:val="0"/>
                    <w:jc w:val="center"/>
                    <w:rPr>
                      <w:szCs w:val="21"/>
                    </w:rPr>
                  </w:pPr>
                </w:p>
              </w:tc>
              <w:tc>
                <w:tcPr>
                  <w:tcW w:w="848" w:type="dxa"/>
                  <w:gridSpan w:val="2"/>
                  <w:shd w:val="clear" w:color="auto" w:fill="auto"/>
                  <w:vAlign w:val="center"/>
                </w:tcPr>
                <w:p w14:paraId="299CB0B2">
                  <w:pPr>
                    <w:pStyle w:val="51"/>
                    <w:spacing w:line="240" w:lineRule="auto"/>
                    <w:ind w:firstLine="0" w:firstLineChars="0"/>
                    <w:jc w:val="center"/>
                    <w:rPr>
                      <w:rFonts w:hint="default" w:ascii="Times New Roman" w:hAnsi="Times New Roman" w:eastAsia="宋体" w:cs="Times New Roman"/>
                      <w:kern w:val="0"/>
                      <w:sz w:val="21"/>
                      <w:szCs w:val="21"/>
                      <w:lang w:val="en-US" w:eastAsia="zh-CN" w:bidi="ar-SA"/>
                    </w:rPr>
                  </w:pPr>
                  <w:r>
                    <w:rPr>
                      <w:rFonts w:hint="eastAsia"/>
                      <w:sz w:val="21"/>
                      <w:szCs w:val="21"/>
                      <w:lang w:val="en-US" w:eastAsia="zh-CN"/>
                    </w:rPr>
                    <w:t>氨基硅烷</w:t>
                  </w:r>
                </w:p>
              </w:tc>
              <w:tc>
                <w:tcPr>
                  <w:tcW w:w="3830" w:type="dxa"/>
                  <w:vAlign w:val="center"/>
                </w:tcPr>
                <w:p w14:paraId="7B336EEF">
                  <w:pPr>
                    <w:adjustRightInd w:val="0"/>
                    <w:snapToGrid w:val="0"/>
                    <w:rPr>
                      <w:szCs w:val="21"/>
                    </w:rPr>
                  </w:pPr>
                  <w:r>
                    <w:rPr>
                      <w:rFonts w:hint="eastAsia"/>
                      <w:szCs w:val="21"/>
                    </w:rPr>
                    <w:t>氨基硅烷是一类兼具氨基与烷氧基功能团的有机硅化合物，其理化性质因具体分子结构而异，但具有一些共性特征。通常为‌无色或淡黄色透明液体‌。密度范围较广，一般在‌0.91g/mL至1.247g/cm³之间。可溶于水和多种有机溶剂（如乙醇、丙酮、乙醚、甲苯等），但在水中会发生水解反应，呈碱性。</w:t>
                  </w:r>
                </w:p>
              </w:tc>
              <w:tc>
                <w:tcPr>
                  <w:tcW w:w="1086" w:type="dxa"/>
                  <w:vAlign w:val="center"/>
                </w:tcPr>
                <w:p w14:paraId="7F33B198">
                  <w:pPr>
                    <w:jc w:val="center"/>
                    <w:rPr>
                      <w:rFonts w:hint="eastAsia" w:eastAsia="宋体"/>
                      <w:szCs w:val="21"/>
                      <w:lang w:val="en-US" w:eastAsia="zh-CN"/>
                    </w:rPr>
                  </w:pPr>
                  <w:r>
                    <w:rPr>
                      <w:rFonts w:hint="eastAsia"/>
                      <w:szCs w:val="21"/>
                      <w:lang w:val="en-US" w:eastAsia="zh-CN"/>
                    </w:rPr>
                    <w:t>易燃</w:t>
                  </w:r>
                </w:p>
              </w:tc>
              <w:tc>
                <w:tcPr>
                  <w:tcW w:w="1992" w:type="dxa"/>
                  <w:vAlign w:val="center"/>
                </w:tcPr>
                <w:p w14:paraId="3BC49F07">
                  <w:pPr>
                    <w:adjustRightInd w:val="0"/>
                    <w:snapToGrid w:val="0"/>
                    <w:jc w:val="center"/>
                    <w:rPr>
                      <w:szCs w:val="21"/>
                    </w:rPr>
                  </w:pPr>
                  <w:r>
                    <w:rPr>
                      <w:rFonts w:hint="eastAsia"/>
                      <w:szCs w:val="21"/>
                    </w:rPr>
                    <w:t>经口LD50</w:t>
                  </w:r>
                  <w:r>
                    <w:rPr>
                      <w:rFonts w:hint="eastAsia"/>
                      <w:szCs w:val="21"/>
                      <w:lang w:eastAsia="zh-CN"/>
                    </w:rPr>
                    <w:t>（</w:t>
                  </w:r>
                  <w:r>
                    <w:rPr>
                      <w:rFonts w:hint="eastAsia"/>
                      <w:szCs w:val="21"/>
                    </w:rPr>
                    <w:t>大鼠</w:t>
                  </w:r>
                  <w:r>
                    <w:rPr>
                      <w:rFonts w:hint="eastAsia"/>
                      <w:szCs w:val="21"/>
                      <w:lang w:eastAsia="zh-CN"/>
                    </w:rPr>
                    <w:t>）</w:t>
                  </w:r>
                  <w:r>
                    <w:rPr>
                      <w:rFonts w:hint="eastAsia"/>
                      <w:szCs w:val="21"/>
                    </w:rPr>
                    <w:t>&gt;</w:t>
                  </w:r>
                  <w:r>
                    <w:rPr>
                      <w:rFonts w:hint="eastAsia"/>
                      <w:szCs w:val="21"/>
                      <w:lang w:val="en-US" w:eastAsia="zh-CN"/>
                    </w:rPr>
                    <w:t>980mg</w:t>
                  </w:r>
                  <w:r>
                    <w:rPr>
                      <w:rFonts w:hint="eastAsia"/>
                      <w:szCs w:val="21"/>
                    </w:rPr>
                    <w:t>/kg</w:t>
                  </w:r>
                </w:p>
              </w:tc>
            </w:tr>
            <w:tr w14:paraId="41A46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15" w:type="dxa"/>
                  <w:gridSpan w:val="3"/>
                  <w:vAlign w:val="center"/>
                </w:tcPr>
                <w:p w14:paraId="5BFB34C7">
                  <w:pPr>
                    <w:pStyle w:val="51"/>
                    <w:spacing w:line="240" w:lineRule="auto"/>
                    <w:ind w:firstLine="0" w:firstLineChars="0"/>
                    <w:jc w:val="center"/>
                    <w:rPr>
                      <w:rFonts w:hint="default"/>
                      <w:color w:val="FF0000"/>
                      <w:sz w:val="21"/>
                      <w:szCs w:val="21"/>
                      <w:lang w:val="en-US" w:eastAsia="zh-CN"/>
                    </w:rPr>
                  </w:pPr>
                  <w:r>
                    <w:rPr>
                      <w:rFonts w:hint="eastAsia"/>
                      <w:color w:val="FF0000"/>
                      <w:sz w:val="21"/>
                      <w:szCs w:val="21"/>
                      <w:lang w:val="en-US" w:eastAsia="zh-CN"/>
                    </w:rPr>
                    <w:t>荧光粉</w:t>
                  </w:r>
                </w:p>
              </w:tc>
              <w:tc>
                <w:tcPr>
                  <w:tcW w:w="3830" w:type="dxa"/>
                  <w:vAlign w:val="center"/>
                </w:tcPr>
                <w:p w14:paraId="0C772443">
                  <w:pPr>
                    <w:adjustRightInd w:val="0"/>
                    <w:snapToGrid w:val="0"/>
                    <w:rPr>
                      <w:rFonts w:hint="default" w:eastAsia="宋体"/>
                      <w:color w:val="FF0000"/>
                      <w:szCs w:val="21"/>
                      <w:lang w:val="en-US" w:eastAsia="zh-CN"/>
                    </w:rPr>
                  </w:pPr>
                  <w:r>
                    <w:rPr>
                      <w:rFonts w:hint="eastAsia"/>
                      <w:color w:val="FF0000"/>
                      <w:szCs w:val="21"/>
                      <w:lang w:val="en-US" w:eastAsia="zh-CN"/>
                    </w:rPr>
                    <w:t>黄色粉末，常温固态，无气味，，沸点：＞1500°C，分解温度：＞1500°C，挥发速率：不挥发，比重：5.2。</w:t>
                  </w:r>
                </w:p>
              </w:tc>
              <w:tc>
                <w:tcPr>
                  <w:tcW w:w="1086" w:type="dxa"/>
                  <w:vAlign w:val="center"/>
                </w:tcPr>
                <w:p w14:paraId="46A207AA">
                  <w:pPr>
                    <w:jc w:val="center"/>
                    <w:rPr>
                      <w:rFonts w:hint="default"/>
                      <w:color w:val="FF0000"/>
                      <w:szCs w:val="21"/>
                      <w:lang w:val="en-US" w:eastAsia="zh-CN"/>
                    </w:rPr>
                  </w:pPr>
                  <w:r>
                    <w:rPr>
                      <w:rFonts w:hint="eastAsia"/>
                      <w:color w:val="FF0000"/>
                      <w:szCs w:val="21"/>
                      <w:lang w:val="en-US" w:eastAsia="zh-CN"/>
                    </w:rPr>
                    <w:t>/</w:t>
                  </w:r>
                </w:p>
              </w:tc>
              <w:tc>
                <w:tcPr>
                  <w:tcW w:w="1992" w:type="dxa"/>
                  <w:vAlign w:val="center"/>
                </w:tcPr>
                <w:p w14:paraId="30B48391">
                  <w:pPr>
                    <w:adjustRightInd w:val="0"/>
                    <w:snapToGrid w:val="0"/>
                    <w:jc w:val="center"/>
                    <w:rPr>
                      <w:rFonts w:hint="eastAsia" w:eastAsia="宋体"/>
                      <w:color w:val="FF0000"/>
                      <w:szCs w:val="21"/>
                      <w:lang w:val="en-US" w:eastAsia="zh-CN"/>
                    </w:rPr>
                  </w:pPr>
                  <w:r>
                    <w:rPr>
                      <w:rFonts w:hint="eastAsia"/>
                      <w:color w:val="FF0000"/>
                      <w:szCs w:val="21"/>
                      <w:lang w:val="en-US" w:eastAsia="zh-CN"/>
                    </w:rPr>
                    <w:t>/</w:t>
                  </w:r>
                </w:p>
              </w:tc>
            </w:tr>
          </w:tbl>
          <w:p w14:paraId="37B17E10">
            <w:pPr>
              <w:pStyle w:val="51"/>
              <w:ind w:firstLine="482"/>
              <w:rPr>
                <w:rFonts w:hint="eastAsia" w:eastAsia="宋体"/>
                <w:b/>
                <w:bCs/>
                <w:lang w:eastAsia="zh-CN"/>
              </w:rPr>
            </w:pPr>
            <w:r>
              <w:rPr>
                <w:rFonts w:hint="eastAsia"/>
                <w:b/>
                <w:bCs/>
                <w:lang w:eastAsia="zh-CN"/>
              </w:rPr>
              <w:t>（</w:t>
            </w:r>
            <w:r>
              <w:rPr>
                <w:rFonts w:hint="eastAsia"/>
                <w:b/>
                <w:bCs/>
                <w:lang w:val="en-US" w:eastAsia="zh-CN"/>
              </w:rPr>
              <w:t>4</w:t>
            </w:r>
            <w:r>
              <w:rPr>
                <w:rFonts w:hint="eastAsia"/>
                <w:b/>
                <w:bCs/>
                <w:lang w:eastAsia="zh-CN"/>
              </w:rPr>
              <w:t>）挥发性有机物含量限值分析</w:t>
            </w:r>
          </w:p>
          <w:p w14:paraId="062D5EF8">
            <w:pPr>
              <w:pStyle w:val="51"/>
              <w:ind w:firstLine="482"/>
              <w:rPr>
                <w:rFonts w:hint="default" w:eastAsia="宋体"/>
                <w:b/>
                <w:bCs/>
                <w:lang w:val="en-US" w:eastAsia="zh-CN"/>
              </w:rPr>
            </w:pPr>
            <w:r>
              <w:rPr>
                <w:rFonts w:hint="eastAsia"/>
                <w:b w:val="0"/>
                <w:bCs w:val="0"/>
                <w:lang w:val="en-US" w:eastAsia="zh-CN"/>
              </w:rPr>
              <w:t>本项目使用的硅胶属于本体型胶粘剂，根据《安徽省低挥发性有机物含量原辅材料替代工作方案》附录A重点行业低VOCs含量原辅材料含量限值要求中</w:t>
            </w:r>
            <w:r>
              <w:rPr>
                <w:rFonts w:hint="eastAsia"/>
                <w:b w:val="0"/>
                <w:bCs w:val="0"/>
                <w:color w:val="FF0000"/>
                <w:lang w:val="en-US" w:eastAsia="zh-CN"/>
              </w:rPr>
              <w:t>A.5其他企业要求：其他涉VOCs涂装企业，要使用符合《胶粘剂挥发性有机化合物限量》(GB 33372-2020)规定的水基型、本体型胶粘剂产品。</w:t>
            </w:r>
            <w:r>
              <w:rPr>
                <w:rFonts w:hint="eastAsia"/>
                <w:b w:val="0"/>
                <w:bCs w:val="0"/>
                <w:lang w:val="en-US" w:eastAsia="zh-CN"/>
              </w:rPr>
              <w:t>本项目硅胶VOC含量与《胶粘剂挥发性有机化合物限量》(GB 33372-2020)对比情况见下表。</w:t>
            </w:r>
          </w:p>
          <w:p w14:paraId="1D85E0F2">
            <w:pPr>
              <w:keepNext w:val="0"/>
              <w:keepLines w:val="0"/>
              <w:suppressLineNumbers w:val="0"/>
              <w:adjustRightInd w:val="0"/>
              <w:snapToGrid w:val="0"/>
              <w:spacing w:before="120" w:beforeLines="50" w:beforeAutospacing="0" w:after="0" w:afterAutospacing="0" w:line="360" w:lineRule="auto"/>
              <w:ind w:left="0" w:right="0"/>
              <w:jc w:val="center"/>
              <w:rPr>
                <w:rFonts w:hint="default"/>
                <w:b/>
                <w:color w:val="000000" w:themeColor="text1"/>
                <w:sz w:val="24"/>
                <w14:textFill>
                  <w14:solidFill>
                    <w14:schemeClr w14:val="tx1"/>
                  </w14:solidFill>
                </w14:textFill>
              </w:rPr>
            </w:pPr>
            <w:r>
              <w:rPr>
                <w:rFonts w:hint="eastAsia"/>
                <w:b/>
                <w:bCs/>
                <w:color w:val="000000" w:themeColor="text1"/>
                <w:kern w:val="0"/>
                <w:szCs w:val="21"/>
                <w14:textFill>
                  <w14:solidFill>
                    <w14:schemeClr w14:val="tx1"/>
                  </w14:solidFill>
                </w14:textFill>
              </w:rPr>
              <w:t>表</w:t>
            </w:r>
            <w:r>
              <w:rPr>
                <w:rFonts w:hint="eastAsia"/>
                <w:b/>
                <w:bCs/>
                <w:color w:val="000000" w:themeColor="text1"/>
                <w:kern w:val="0"/>
                <w:szCs w:val="21"/>
                <w:lang w:val="en-US" w:eastAsia="zh-CN"/>
                <w14:textFill>
                  <w14:solidFill>
                    <w14:schemeClr w14:val="tx1"/>
                  </w14:solidFill>
                </w14:textFill>
              </w:rPr>
              <w:t>2-9</w:t>
            </w:r>
            <w:r>
              <w:rPr>
                <w:rFonts w:hint="eastAsia"/>
                <w:b/>
                <w:bCs/>
                <w:color w:val="000000" w:themeColor="text1"/>
                <w:kern w:val="0"/>
                <w:szCs w:val="21"/>
                <w14:textFill>
                  <w14:solidFill>
                    <w14:schemeClr w14:val="tx1"/>
                  </w14:solidFill>
                </w14:textFill>
              </w:rPr>
              <w:t xml:space="preserve">  项目</w:t>
            </w:r>
            <w:r>
              <w:rPr>
                <w:rFonts w:hint="eastAsia"/>
                <w:b/>
                <w:bCs/>
                <w:color w:val="000000" w:themeColor="text1"/>
                <w:kern w:val="0"/>
                <w:szCs w:val="21"/>
                <w:lang w:val="en-US" w:eastAsia="zh-CN"/>
                <w14:textFill>
                  <w14:solidFill>
                    <w14:schemeClr w14:val="tx1"/>
                  </w14:solidFill>
                </w14:textFill>
              </w:rPr>
              <w:t>硅胶</w:t>
            </w:r>
            <w:r>
              <w:rPr>
                <w:rFonts w:hint="eastAsia"/>
                <w:b/>
                <w:bCs/>
                <w:color w:val="000000" w:themeColor="text1"/>
                <w:kern w:val="0"/>
                <w:szCs w:val="21"/>
                <w14:textFill>
                  <w14:solidFill>
                    <w14:schemeClr w14:val="tx1"/>
                  </w14:solidFill>
                </w14:textFill>
              </w:rPr>
              <w:t>与相关标准要求对比情况一览表</w:t>
            </w:r>
          </w:p>
          <w:tbl>
            <w:tblPr>
              <w:tblStyle w:val="2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2"/>
              <w:gridCol w:w="1543"/>
              <w:gridCol w:w="1509"/>
              <w:gridCol w:w="3846"/>
            </w:tblGrid>
            <w:tr w14:paraId="7515A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4" w:type="pct"/>
                  <w:vAlign w:val="center"/>
                </w:tcPr>
                <w:p w14:paraId="670E3D29">
                  <w:pPr>
                    <w:keepNext w:val="0"/>
                    <w:keepLines w:val="0"/>
                    <w:suppressLineNumbers w:val="0"/>
                    <w:adjustRightInd w:val="0"/>
                    <w:snapToGrid w:val="0"/>
                    <w:spacing w:before="0" w:beforeAutospacing="0" w:after="0" w:afterAutospacing="0"/>
                    <w:ind w:left="0" w:right="0"/>
                    <w:jc w:val="center"/>
                    <w:rPr>
                      <w:rFonts w:hint="default"/>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名称</w:t>
                  </w:r>
                </w:p>
              </w:tc>
              <w:tc>
                <w:tcPr>
                  <w:tcW w:w="929" w:type="pct"/>
                  <w:vAlign w:val="center"/>
                </w:tcPr>
                <w:p w14:paraId="0024B783">
                  <w:pPr>
                    <w:keepNext w:val="0"/>
                    <w:keepLines w:val="0"/>
                    <w:suppressLineNumbers w:val="0"/>
                    <w:adjustRightInd w:val="0"/>
                    <w:snapToGrid w:val="0"/>
                    <w:spacing w:before="0" w:beforeAutospacing="0" w:after="0" w:afterAutospacing="0"/>
                    <w:ind w:left="0" w:right="0"/>
                    <w:jc w:val="center"/>
                    <w:rPr>
                      <w:rFonts w:hint="default"/>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VOC含量</w:t>
                  </w:r>
                </w:p>
              </w:tc>
              <w:tc>
                <w:tcPr>
                  <w:tcW w:w="909" w:type="pct"/>
                  <w:vAlign w:val="center"/>
                </w:tcPr>
                <w:p w14:paraId="764F94A5">
                  <w:pPr>
                    <w:keepNext w:val="0"/>
                    <w:keepLines w:val="0"/>
                    <w:suppressLineNumbers w:val="0"/>
                    <w:adjustRightInd w:val="0"/>
                    <w:snapToGrid w:val="0"/>
                    <w:spacing w:before="0" w:beforeAutospacing="0" w:after="0" w:afterAutospacing="0"/>
                    <w:ind w:left="0" w:right="0"/>
                    <w:jc w:val="center"/>
                    <w:rPr>
                      <w:rFonts w:hint="default"/>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VOC限量值</w:t>
                  </w:r>
                </w:p>
              </w:tc>
              <w:tc>
                <w:tcPr>
                  <w:tcW w:w="2316" w:type="pct"/>
                  <w:vAlign w:val="center"/>
                </w:tcPr>
                <w:p w14:paraId="5F0D31E9">
                  <w:pPr>
                    <w:keepNext w:val="0"/>
                    <w:keepLines w:val="0"/>
                    <w:suppressLineNumbers w:val="0"/>
                    <w:adjustRightInd w:val="0"/>
                    <w:snapToGrid w:val="0"/>
                    <w:spacing w:before="0" w:beforeAutospacing="0" w:after="0" w:afterAutospacing="0"/>
                    <w:ind w:left="0" w:right="0"/>
                    <w:jc w:val="center"/>
                    <w:rPr>
                      <w:rFonts w:hint="default"/>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标准</w:t>
                  </w:r>
                </w:p>
              </w:tc>
            </w:tr>
            <w:tr w14:paraId="36BF2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44" w:type="pct"/>
                  <w:vAlign w:val="center"/>
                </w:tcPr>
                <w:p w14:paraId="4492EEED">
                  <w:pPr>
                    <w:keepNext w:val="0"/>
                    <w:keepLines w:val="0"/>
                    <w:suppressLineNumbers w:val="0"/>
                    <w:adjustRightInd w:val="0"/>
                    <w:snapToGrid w:val="0"/>
                    <w:spacing w:before="0" w:beforeAutospacing="0" w:after="0" w:afterAutospacing="0"/>
                    <w:ind w:left="0" w:right="0"/>
                    <w:jc w:val="center"/>
                    <w:rPr>
                      <w:rFonts w:hint="eastAsia" w:eastAsia="宋体"/>
                      <w:bCs/>
                      <w:color w:val="000000" w:themeColor="text1"/>
                      <w:szCs w:val="21"/>
                      <w:lang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硅胶</w:t>
                  </w:r>
                </w:p>
              </w:tc>
              <w:tc>
                <w:tcPr>
                  <w:tcW w:w="929" w:type="pct"/>
                  <w:vAlign w:val="center"/>
                </w:tcPr>
                <w:p w14:paraId="60549EFF">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lang w:val="en-US" w:eastAsia="zh-CN"/>
                      <w14:textFill>
                        <w14:solidFill>
                          <w14:schemeClr w14:val="tx1"/>
                        </w14:solidFill>
                      </w14:textFill>
                    </w:rPr>
                    <w:t>12</w:t>
                  </w:r>
                  <w:r>
                    <w:rPr>
                      <w:rFonts w:hint="eastAsia"/>
                      <w:bCs/>
                      <w:color w:val="000000" w:themeColor="text1"/>
                      <w:szCs w:val="21"/>
                      <w14:textFill>
                        <w14:solidFill>
                          <w14:schemeClr w14:val="tx1"/>
                        </w14:solidFill>
                      </w14:textFill>
                    </w:rPr>
                    <w:t>g/kg</w:t>
                  </w:r>
                </w:p>
              </w:tc>
              <w:tc>
                <w:tcPr>
                  <w:tcW w:w="909" w:type="pct"/>
                  <w:vAlign w:val="center"/>
                </w:tcPr>
                <w:p w14:paraId="1A53D8DB">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lang w:val="en-US" w:eastAsia="zh-CN"/>
                      <w14:textFill>
                        <w14:solidFill>
                          <w14:schemeClr w14:val="tx1"/>
                        </w14:solidFill>
                      </w14:textFill>
                    </w:rPr>
                    <w:t>10</w:t>
                  </w:r>
                  <w:r>
                    <w:rPr>
                      <w:rFonts w:hint="eastAsia"/>
                      <w:bCs/>
                      <w:color w:val="000000" w:themeColor="text1"/>
                      <w:szCs w:val="21"/>
                      <w14:textFill>
                        <w14:solidFill>
                          <w14:schemeClr w14:val="tx1"/>
                        </w14:solidFill>
                      </w14:textFill>
                    </w:rPr>
                    <w:t>0g/kg</w:t>
                  </w:r>
                </w:p>
              </w:tc>
              <w:tc>
                <w:tcPr>
                  <w:tcW w:w="2316" w:type="pct"/>
                  <w:vAlign w:val="center"/>
                </w:tcPr>
                <w:p w14:paraId="60D39705">
                  <w:pPr>
                    <w:keepNext w:val="0"/>
                    <w:keepLines w:val="0"/>
                    <w:suppressLineNumbers w:val="0"/>
                    <w:adjustRightInd w:val="0"/>
                    <w:snapToGrid w:val="0"/>
                    <w:spacing w:before="0" w:beforeAutospacing="0" w:after="0" w:afterAutospacing="0"/>
                    <w:ind w:left="0" w:right="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14:textFill>
                        <w14:solidFill>
                          <w14:schemeClr w14:val="tx1"/>
                        </w14:solidFill>
                      </w14:textFill>
                    </w:rPr>
                    <w:t>《胶粘剂挥发性有机化合物限量》（GB33372-2020）中表3本体型胶黏剂VOC含量限值-</w:t>
                  </w:r>
                  <w:r>
                    <w:rPr>
                      <w:rFonts w:hint="eastAsia"/>
                      <w:bCs/>
                      <w:color w:val="000000" w:themeColor="text1"/>
                      <w:szCs w:val="21"/>
                      <w:lang w:val="en-US" w:eastAsia="zh-CN"/>
                      <w14:textFill>
                        <w14:solidFill>
                          <w14:schemeClr w14:val="tx1"/>
                        </w14:solidFill>
                      </w14:textFill>
                    </w:rPr>
                    <w:t>有机硅</w:t>
                  </w:r>
                  <w:r>
                    <w:rPr>
                      <w:rFonts w:hint="eastAsia"/>
                      <w:bCs/>
                      <w:color w:val="000000" w:themeColor="text1"/>
                      <w:szCs w:val="21"/>
                      <w14:textFill>
                        <w14:solidFill>
                          <w14:schemeClr w14:val="tx1"/>
                        </w14:solidFill>
                      </w14:textFill>
                    </w:rPr>
                    <w:t>类</w:t>
                  </w:r>
                  <w:r>
                    <w:rPr>
                      <w:rFonts w:hint="eastAsia"/>
                      <w:bCs/>
                      <w:color w:val="000000" w:themeColor="text1"/>
                      <w:szCs w:val="21"/>
                      <w:lang w:val="en-US" w:eastAsia="zh-CN"/>
                      <w14:textFill>
                        <w14:solidFill>
                          <w14:schemeClr w14:val="tx1"/>
                        </w14:solidFill>
                      </w14:textFill>
                    </w:rPr>
                    <w:t>-装配业</w:t>
                  </w:r>
                </w:p>
              </w:tc>
            </w:tr>
          </w:tbl>
          <w:p w14:paraId="4CBF6BAA">
            <w:pPr>
              <w:pStyle w:val="51"/>
              <w:ind w:firstLine="482"/>
              <w:rPr>
                <w:b/>
                <w:bCs/>
              </w:rPr>
            </w:pPr>
            <w:r>
              <w:rPr>
                <w:rFonts w:hint="eastAsia"/>
                <w:b w:val="0"/>
                <w:bCs w:val="0"/>
                <w:color w:val="000000" w:themeColor="text1"/>
                <w:lang w:val="en-US" w:eastAsia="zh-CN"/>
                <w14:textFill>
                  <w14:solidFill>
                    <w14:schemeClr w14:val="tx1"/>
                  </w14:solidFill>
                </w14:textFill>
              </w:rPr>
              <w:t>因此，本项目使用硅胶的VOC含量符合《安徽省低挥发性有机物含量原辅材料替代工作方案》中的要求。</w:t>
            </w:r>
          </w:p>
          <w:p w14:paraId="1FF947A8">
            <w:pPr>
              <w:pStyle w:val="51"/>
              <w:ind w:firstLine="482"/>
              <w:rPr>
                <w:b/>
                <w:bCs/>
              </w:rPr>
            </w:pPr>
            <w:r>
              <w:rPr>
                <w:b/>
                <w:bCs/>
              </w:rPr>
              <w:t>6</w:t>
            </w:r>
            <w:r>
              <w:rPr>
                <w:rFonts w:hint="eastAsia"/>
                <w:b/>
                <w:bCs/>
              </w:rPr>
              <w:t>、公用工程</w:t>
            </w:r>
          </w:p>
          <w:p w14:paraId="70E50D5A">
            <w:pPr>
              <w:pStyle w:val="51"/>
              <w:ind w:firstLine="480"/>
            </w:pPr>
            <w:r>
              <w:rPr>
                <w:rFonts w:hint="eastAsia"/>
              </w:rPr>
              <w:t>（1）给水</w:t>
            </w:r>
          </w:p>
          <w:p w14:paraId="56A13B70">
            <w:pPr>
              <w:pStyle w:val="51"/>
              <w:ind w:firstLine="480"/>
              <w:rPr>
                <w:color w:val="FF0000"/>
              </w:rPr>
            </w:pPr>
            <w:r>
              <w:rPr>
                <w:rFonts w:hint="eastAsia"/>
              </w:rPr>
              <w:t>项目用水由市政自来水管网供给</w:t>
            </w:r>
            <w:r>
              <w:rPr>
                <w:rFonts w:hint="eastAsia"/>
                <w:lang w:eastAsia="zh-CN"/>
              </w:rPr>
              <w:t>。主要用水类型为员工生活用水，项目劳动定员</w:t>
            </w:r>
            <w:r>
              <w:rPr>
                <w:rFonts w:hint="eastAsia"/>
                <w:lang w:val="en-US" w:eastAsia="zh-CN"/>
              </w:rPr>
              <w:t>50</w:t>
            </w:r>
            <w:r>
              <w:rPr>
                <w:rFonts w:hint="eastAsia"/>
                <w:lang w:eastAsia="zh-CN"/>
              </w:rPr>
              <w:t>人，均不在厂区内食宿。参照《建筑给水排水设计标准》（GB50015-2019），不住宿员工用水定额取50L/d·人，</w:t>
            </w:r>
            <w:r>
              <w:rPr>
                <w:rFonts w:hint="eastAsia"/>
                <w:color w:val="FF0000"/>
                <w:lang w:eastAsia="zh-CN"/>
              </w:rPr>
              <w:t>项目年工作3</w:t>
            </w:r>
            <w:r>
              <w:rPr>
                <w:rFonts w:hint="eastAsia"/>
                <w:color w:val="FF0000"/>
                <w:lang w:val="en-US" w:eastAsia="zh-CN"/>
              </w:rPr>
              <w:t>00</w:t>
            </w:r>
            <w:r>
              <w:rPr>
                <w:rFonts w:hint="eastAsia"/>
                <w:color w:val="FF0000"/>
                <w:lang w:eastAsia="zh-CN"/>
              </w:rPr>
              <w:t>天，则本项目新增员工生活总用水量为2.5t/d（</w:t>
            </w:r>
            <w:r>
              <w:rPr>
                <w:rFonts w:hint="eastAsia"/>
                <w:color w:val="FF0000"/>
                <w:lang w:val="en-US" w:eastAsia="zh-CN"/>
              </w:rPr>
              <w:t>750</w:t>
            </w:r>
            <w:r>
              <w:rPr>
                <w:rFonts w:hint="eastAsia"/>
                <w:color w:val="FF0000"/>
                <w:lang w:eastAsia="zh-CN"/>
              </w:rPr>
              <w:t>t/a）。</w:t>
            </w:r>
          </w:p>
          <w:p w14:paraId="594FC251">
            <w:pPr>
              <w:pStyle w:val="51"/>
              <w:ind w:firstLine="480"/>
            </w:pPr>
            <w:r>
              <w:rPr>
                <w:rFonts w:hint="eastAsia"/>
              </w:rPr>
              <w:t>（2）排水</w:t>
            </w:r>
          </w:p>
          <w:p w14:paraId="27BDAFCA">
            <w:pPr>
              <w:pStyle w:val="51"/>
              <w:keepNext w:val="0"/>
              <w:keepLines w:val="0"/>
              <w:suppressLineNumbers w:val="0"/>
              <w:spacing w:before="0" w:beforeAutospacing="0" w:after="0" w:afterAutospacing="0"/>
              <w:ind w:left="0" w:right="0"/>
            </w:pPr>
            <w:r>
              <w:rPr>
                <w:rFonts w:hint="default"/>
              </w:rPr>
              <w:t>厂区排水采用雨污分流制</w:t>
            </w:r>
            <w:r>
              <w:rPr>
                <w:rFonts w:hint="eastAsia"/>
              </w:rPr>
              <w:t>，项目运营期主要外排废水为职工日常生活污水。参考《排放源统计调查产排污核算方法和系数手册》（公告2021年第24号）中“生活污染源产排污系数手册”可知，生活污水折污系数按0.85计，则项目职工日常生活污水产生量约为</w:t>
            </w:r>
            <w:r>
              <w:rPr>
                <w:rFonts w:hint="eastAsia"/>
                <w:lang w:val="en-US" w:eastAsia="zh-CN"/>
              </w:rPr>
              <w:t>2.125</w:t>
            </w:r>
            <w:r>
              <w:rPr>
                <w:rFonts w:hint="eastAsia"/>
              </w:rPr>
              <w:t>t/d</w:t>
            </w:r>
            <w:r>
              <w:rPr>
                <w:rFonts w:hint="eastAsia"/>
                <w:color w:val="FF0000"/>
              </w:rPr>
              <w:t>（</w:t>
            </w:r>
            <w:r>
              <w:rPr>
                <w:rFonts w:hint="eastAsia"/>
                <w:color w:val="FF0000"/>
                <w:lang w:val="en-US" w:eastAsia="zh-CN"/>
              </w:rPr>
              <w:t>637.5</w:t>
            </w:r>
            <w:r>
              <w:rPr>
                <w:rFonts w:hint="eastAsia"/>
                <w:color w:val="FF0000"/>
              </w:rPr>
              <w:t>t/a）</w:t>
            </w:r>
            <w:r>
              <w:rPr>
                <w:rFonts w:hint="eastAsia"/>
              </w:rPr>
              <w:t>。生活污水经园区化粪池预处理后排入江南产业集中区第一污水处理厂，处理达标后经九华河排入长江。</w:t>
            </w:r>
          </w:p>
          <w:p w14:paraId="1749DD57">
            <w:pPr>
              <w:pStyle w:val="77"/>
            </w:pPr>
            <w:r>
              <w:object>
                <v:shape id="_x0000_i1025" o:spt="75" type="#_x0000_t75" style="height:44.7pt;width:411.3pt;" o:ole="t" filled="f" o:preferrelative="t" stroked="f" coordsize="21600,21600">
                  <v:path/>
                  <v:fill on="f" focussize="0,0"/>
                  <v:stroke on="f"/>
                  <v:imagedata r:id="rId14" o:title=""/>
                  <o:lock v:ext="edit" aspectratio="f"/>
                  <w10:wrap type="none"/>
                  <w10:anchorlock/>
                </v:shape>
                <o:OLEObject Type="Embed" ProgID="Visio.Drawing.15" ShapeID="_x0000_i1025" DrawAspect="Content" ObjectID="_1468075725" r:id="rId13">
                  <o:LockedField>false</o:LockedField>
                </o:OLEObject>
              </w:object>
            </w:r>
          </w:p>
          <w:p w14:paraId="7F24D620">
            <w:pPr>
              <w:pStyle w:val="57"/>
              <w:rPr>
                <w:rFonts w:hint="default" w:eastAsia="宋体"/>
                <w:lang w:val="en-US" w:eastAsia="zh-CN"/>
              </w:rPr>
            </w:pPr>
            <w:r>
              <w:rPr>
                <w:rFonts w:hint="eastAsia"/>
              </w:rPr>
              <w:t>图2</w:t>
            </w:r>
            <w:r>
              <w:t>-</w:t>
            </w:r>
            <w:r>
              <w:rPr>
                <w:rFonts w:hint="eastAsia"/>
                <w:lang w:val="en-US" w:eastAsia="zh-CN"/>
              </w:rPr>
              <w:t>2</w:t>
            </w:r>
            <w:r>
              <w:t xml:space="preserve">  </w:t>
            </w:r>
            <w:r>
              <w:rPr>
                <w:rFonts w:hint="eastAsia"/>
              </w:rPr>
              <w:t>项目营运期水平衡图</w:t>
            </w:r>
            <w:r>
              <w:rPr>
                <w:rFonts w:hint="eastAsia"/>
                <w:lang w:val="en-US" w:eastAsia="zh-CN"/>
              </w:rPr>
              <w:t xml:space="preserve">  单位：t/d</w:t>
            </w:r>
          </w:p>
          <w:p w14:paraId="61435494">
            <w:pPr>
              <w:pStyle w:val="51"/>
              <w:ind w:firstLine="482"/>
              <w:rPr>
                <w:rFonts w:hint="default" w:eastAsia="宋体"/>
                <w:b w:val="0"/>
                <w:bCs w:val="0"/>
                <w:lang w:val="en-US" w:eastAsia="zh-CN"/>
              </w:rPr>
            </w:pPr>
            <w:r>
              <w:rPr>
                <w:rFonts w:hint="eastAsia"/>
                <w:b w:val="0"/>
                <w:bCs w:val="0"/>
                <w:lang w:eastAsia="zh-CN"/>
              </w:rPr>
              <w:t>（</w:t>
            </w:r>
            <w:r>
              <w:rPr>
                <w:rFonts w:hint="eastAsia"/>
                <w:b w:val="0"/>
                <w:bCs w:val="0"/>
                <w:lang w:val="en-US" w:eastAsia="zh-CN"/>
              </w:rPr>
              <w:t>3</w:t>
            </w:r>
            <w:r>
              <w:rPr>
                <w:rFonts w:hint="eastAsia"/>
                <w:b w:val="0"/>
                <w:bCs w:val="0"/>
                <w:lang w:eastAsia="zh-CN"/>
              </w:rPr>
              <w:t>）</w:t>
            </w:r>
            <w:r>
              <w:rPr>
                <w:rFonts w:hint="eastAsia"/>
                <w:b w:val="0"/>
                <w:bCs w:val="0"/>
                <w:lang w:val="en-US" w:eastAsia="zh-CN"/>
              </w:rPr>
              <w:t>供电</w:t>
            </w:r>
          </w:p>
          <w:p w14:paraId="29C8B319">
            <w:pPr>
              <w:pStyle w:val="51"/>
              <w:ind w:firstLine="482"/>
              <w:rPr>
                <w:rFonts w:hint="eastAsia"/>
                <w:b w:val="0"/>
                <w:bCs w:val="0"/>
              </w:rPr>
            </w:pPr>
            <w:r>
              <w:rPr>
                <w:rFonts w:hint="eastAsia"/>
                <w:b w:val="0"/>
                <w:bCs w:val="0"/>
              </w:rPr>
              <w:t>本项目用电由市政电网提供，项目年用电量约120万kWh</w:t>
            </w:r>
            <w:r>
              <w:rPr>
                <w:rFonts w:hint="eastAsia"/>
                <w:b w:val="0"/>
                <w:bCs w:val="0"/>
                <w:lang w:val="en-US" w:eastAsia="zh-CN"/>
              </w:rPr>
              <w:t>/a</w:t>
            </w:r>
            <w:r>
              <w:rPr>
                <w:rFonts w:hint="eastAsia"/>
                <w:b w:val="0"/>
                <w:bCs w:val="0"/>
              </w:rPr>
              <w:t>。</w:t>
            </w:r>
          </w:p>
          <w:p w14:paraId="5789A679">
            <w:pPr>
              <w:pStyle w:val="51"/>
              <w:ind w:firstLine="482"/>
              <w:rPr>
                <w:b/>
                <w:bCs/>
              </w:rPr>
            </w:pPr>
            <w:r>
              <w:rPr>
                <w:rFonts w:hint="eastAsia"/>
                <w:b/>
                <w:bCs/>
              </w:rPr>
              <w:t>8、厂区平面布置简述</w:t>
            </w:r>
          </w:p>
          <w:p w14:paraId="71AB2C1D">
            <w:pPr>
              <w:pStyle w:val="51"/>
              <w:ind w:firstLine="480"/>
            </w:pPr>
            <w:r>
              <w:rPr>
                <w:rFonts w:hint="eastAsia"/>
              </w:rPr>
              <w:t>项目租赁池州市皖江江南新兴产业集中区</w:t>
            </w:r>
            <w:r>
              <w:rPr>
                <w:rFonts w:hint="eastAsia"/>
                <w:lang w:val="en-US" w:eastAsia="zh-CN"/>
              </w:rPr>
              <w:t>众飞产业园</w:t>
            </w:r>
            <w:r>
              <w:rPr>
                <w:rFonts w:hint="eastAsia"/>
                <w:sz w:val="24"/>
                <w:u w:val="none"/>
                <w:lang w:val="en-US" w:eastAsia="zh-CN"/>
              </w:rPr>
              <w:t>3号厂房一层，</w:t>
            </w:r>
            <w:r>
              <w:rPr>
                <w:rFonts w:hint="eastAsia"/>
                <w:lang w:val="en-US" w:eastAsia="zh-CN"/>
              </w:rPr>
              <w:t>建筑面积44</w:t>
            </w:r>
            <w:r>
              <w:rPr>
                <w:rFonts w:hint="eastAsia"/>
              </w:rPr>
              <w:t>00m</w:t>
            </w:r>
            <w:r>
              <w:rPr>
                <w:rFonts w:hint="eastAsia"/>
                <w:vertAlign w:val="superscript"/>
              </w:rPr>
              <w:t>2</w:t>
            </w:r>
            <w:r>
              <w:rPr>
                <w:rFonts w:hint="eastAsia"/>
                <w:lang w:eastAsia="zh-CN"/>
              </w:rPr>
              <w:t>。</w:t>
            </w:r>
            <w:r>
              <w:rPr>
                <w:rFonts w:hint="eastAsia"/>
              </w:rPr>
              <w:t>厂房</w:t>
            </w:r>
            <w:r>
              <w:rPr>
                <w:rFonts w:hint="eastAsia"/>
                <w:lang w:val="en-US" w:eastAsia="zh-CN"/>
              </w:rPr>
              <w:t>西南侧</w:t>
            </w:r>
            <w:r>
              <w:rPr>
                <w:rFonts w:hint="eastAsia"/>
              </w:rPr>
              <w:t>主要用于员工办公，</w:t>
            </w:r>
            <w:r>
              <w:rPr>
                <w:rFonts w:hint="eastAsia"/>
                <w:lang w:val="en-US" w:eastAsia="zh-CN"/>
              </w:rPr>
              <w:t>东南侧设置原料仓库和成品仓库</w:t>
            </w:r>
            <w:r>
              <w:rPr>
                <w:rFonts w:hint="eastAsia"/>
              </w:rPr>
              <w:t>。厂</w:t>
            </w:r>
            <w:r>
              <w:rPr>
                <w:rFonts w:hint="eastAsia"/>
                <w:lang w:val="en-US" w:eastAsia="zh-CN"/>
              </w:rPr>
              <w:t>房中心区域作为生产车间，生产车间南侧设置一条参观通道。</w:t>
            </w:r>
            <w:r>
              <w:rPr>
                <w:rFonts w:hint="eastAsia"/>
              </w:rPr>
              <w:t>生产过程结合主要生产工艺流程对</w:t>
            </w:r>
            <w:r>
              <w:rPr>
                <w:rFonts w:hint="eastAsia"/>
                <w:lang w:val="en-US" w:eastAsia="zh-CN"/>
              </w:rPr>
              <w:t>车间设备</w:t>
            </w:r>
            <w:r>
              <w:rPr>
                <w:rFonts w:hint="eastAsia"/>
              </w:rPr>
              <w:t>进行了布置，总平面布置较为合理。</w:t>
            </w:r>
            <w:r>
              <w:rPr>
                <w:rFonts w:hint="eastAsia"/>
                <w:lang w:val="en-US" w:eastAsia="zh-CN"/>
              </w:rPr>
              <w:t>众飞产业园总平面图见附图5，</w:t>
            </w:r>
            <w:r>
              <w:rPr>
                <w:rFonts w:hint="eastAsia"/>
              </w:rPr>
              <w:t>项目</w:t>
            </w:r>
            <w:r>
              <w:rPr>
                <w:rFonts w:hint="eastAsia"/>
                <w:lang w:val="en-US" w:eastAsia="zh-CN"/>
              </w:rPr>
              <w:t>车间设备</w:t>
            </w:r>
            <w:r>
              <w:rPr>
                <w:rFonts w:hint="eastAsia"/>
              </w:rPr>
              <w:t>布置图详见</w:t>
            </w:r>
            <w:r>
              <w:rPr>
                <w:rFonts w:hint="eastAsia"/>
                <w:highlight w:val="none"/>
              </w:rPr>
              <w:t>附图6。</w:t>
            </w:r>
          </w:p>
          <w:p w14:paraId="09517D99">
            <w:pPr>
              <w:pStyle w:val="51"/>
              <w:ind w:firstLine="480"/>
            </w:pPr>
          </w:p>
          <w:p w14:paraId="18A6846C">
            <w:pPr>
              <w:pStyle w:val="51"/>
              <w:ind w:firstLine="480"/>
            </w:pPr>
          </w:p>
          <w:p w14:paraId="067702D5">
            <w:pPr>
              <w:pStyle w:val="51"/>
              <w:ind w:firstLine="480"/>
            </w:pPr>
          </w:p>
          <w:p w14:paraId="2EF2D004">
            <w:pPr>
              <w:pStyle w:val="51"/>
              <w:ind w:firstLine="480"/>
            </w:pPr>
          </w:p>
        </w:tc>
      </w:tr>
    </w:tbl>
    <w:p w14:paraId="305E5FF8">
      <w:pPr>
        <w:pStyle w:val="20"/>
        <w:adjustRightInd w:val="0"/>
        <w:snapToGrid w:val="0"/>
        <w:spacing w:before="0" w:beforeAutospacing="0" w:after="0" w:afterAutospacing="0"/>
        <w:jc w:val="center"/>
        <w:rPr>
          <w:rFonts w:hint="eastAsia" w:cs="宋体"/>
          <w:sz w:val="21"/>
          <w:szCs w:val="21"/>
        </w:rPr>
        <w:sectPr>
          <w:pgSz w:w="11906" w:h="16838"/>
          <w:pgMar w:top="1418" w:right="1440" w:bottom="1418" w:left="1440" w:header="851" w:footer="851" w:gutter="0"/>
          <w:pgBorders>
            <w:top w:val="none" w:sz="0" w:space="0"/>
            <w:left w:val="none" w:sz="0" w:space="0"/>
            <w:bottom w:val="none" w:sz="0" w:space="0"/>
            <w:right w:val="none" w:sz="0" w:space="0"/>
          </w:pgBorders>
          <w:cols w:space="720" w:num="1"/>
          <w:docGrid w:linePitch="312" w:charSpace="0"/>
        </w:sectPr>
      </w:pPr>
    </w:p>
    <w:tbl>
      <w:tblPr>
        <w:tblStyle w:val="2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793"/>
        <w:gridCol w:w="8449"/>
      </w:tblGrid>
      <w:tr w14:paraId="26B52E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71" w:hRule="atLeast"/>
          <w:jc w:val="center"/>
        </w:trPr>
        <w:tc>
          <w:tcPr>
            <w:tcW w:w="793" w:type="dxa"/>
            <w:vAlign w:val="center"/>
          </w:tcPr>
          <w:p w14:paraId="7CD78261">
            <w:pPr>
              <w:pStyle w:val="20"/>
              <w:adjustRightInd w:val="0"/>
              <w:snapToGrid w:val="0"/>
              <w:spacing w:before="0" w:beforeAutospacing="0" w:after="0" w:afterAutospacing="0"/>
              <w:jc w:val="center"/>
              <w:rPr>
                <w:rFonts w:hint="eastAsia" w:cs="宋体"/>
                <w:sz w:val="21"/>
                <w:szCs w:val="21"/>
              </w:rPr>
            </w:pPr>
            <w:r>
              <w:rPr>
                <w:rFonts w:hint="eastAsia" w:cs="宋体"/>
                <w:sz w:val="21"/>
                <w:szCs w:val="21"/>
              </w:rPr>
              <w:t>工艺流程和产排污环节</w:t>
            </w:r>
          </w:p>
        </w:tc>
        <w:tc>
          <w:tcPr>
            <w:tcW w:w="8449" w:type="dxa"/>
          </w:tcPr>
          <w:p w14:paraId="1A8F77A0">
            <w:pPr>
              <w:pStyle w:val="51"/>
              <w:ind w:firstLine="482"/>
              <w:rPr>
                <w:b/>
                <w:bCs/>
              </w:rPr>
            </w:pPr>
            <w:r>
              <w:rPr>
                <w:rFonts w:hint="eastAsia"/>
                <w:b/>
                <w:bCs/>
              </w:rPr>
              <w:t>1、营运期各工艺流程及产污环节</w:t>
            </w:r>
          </w:p>
          <w:p w14:paraId="7F7F04A0">
            <w:pPr>
              <w:pStyle w:val="51"/>
              <w:ind w:firstLine="480"/>
              <w:rPr>
                <w:rFonts w:hint="default" w:eastAsia="宋体"/>
                <w:b/>
                <w:bCs/>
                <w:lang w:val="en-US" w:eastAsia="zh-CN"/>
              </w:rPr>
            </w:pPr>
            <w:r>
              <w:rPr>
                <w:rFonts w:hint="eastAsia"/>
                <w:b/>
                <w:bCs/>
                <w:lang w:eastAsia="zh-CN"/>
              </w:rPr>
              <w:t>（</w:t>
            </w:r>
            <w:r>
              <w:rPr>
                <w:rFonts w:hint="eastAsia"/>
                <w:b/>
                <w:bCs/>
                <w:lang w:val="en-US" w:eastAsia="zh-CN"/>
              </w:rPr>
              <w:t>1</w:t>
            </w:r>
            <w:r>
              <w:rPr>
                <w:rFonts w:hint="eastAsia"/>
                <w:b/>
                <w:bCs/>
                <w:lang w:eastAsia="zh-CN"/>
              </w:rPr>
              <w:t>）</w:t>
            </w:r>
            <w:r>
              <w:rPr>
                <w:rFonts w:hint="eastAsia"/>
                <w:b/>
                <w:bCs/>
                <w:lang w:val="en-US" w:eastAsia="zh-CN"/>
              </w:rPr>
              <w:t>LED显示模组</w:t>
            </w:r>
          </w:p>
          <w:p w14:paraId="4D0CA422">
            <w:pPr>
              <w:pStyle w:val="77"/>
            </w:pPr>
            <w:r>
              <w:rPr>
                <w:rFonts w:hint="eastAsia"/>
                <w:b/>
                <w:bCs/>
                <w:color w:val="auto"/>
              </w:rPr>
              <w:object>
                <v:shape id="_x0000_i1026" o:spt="75" type="#_x0000_t75" style="height:574.1pt;width:322.45pt;" o:ole="t" filled="f" o:preferrelative="t" stroked="f" coordsize="21600,21600">
                  <v:path/>
                  <v:fill on="f" focussize="0,0"/>
                  <v:stroke on="f"/>
                  <v:imagedata r:id="rId16" o:title=""/>
                  <o:lock v:ext="edit" aspectratio="f"/>
                  <w10:wrap type="none"/>
                  <w10:anchorlock/>
                </v:shape>
                <o:OLEObject Type="Embed" ProgID="Visio.Drawing.15" ShapeID="_x0000_i1026" DrawAspect="Content" ObjectID="_1468075726" r:id="rId15">
                  <o:LockedField>false</o:LockedField>
                </o:OLEObject>
              </w:object>
            </w:r>
          </w:p>
          <w:p w14:paraId="7B07FE35">
            <w:pPr>
              <w:pStyle w:val="57"/>
            </w:pPr>
            <w:r>
              <w:rPr>
                <w:rFonts w:hint="eastAsia"/>
              </w:rPr>
              <w:t>图2</w:t>
            </w:r>
            <w:r>
              <w:t xml:space="preserve">-3  </w:t>
            </w:r>
            <w:r>
              <w:rPr>
                <w:rFonts w:hint="eastAsia"/>
              </w:rPr>
              <w:t>LED显示模组工艺流程及产污节点图</w:t>
            </w:r>
          </w:p>
          <w:p w14:paraId="1127EFD3">
            <w:pPr>
              <w:pStyle w:val="51"/>
              <w:ind w:firstLine="0" w:firstLineChars="0"/>
              <w:rPr>
                <w:rFonts w:hint="default" w:eastAsia="宋体"/>
                <w:b/>
                <w:bCs/>
                <w:sz w:val="18"/>
                <w:szCs w:val="18"/>
                <w:lang w:val="en-US" w:eastAsia="zh-CN"/>
              </w:rPr>
            </w:pPr>
            <w:r>
              <w:rPr>
                <w:rFonts w:hint="eastAsia"/>
                <w:b/>
                <w:bCs/>
                <w:sz w:val="18"/>
                <w:szCs w:val="18"/>
                <w:lang w:val="en-US" w:eastAsia="zh-CN"/>
              </w:rPr>
              <w:t>注：G1擦拭废气，G2回流焊废气，G3手工焊废气，S1废包装材料，S2擦拭废纸，S3废包装物（纸箱、塑料等），S4焊渣，S5不合格品，N噪声</w:t>
            </w:r>
          </w:p>
          <w:p w14:paraId="57060E0B">
            <w:pPr>
              <w:pStyle w:val="51"/>
              <w:ind w:firstLine="0" w:firstLineChars="0"/>
              <w:rPr>
                <w:b/>
                <w:bCs/>
              </w:rPr>
            </w:pPr>
            <w:r>
              <w:rPr>
                <w:rFonts w:hint="eastAsia"/>
                <w:b/>
                <w:bCs/>
              </w:rPr>
              <w:t>工艺流程说明：</w:t>
            </w:r>
          </w:p>
          <w:p w14:paraId="2AC236B7">
            <w:pPr>
              <w:pStyle w:val="51"/>
              <w:numPr>
                <w:ilvl w:val="0"/>
                <w:numId w:val="0"/>
              </w:numPr>
              <w:ind w:firstLine="482" w:firstLineChars="200"/>
              <w:rPr>
                <w:rFonts w:hint="eastAsia"/>
                <w:b w:val="0"/>
                <w:bCs w:val="0"/>
                <w:lang w:val="en-US" w:eastAsia="zh-CN"/>
              </w:rPr>
            </w:pPr>
            <w:r>
              <w:rPr>
                <w:rFonts w:hint="eastAsia" w:cs="Times New Roman"/>
                <w:b/>
                <w:bCs/>
                <w:kern w:val="0"/>
                <w:sz w:val="24"/>
                <w:szCs w:val="24"/>
                <w:lang w:val="en-US" w:eastAsia="zh-CN" w:bidi="ar-SA"/>
              </w:rPr>
              <w:t>①</w:t>
            </w:r>
            <w:r>
              <w:rPr>
                <w:rFonts w:hint="eastAsia"/>
                <w:b/>
                <w:bCs/>
                <w:lang w:val="en-US" w:eastAsia="zh-CN"/>
              </w:rPr>
              <w:t>锡膏涂覆：</w:t>
            </w:r>
            <w:r>
              <w:rPr>
                <w:rFonts w:hint="eastAsia"/>
                <w:b w:val="0"/>
                <w:bCs w:val="0"/>
                <w:lang w:val="en-US" w:eastAsia="zh-CN"/>
              </w:rPr>
              <w:t>利用锡膏印刷机将无铅锡膏均匀涂覆在PCB板需要焊接位置，为元器件的回流焊接做准备。</w:t>
            </w:r>
            <w:r>
              <w:rPr>
                <w:rFonts w:hint="eastAsia"/>
                <w:b w:val="0"/>
                <w:bCs w:val="0"/>
                <w:color w:val="FF0000"/>
                <w:lang w:val="en-US" w:eastAsia="zh-CN"/>
              </w:rPr>
              <w:t>锡膏储存在冷藏柜（0～10℃），无需解冻，</w:t>
            </w:r>
            <w:r>
              <w:rPr>
                <w:rFonts w:hint="eastAsia"/>
                <w:b w:val="0"/>
                <w:bCs w:val="0"/>
                <w:lang w:val="en-US" w:eastAsia="zh-CN"/>
              </w:rPr>
              <w:t>锡膏涂覆在常温下进行（25℃左右），无铅锡膏中的挥发性物料主要是松香、氢溴酸、辛二酸、乙二醇，‌松香的沸点约300℃，氢溴酸的沸点约126℃，辛二酸的沸点约230℃，乙二醇的沸点约197.4℃，因此锡膏在常温下基本不挥发，锡膏中的挥发份主要在回流焊高温焊接工序挥发。锡膏印刷机里的钢网每4</w:t>
            </w:r>
            <w:r>
              <w:rPr>
                <w:rFonts w:hint="eastAsia"/>
                <w:lang w:val="en-US" w:eastAsia="zh-CN"/>
              </w:rPr>
              <w:t>～</w:t>
            </w:r>
            <w:r>
              <w:rPr>
                <w:rFonts w:hint="eastAsia"/>
                <w:b w:val="0"/>
                <w:bCs w:val="0"/>
                <w:lang w:val="en-US" w:eastAsia="zh-CN"/>
              </w:rPr>
              <w:t>6小时用酒精进行一次擦拭。</w:t>
            </w:r>
          </w:p>
          <w:p w14:paraId="176C3DB8">
            <w:pPr>
              <w:pStyle w:val="51"/>
              <w:numPr>
                <w:ilvl w:val="0"/>
                <w:numId w:val="0"/>
              </w:numPr>
              <w:ind w:firstLine="480" w:firstLineChars="200"/>
              <w:rPr>
                <w:rFonts w:hint="eastAsia"/>
                <w:b w:val="0"/>
                <w:bCs w:val="0"/>
                <w:color w:val="000000" w:themeColor="text1"/>
                <w:lang w:val="en-US" w:eastAsia="zh-CN"/>
                <w14:textFill>
                  <w14:solidFill>
                    <w14:schemeClr w14:val="tx1"/>
                  </w14:solidFill>
                </w14:textFill>
              </w:rPr>
            </w:pPr>
            <w:r>
              <w:rPr>
                <w:rFonts w:hint="eastAsia"/>
              </w:rPr>
              <w:t>此工序产生的污染物主要：</w:t>
            </w:r>
            <w:r>
              <w:rPr>
                <w:rFonts w:hint="eastAsia"/>
                <w:u w:val="single"/>
              </w:rPr>
              <w:t>擦拭废气</w:t>
            </w:r>
            <w:r>
              <w:rPr>
                <w:rFonts w:hint="eastAsia"/>
                <w:color w:val="000000" w:themeColor="text1"/>
                <w:u w:val="single"/>
                <w14:textFill>
                  <w14:solidFill>
                    <w14:schemeClr w14:val="tx1"/>
                  </w14:solidFill>
                </w14:textFill>
              </w:rPr>
              <w:t>G</w:t>
            </w:r>
            <w:r>
              <w:rPr>
                <w:rFonts w:hint="eastAsia"/>
                <w:color w:val="000000" w:themeColor="text1"/>
                <w:u w:val="single"/>
                <w:lang w:val="en-US" w:eastAsia="zh-CN"/>
                <w14:textFill>
                  <w14:solidFill>
                    <w14:schemeClr w14:val="tx1"/>
                  </w14:solidFill>
                </w14:textFill>
              </w:rPr>
              <w:t>1</w:t>
            </w:r>
            <w:r>
              <w:rPr>
                <w:rFonts w:hint="eastAsia"/>
                <w:color w:val="000000" w:themeColor="text1"/>
                <w14:textFill>
                  <w14:solidFill>
                    <w14:schemeClr w14:val="tx1"/>
                  </w14:solidFill>
                </w14:textFill>
              </w:rPr>
              <w:t>、</w:t>
            </w:r>
            <w:r>
              <w:rPr>
                <w:rFonts w:hint="eastAsia"/>
                <w:color w:val="000000" w:themeColor="text1"/>
                <w:u w:val="single"/>
                <w14:textFill>
                  <w14:solidFill>
                    <w14:schemeClr w14:val="tx1"/>
                  </w14:solidFill>
                </w14:textFill>
              </w:rPr>
              <w:t>废包装材料S</w:t>
            </w:r>
            <w:r>
              <w:rPr>
                <w:rFonts w:hint="eastAsia"/>
                <w:color w:val="000000" w:themeColor="text1"/>
                <w:u w:val="single"/>
                <w:lang w:val="en-US" w:eastAsia="zh-CN"/>
                <w14:textFill>
                  <w14:solidFill>
                    <w14:schemeClr w14:val="tx1"/>
                  </w14:solidFill>
                </w14:textFill>
              </w:rPr>
              <w:t>1</w:t>
            </w:r>
            <w:r>
              <w:rPr>
                <w:rFonts w:hint="eastAsia"/>
                <w:color w:val="000000" w:themeColor="text1"/>
                <w:u w:val="single"/>
                <w14:textFill>
                  <w14:solidFill>
                    <w14:schemeClr w14:val="tx1"/>
                  </w14:solidFill>
                </w14:textFill>
              </w:rPr>
              <w:t>、废擦拭</w:t>
            </w:r>
            <w:r>
              <w:rPr>
                <w:rFonts w:hint="eastAsia"/>
                <w:color w:val="000000" w:themeColor="text1"/>
                <w:u w:val="single"/>
                <w:lang w:val="en-US" w:eastAsia="zh-CN"/>
                <w14:textFill>
                  <w14:solidFill>
                    <w14:schemeClr w14:val="tx1"/>
                  </w14:solidFill>
                </w14:textFill>
              </w:rPr>
              <w:t>纸S2</w:t>
            </w:r>
            <w:r>
              <w:rPr>
                <w:rFonts w:hint="eastAsia"/>
                <w:color w:val="000000" w:themeColor="text1"/>
                <w14:textFill>
                  <w14:solidFill>
                    <w14:schemeClr w14:val="tx1"/>
                  </w14:solidFill>
                </w14:textFill>
              </w:rPr>
              <w:t>和</w:t>
            </w:r>
            <w:r>
              <w:rPr>
                <w:rFonts w:hint="eastAsia"/>
                <w:color w:val="000000" w:themeColor="text1"/>
                <w:u w:val="single"/>
                <w14:textFill>
                  <w14:solidFill>
                    <w14:schemeClr w14:val="tx1"/>
                  </w14:solidFill>
                </w14:textFill>
              </w:rPr>
              <w:t>噪声N</w:t>
            </w:r>
            <w:r>
              <w:rPr>
                <w:rFonts w:hint="eastAsia"/>
                <w:color w:val="000000" w:themeColor="text1"/>
                <w14:textFill>
                  <w14:solidFill>
                    <w14:schemeClr w14:val="tx1"/>
                  </w14:solidFill>
                </w14:textFill>
              </w:rPr>
              <w:t>。</w:t>
            </w:r>
          </w:p>
          <w:p w14:paraId="53F83BC2">
            <w:pPr>
              <w:pStyle w:val="51"/>
              <w:numPr>
                <w:ilvl w:val="0"/>
                <w:numId w:val="0"/>
              </w:numPr>
              <w:ind w:left="0" w:leftChars="0" w:firstLine="482" w:firstLineChars="200"/>
              <w:rPr>
                <w:rFonts w:hint="default"/>
                <w:lang w:val="en-US" w:eastAsia="zh-CN"/>
              </w:rPr>
            </w:pPr>
            <w:r>
              <w:rPr>
                <w:rFonts w:hint="eastAsia" w:cs="Times New Roman"/>
                <w:b/>
                <w:bCs/>
                <w:kern w:val="0"/>
                <w:sz w:val="24"/>
                <w:szCs w:val="24"/>
                <w:lang w:val="en-US" w:eastAsia="zh-CN" w:bidi="ar-SA"/>
              </w:rPr>
              <w:t>②</w:t>
            </w:r>
            <w:r>
              <w:rPr>
                <w:rFonts w:hint="eastAsia"/>
                <w:b/>
                <w:bCs/>
                <w:lang w:val="en-US" w:eastAsia="zh-CN"/>
              </w:rPr>
              <w:t>SPI检测：</w:t>
            </w:r>
            <w:r>
              <w:rPr>
                <w:rFonts w:hint="eastAsia"/>
                <w:lang w:val="en-US" w:eastAsia="zh-CN"/>
              </w:rPr>
              <w:t>使用SPI锡膏监测设备自动检测PCB板是否有漏刷锡膏，不合格品重新涂覆锡膏。此过程属于物理检测，不涉及化学试剂和化学反应。</w:t>
            </w:r>
          </w:p>
          <w:p w14:paraId="66D62E8F">
            <w:pPr>
              <w:pStyle w:val="51"/>
              <w:numPr>
                <w:ilvl w:val="0"/>
                <w:numId w:val="0"/>
              </w:numPr>
              <w:ind w:firstLine="480" w:firstLineChars="200"/>
              <w:rPr>
                <w:rFonts w:hint="default" w:eastAsia="宋体"/>
                <w:lang w:val="en-US" w:eastAsia="zh-CN"/>
              </w:rPr>
            </w:pPr>
            <w:r>
              <w:rPr>
                <w:rFonts w:hint="eastAsia"/>
              </w:rPr>
              <w:t>此工序产生的污染物主要：</w:t>
            </w:r>
            <w:r>
              <w:rPr>
                <w:rFonts w:hint="eastAsia"/>
                <w:color w:val="000000" w:themeColor="text1"/>
                <w:u w:val="single"/>
                <w14:textFill>
                  <w14:solidFill>
                    <w14:schemeClr w14:val="tx1"/>
                  </w14:solidFill>
                </w14:textFill>
              </w:rPr>
              <w:t>噪声N</w:t>
            </w:r>
            <w:r>
              <w:rPr>
                <w:rFonts w:hint="eastAsia"/>
                <w:color w:val="000000" w:themeColor="text1"/>
                <w14:textFill>
                  <w14:solidFill>
                    <w14:schemeClr w14:val="tx1"/>
                  </w14:solidFill>
                </w14:textFill>
              </w:rPr>
              <w:t>。</w:t>
            </w:r>
          </w:p>
          <w:p w14:paraId="4E4D696A">
            <w:pPr>
              <w:pStyle w:val="51"/>
              <w:numPr>
                <w:ilvl w:val="0"/>
                <w:numId w:val="0"/>
              </w:numPr>
              <w:ind w:left="0" w:leftChars="0" w:firstLine="482" w:firstLineChars="200"/>
              <w:rPr>
                <w:rFonts w:hint="eastAsia"/>
              </w:rPr>
            </w:pPr>
            <w:r>
              <w:rPr>
                <w:rFonts w:hint="eastAsia" w:cs="Times New Roman"/>
                <w:b/>
                <w:bCs/>
                <w:kern w:val="0"/>
                <w:sz w:val="24"/>
                <w:szCs w:val="24"/>
                <w:lang w:val="en-US" w:eastAsia="zh-CN" w:bidi="ar-SA"/>
              </w:rPr>
              <w:t>③</w:t>
            </w:r>
            <w:r>
              <w:rPr>
                <w:rFonts w:hint="eastAsia"/>
                <w:b/>
                <w:bCs/>
                <w:lang w:val="en-US" w:eastAsia="zh-CN"/>
              </w:rPr>
              <w:t>贴片：</w:t>
            </w:r>
            <w:r>
              <w:rPr>
                <w:rFonts w:hint="eastAsia"/>
              </w:rPr>
              <w:t>将印刷合格后的PCB板运输至贴片机，贴片机根据对应的贴片程序，将电子元器件准确的贴装在PCB板规定的位置上。</w:t>
            </w:r>
          </w:p>
          <w:p w14:paraId="2722A270">
            <w:pPr>
              <w:pStyle w:val="51"/>
              <w:numPr>
                <w:ilvl w:val="0"/>
                <w:numId w:val="0"/>
              </w:numPr>
              <w:ind w:firstLine="480" w:firstLineChars="200"/>
            </w:pPr>
            <w:r>
              <w:rPr>
                <w:rFonts w:hint="eastAsia"/>
              </w:rPr>
              <w:t>此工序产生的污染物主要有：</w:t>
            </w:r>
            <w:r>
              <w:rPr>
                <w:rFonts w:hint="eastAsia"/>
                <w:u w:val="single"/>
              </w:rPr>
              <w:t>废</w:t>
            </w:r>
            <w:r>
              <w:rPr>
                <w:rFonts w:hint="eastAsia"/>
                <w:u w:val="single"/>
                <w:lang w:val="en-US" w:eastAsia="zh-CN"/>
              </w:rPr>
              <w:t>包装物（纸箱、塑料等）S3</w:t>
            </w:r>
            <w:r>
              <w:rPr>
                <w:rFonts w:hint="eastAsia"/>
              </w:rPr>
              <w:t>和</w:t>
            </w:r>
            <w:r>
              <w:rPr>
                <w:rFonts w:hint="eastAsia"/>
                <w:u w:val="single"/>
              </w:rPr>
              <w:t>噪声N</w:t>
            </w:r>
            <w:r>
              <w:rPr>
                <w:rFonts w:hint="eastAsia"/>
              </w:rPr>
              <w:t>。</w:t>
            </w:r>
          </w:p>
          <w:p w14:paraId="5EEF1452">
            <w:pPr>
              <w:pStyle w:val="51"/>
              <w:numPr>
                <w:ilvl w:val="0"/>
                <w:numId w:val="0"/>
              </w:numPr>
              <w:ind w:left="0" w:leftChars="0" w:firstLine="482" w:firstLineChars="200"/>
              <w:rPr>
                <w:rFonts w:hint="eastAsia"/>
                <w:lang w:val="en-US" w:eastAsia="zh-CN"/>
              </w:rPr>
            </w:pPr>
            <w:r>
              <w:rPr>
                <w:rFonts w:hint="eastAsia" w:cs="Times New Roman"/>
                <w:b/>
                <w:bCs/>
                <w:kern w:val="0"/>
                <w:sz w:val="24"/>
                <w:szCs w:val="24"/>
                <w:lang w:val="en-US" w:eastAsia="zh-CN" w:bidi="ar-SA"/>
              </w:rPr>
              <w:t>④</w:t>
            </w:r>
            <w:r>
              <w:rPr>
                <w:rFonts w:hint="eastAsia"/>
                <w:b/>
                <w:bCs/>
                <w:lang w:val="en-US" w:eastAsia="zh-CN"/>
              </w:rPr>
              <w:t>回流焊：</w:t>
            </w:r>
            <w:r>
              <w:rPr>
                <w:rFonts w:hint="eastAsia"/>
                <w:lang w:val="en-US" w:eastAsia="zh-CN"/>
              </w:rPr>
              <w:t>经贴片机装贴好的PCB板，进入回流焊机进行焊接，回流焊机采用电加热。PCB板进入回流焊炉首先进入预热区，预热温度为150℃~180℃，预热时间为60s~120s，目的是使PCB板均匀受热；随后进入回流区，温度为235℃~260℃，停留时间为20s~50s，此时锡膏中的助焊剂充分挥发，PCB板引脚、锡膏和焊盘之间由于熔化锡膏在高温下形成介质化合物，实现持久焊接；最后PCB板进入冷却区，通过电冷将PCB板冷却至30℃～45℃。锡膏中的挥发份在回流焊高温焊接工序中完全挥发。</w:t>
            </w:r>
          </w:p>
          <w:p w14:paraId="304D4223">
            <w:pPr>
              <w:pStyle w:val="51"/>
              <w:numPr>
                <w:ilvl w:val="0"/>
                <w:numId w:val="0"/>
              </w:numPr>
              <w:ind w:left="0" w:leftChars="0" w:firstLine="480" w:firstLineChars="200"/>
              <w:rPr>
                <w:rFonts w:hint="eastAsia"/>
                <w:lang w:val="en-US" w:eastAsia="zh-CN"/>
              </w:rPr>
            </w:pPr>
            <w:r>
              <w:rPr>
                <w:rFonts w:hint="eastAsia"/>
                <w:lang w:val="en-US" w:eastAsia="zh-CN"/>
              </w:rPr>
              <w:t>此工序产生的污染物主要有：</w:t>
            </w:r>
            <w:r>
              <w:rPr>
                <w:rFonts w:hint="eastAsia"/>
                <w:u w:val="single"/>
                <w:lang w:val="en-US" w:eastAsia="zh-CN"/>
              </w:rPr>
              <w:t>回流焊废气G2</w:t>
            </w:r>
            <w:r>
              <w:rPr>
                <w:rFonts w:hint="eastAsia"/>
                <w:u w:val="none"/>
                <w:lang w:val="en-US" w:eastAsia="zh-CN"/>
              </w:rPr>
              <w:t>、</w:t>
            </w:r>
            <w:r>
              <w:rPr>
                <w:rFonts w:hint="eastAsia"/>
                <w:u w:val="single"/>
                <w:lang w:val="en-US" w:eastAsia="zh-CN"/>
              </w:rPr>
              <w:t>焊渣S4</w:t>
            </w:r>
            <w:r>
              <w:rPr>
                <w:rFonts w:hint="eastAsia"/>
                <w:u w:val="none"/>
                <w:lang w:val="en-US" w:eastAsia="zh-CN"/>
              </w:rPr>
              <w:t>和</w:t>
            </w:r>
            <w:r>
              <w:rPr>
                <w:rFonts w:hint="eastAsia"/>
                <w:u w:val="single"/>
                <w:lang w:val="en-US" w:eastAsia="zh-CN"/>
              </w:rPr>
              <w:t>噪声N。</w:t>
            </w:r>
          </w:p>
          <w:p w14:paraId="69C8C42F">
            <w:pPr>
              <w:pStyle w:val="51"/>
              <w:numPr>
                <w:ilvl w:val="0"/>
                <w:numId w:val="0"/>
              </w:numPr>
              <w:ind w:left="0" w:leftChars="0" w:firstLine="482" w:firstLineChars="200"/>
              <w:rPr>
                <w:rFonts w:hint="eastAsia"/>
                <w:lang w:val="en-US" w:eastAsia="zh-CN"/>
              </w:rPr>
            </w:pPr>
            <w:r>
              <w:rPr>
                <w:rFonts w:hint="eastAsia" w:cs="Times New Roman"/>
                <w:b/>
                <w:bCs/>
                <w:kern w:val="0"/>
                <w:sz w:val="24"/>
                <w:szCs w:val="24"/>
                <w:lang w:val="en-US" w:eastAsia="zh-CN" w:bidi="ar-SA"/>
              </w:rPr>
              <w:t>⑤</w:t>
            </w:r>
            <w:r>
              <w:rPr>
                <w:rFonts w:hint="eastAsia"/>
                <w:b/>
                <w:bCs/>
                <w:lang w:val="en-US" w:eastAsia="zh-CN"/>
              </w:rPr>
              <w:t>AOI检测、维修：</w:t>
            </w:r>
            <w:r>
              <w:rPr>
                <w:rFonts w:hint="eastAsia"/>
                <w:lang w:val="en-US" w:eastAsia="zh-CN"/>
              </w:rPr>
              <w:t>使用AOI测试仪对焊接后的产品进行光学性能性能检测。此过程属于物理检测，不涉及化学试剂和化学反应。对检测不合格品通过人工焊接的方式进行维修。</w:t>
            </w:r>
          </w:p>
          <w:p w14:paraId="21E70522">
            <w:pPr>
              <w:pStyle w:val="51"/>
              <w:numPr>
                <w:ilvl w:val="0"/>
                <w:numId w:val="0"/>
              </w:numPr>
              <w:ind w:firstLine="480" w:firstLineChars="200"/>
              <w:rPr>
                <w:rFonts w:hint="default" w:eastAsia="宋体"/>
                <w:lang w:val="en-US" w:eastAsia="zh-CN"/>
              </w:rPr>
            </w:pPr>
            <w:r>
              <w:rPr>
                <w:rFonts w:hint="eastAsia"/>
                <w:lang w:val="en-US" w:eastAsia="zh-CN"/>
              </w:rPr>
              <w:t>此工序产生的污染物主要有：</w:t>
            </w:r>
            <w:r>
              <w:rPr>
                <w:rFonts w:hint="eastAsia"/>
                <w:u w:val="single"/>
                <w:lang w:val="en-US" w:eastAsia="zh-CN"/>
              </w:rPr>
              <w:t>手工焊废气G3</w:t>
            </w:r>
            <w:r>
              <w:rPr>
                <w:rFonts w:hint="eastAsia"/>
                <w:lang w:val="en-US" w:eastAsia="zh-CN"/>
              </w:rPr>
              <w:t>、</w:t>
            </w:r>
            <w:r>
              <w:rPr>
                <w:rFonts w:hint="eastAsia"/>
                <w:u w:val="single"/>
                <w:lang w:val="en-US" w:eastAsia="zh-CN"/>
              </w:rPr>
              <w:t>废包装物（纸箱、塑料等）S3</w:t>
            </w:r>
            <w:r>
              <w:rPr>
                <w:rFonts w:hint="eastAsia"/>
                <w:lang w:val="en-US" w:eastAsia="zh-CN"/>
              </w:rPr>
              <w:t>和</w:t>
            </w:r>
            <w:r>
              <w:rPr>
                <w:rFonts w:hint="eastAsia"/>
                <w:u w:val="single"/>
                <w:lang w:val="en-US" w:eastAsia="zh-CN"/>
              </w:rPr>
              <w:t>噪声N。</w:t>
            </w:r>
          </w:p>
          <w:p w14:paraId="5B7EDD1A">
            <w:pPr>
              <w:pStyle w:val="51"/>
              <w:ind w:firstLine="480"/>
              <w:rPr>
                <w:rFonts w:hint="eastAsia"/>
                <w:lang w:eastAsia="zh-CN"/>
              </w:rPr>
            </w:pPr>
            <w:r>
              <w:rPr>
                <w:rFonts w:hint="eastAsia"/>
                <w:b/>
                <w:bCs/>
                <w:color w:val="auto"/>
                <w:lang w:val="en-US" w:eastAsia="zh-CN"/>
              </w:rPr>
              <w:t>灯珠面</w:t>
            </w:r>
            <w:r>
              <w:rPr>
                <w:rFonts w:hint="eastAsia"/>
                <w:b/>
                <w:bCs/>
                <w:color w:val="auto"/>
              </w:rPr>
              <w:t>生产工序和</w:t>
            </w:r>
            <w:r>
              <w:rPr>
                <w:rFonts w:hint="eastAsia"/>
                <w:b/>
                <w:bCs/>
                <w:color w:val="auto"/>
                <w:lang w:val="en-US" w:eastAsia="zh-CN"/>
              </w:rPr>
              <w:t>芯片</w:t>
            </w:r>
            <w:r>
              <w:rPr>
                <w:rFonts w:hint="eastAsia"/>
                <w:b/>
                <w:bCs/>
                <w:color w:val="auto"/>
              </w:rPr>
              <w:t>面生产工序完全一致，</w:t>
            </w:r>
            <w:r>
              <w:rPr>
                <w:rFonts w:hint="eastAsia"/>
                <w:b/>
                <w:bCs/>
                <w:color w:val="auto"/>
                <w:lang w:val="en-US" w:eastAsia="zh-CN"/>
              </w:rPr>
              <w:t>两面均回流焊接成功后进入手工焊接工序</w:t>
            </w:r>
            <w:r>
              <w:rPr>
                <w:rFonts w:hint="eastAsia"/>
                <w:b/>
                <w:bCs/>
                <w:color w:val="auto"/>
              </w:rPr>
              <w:t>。</w:t>
            </w:r>
          </w:p>
          <w:p w14:paraId="4871A193">
            <w:pPr>
              <w:pStyle w:val="51"/>
              <w:numPr>
                <w:ilvl w:val="0"/>
                <w:numId w:val="0"/>
              </w:numPr>
              <w:ind w:left="0" w:leftChars="0" w:firstLine="482" w:firstLineChars="200"/>
              <w:rPr>
                <w:rFonts w:hint="eastAsia"/>
              </w:rPr>
            </w:pPr>
            <w:r>
              <w:rPr>
                <w:rFonts w:hint="eastAsia" w:cs="Times New Roman"/>
                <w:b/>
                <w:bCs/>
                <w:kern w:val="0"/>
                <w:sz w:val="24"/>
                <w:szCs w:val="24"/>
                <w:lang w:val="en-US" w:eastAsia="zh-CN" w:bidi="ar-SA"/>
              </w:rPr>
              <w:t>⑥</w:t>
            </w:r>
            <w:r>
              <w:rPr>
                <w:rFonts w:hint="eastAsia"/>
                <w:b/>
                <w:bCs/>
                <w:lang w:val="en-US" w:eastAsia="zh-CN"/>
              </w:rPr>
              <w:t>手工焊接：</w:t>
            </w:r>
            <w:r>
              <w:rPr>
                <w:rFonts w:hint="eastAsia"/>
                <w:lang w:val="en-US" w:eastAsia="zh-CN"/>
              </w:rPr>
              <w:t>通过手工焊接的方式将电源线焊接在PCB板上，手</w:t>
            </w:r>
            <w:r>
              <w:rPr>
                <w:rFonts w:hint="eastAsia"/>
              </w:rPr>
              <w:t>工焊接过程中使用无铅锡丝。</w:t>
            </w:r>
          </w:p>
          <w:p w14:paraId="179F7BAB">
            <w:pPr>
              <w:pStyle w:val="51"/>
              <w:numPr>
                <w:ilvl w:val="0"/>
                <w:numId w:val="0"/>
              </w:numPr>
              <w:ind w:firstLine="480" w:firstLineChars="200"/>
              <w:rPr>
                <w:rFonts w:hint="eastAsia" w:eastAsia="宋体"/>
                <w:lang w:eastAsia="zh-CN"/>
              </w:rPr>
            </w:pPr>
            <w:r>
              <w:rPr>
                <w:rFonts w:hint="eastAsia"/>
              </w:rPr>
              <w:t>此工序产生的污染物主要有：</w:t>
            </w:r>
            <w:r>
              <w:rPr>
                <w:rFonts w:hint="eastAsia"/>
                <w:u w:val="single"/>
                <w:lang w:val="en-US" w:eastAsia="zh-CN"/>
              </w:rPr>
              <w:t>手工焊</w:t>
            </w:r>
            <w:r>
              <w:rPr>
                <w:rFonts w:hint="eastAsia"/>
                <w:u w:val="single"/>
              </w:rPr>
              <w:t>废气G</w:t>
            </w:r>
            <w:r>
              <w:rPr>
                <w:rFonts w:hint="eastAsia"/>
                <w:u w:val="single"/>
                <w:lang w:val="en-US" w:eastAsia="zh-CN"/>
              </w:rPr>
              <w:t>3</w:t>
            </w:r>
            <w:r>
              <w:rPr>
                <w:rFonts w:hint="eastAsia"/>
              </w:rPr>
              <w:t>、</w:t>
            </w:r>
            <w:r>
              <w:rPr>
                <w:rFonts w:hint="eastAsia"/>
                <w:u w:val="single"/>
                <w:lang w:val="en-US" w:eastAsia="zh-CN"/>
              </w:rPr>
              <w:t>废包装物（纸箱、塑料等）</w:t>
            </w:r>
            <w:r>
              <w:rPr>
                <w:rFonts w:hint="eastAsia"/>
                <w:u w:val="single"/>
              </w:rPr>
              <w:t>S</w:t>
            </w:r>
            <w:r>
              <w:rPr>
                <w:rFonts w:hint="eastAsia"/>
                <w:u w:val="single"/>
                <w:lang w:val="en-US" w:eastAsia="zh-CN"/>
              </w:rPr>
              <w:t>3</w:t>
            </w:r>
            <w:r>
              <w:rPr>
                <w:rFonts w:hint="eastAsia"/>
              </w:rPr>
              <w:t>和</w:t>
            </w:r>
            <w:r>
              <w:rPr>
                <w:rFonts w:hint="eastAsia"/>
                <w:u w:val="single"/>
              </w:rPr>
              <w:t>噪声N</w:t>
            </w:r>
            <w:r>
              <w:rPr>
                <w:rFonts w:hint="eastAsia"/>
                <w:u w:val="single"/>
                <w:lang w:eastAsia="zh-CN"/>
              </w:rPr>
              <w:t>；</w:t>
            </w:r>
          </w:p>
          <w:p w14:paraId="55B8C2F7">
            <w:pPr>
              <w:pStyle w:val="51"/>
              <w:numPr>
                <w:ilvl w:val="0"/>
                <w:numId w:val="0"/>
              </w:numPr>
              <w:ind w:left="0" w:leftChars="0" w:firstLine="482" w:firstLineChars="200"/>
              <w:rPr>
                <w:rFonts w:hint="eastAsia"/>
                <w:lang w:val="en-US" w:eastAsia="zh-CN"/>
              </w:rPr>
            </w:pPr>
            <w:r>
              <w:rPr>
                <w:rFonts w:hint="eastAsia" w:cs="Times New Roman"/>
                <w:b/>
                <w:bCs/>
                <w:kern w:val="0"/>
                <w:sz w:val="24"/>
                <w:szCs w:val="24"/>
                <w:lang w:val="en-US" w:eastAsia="zh-CN" w:bidi="ar-SA"/>
              </w:rPr>
              <w:t>⑦</w:t>
            </w:r>
            <w:r>
              <w:rPr>
                <w:rFonts w:hint="eastAsia"/>
                <w:b/>
                <w:bCs/>
                <w:lang w:val="en-US" w:eastAsia="zh-CN"/>
              </w:rPr>
              <w:t>底座安装、面罩压合：</w:t>
            </w:r>
            <w:r>
              <w:rPr>
                <w:rFonts w:hint="eastAsia"/>
                <w:lang w:val="en-US" w:eastAsia="zh-CN"/>
              </w:rPr>
              <w:t>工作人员把配套底座摆放桌面上，立柱向下对准底座立柱孔位，使用打螺丝机将PCB板固定在底座上；在压面罩机上装配面罩，将面罩压合在灯珠面上。</w:t>
            </w:r>
          </w:p>
          <w:p w14:paraId="562E46BC">
            <w:pPr>
              <w:pStyle w:val="51"/>
              <w:numPr>
                <w:ilvl w:val="0"/>
                <w:numId w:val="0"/>
              </w:numPr>
              <w:ind w:firstLine="480" w:firstLineChars="200"/>
              <w:rPr>
                <w:rFonts w:hint="eastAsia" w:eastAsia="宋体"/>
                <w:lang w:val="en-US" w:eastAsia="zh-CN"/>
              </w:rPr>
            </w:pPr>
            <w:r>
              <w:rPr>
                <w:rFonts w:hint="eastAsia"/>
              </w:rPr>
              <w:t>此工序产生的污染物主要有：</w:t>
            </w:r>
            <w:r>
              <w:rPr>
                <w:rFonts w:hint="eastAsia"/>
                <w:u w:val="single"/>
              </w:rPr>
              <w:t>噪声N</w:t>
            </w:r>
            <w:r>
              <w:rPr>
                <w:rFonts w:hint="eastAsia"/>
                <w:u w:val="single"/>
                <w:lang w:eastAsia="zh-CN"/>
              </w:rPr>
              <w:t>；</w:t>
            </w:r>
          </w:p>
          <w:p w14:paraId="01256345">
            <w:pPr>
              <w:pStyle w:val="51"/>
              <w:numPr>
                <w:ilvl w:val="0"/>
                <w:numId w:val="0"/>
              </w:numPr>
              <w:ind w:left="0" w:leftChars="0" w:firstLine="482" w:firstLineChars="200"/>
              <w:rPr>
                <w:rFonts w:hint="eastAsia"/>
                <w:lang w:val="en-US" w:eastAsia="zh-CN"/>
              </w:rPr>
            </w:pPr>
            <w:r>
              <w:rPr>
                <w:rFonts w:hint="eastAsia" w:cs="Times New Roman"/>
                <w:b/>
                <w:bCs/>
                <w:kern w:val="0"/>
                <w:sz w:val="24"/>
                <w:szCs w:val="24"/>
                <w:lang w:val="en-US" w:eastAsia="zh-CN" w:bidi="ar-SA"/>
              </w:rPr>
              <w:t>⑧</w:t>
            </w:r>
            <w:r>
              <w:rPr>
                <w:rFonts w:hint="eastAsia"/>
                <w:b/>
                <w:bCs/>
                <w:lang w:val="en-US" w:eastAsia="zh-CN"/>
              </w:rPr>
              <w:t>老化：</w:t>
            </w:r>
            <w:r>
              <w:rPr>
                <w:rFonts w:hint="eastAsia"/>
                <w:lang w:val="en-US" w:eastAsia="zh-CN"/>
              </w:rPr>
              <w:t>将显示模组上到老化架上，每个槽位横竖排列对应，排线依次串联显示模组输入、输出端口，电源插上电源座，用排线连接系统驱动卡输出端口与第一片板输入端口，打开自动老化线电源开关，测试连接是否全部通路，调整至全部通路为止，老化扫描半小时，全亮一小时，按要求切换模式，观察挑选不合格品。</w:t>
            </w:r>
          </w:p>
          <w:p w14:paraId="367215BA">
            <w:pPr>
              <w:pStyle w:val="51"/>
              <w:numPr>
                <w:ilvl w:val="0"/>
                <w:numId w:val="0"/>
              </w:numPr>
              <w:ind w:firstLine="480" w:firstLineChars="200"/>
              <w:rPr>
                <w:rFonts w:hint="eastAsia"/>
                <w:u w:val="single"/>
                <w:lang w:val="en-US" w:eastAsia="zh-CN"/>
              </w:rPr>
            </w:pPr>
            <w:r>
              <w:rPr>
                <w:rFonts w:hint="eastAsia"/>
              </w:rPr>
              <w:t>此工序产生的污染物主要有：</w:t>
            </w:r>
            <w:r>
              <w:rPr>
                <w:rFonts w:hint="eastAsia"/>
                <w:u w:val="single"/>
                <w:lang w:val="en-US" w:eastAsia="zh-CN"/>
              </w:rPr>
              <w:t>不合格品S5；</w:t>
            </w:r>
          </w:p>
          <w:p w14:paraId="6E3BDC79">
            <w:pPr>
              <w:pStyle w:val="51"/>
              <w:numPr>
                <w:ilvl w:val="0"/>
                <w:numId w:val="0"/>
              </w:numPr>
              <w:ind w:firstLine="482" w:firstLineChars="200"/>
              <w:rPr>
                <w:rFonts w:hint="eastAsia"/>
                <w:u w:val="none"/>
                <w:lang w:val="en-US" w:eastAsia="zh-CN"/>
              </w:rPr>
            </w:pPr>
            <w:r>
              <w:rPr>
                <w:rFonts w:hint="eastAsia"/>
                <w:b/>
                <w:bCs/>
                <w:u w:val="none"/>
                <w:lang w:val="en-US" w:eastAsia="zh-CN"/>
              </w:rPr>
              <w:t>⑨调试：</w:t>
            </w:r>
            <w:r>
              <w:rPr>
                <w:rFonts w:hint="eastAsia"/>
                <w:u w:val="none"/>
                <w:lang w:val="en-US" w:eastAsia="zh-CN"/>
              </w:rPr>
              <w:t>套件背面及印刷箭头朝上摆放台面，排线插头分别插入板子左右两侧排插座，电源夹子夹住电源座输入和输出的两个引脚上，分别切换全亮、扫描、灰度的接收卡模式，每个模式检查3秒查验是否有短路、死灯现象。</w:t>
            </w:r>
          </w:p>
          <w:p w14:paraId="1E55ECD8">
            <w:pPr>
              <w:pStyle w:val="51"/>
              <w:numPr>
                <w:ilvl w:val="0"/>
                <w:numId w:val="0"/>
              </w:numPr>
              <w:ind w:firstLine="480" w:firstLineChars="200"/>
              <w:rPr>
                <w:rFonts w:hint="default"/>
                <w:u w:val="none"/>
                <w:lang w:val="en-US" w:eastAsia="zh-CN"/>
              </w:rPr>
            </w:pPr>
            <w:r>
              <w:rPr>
                <w:rFonts w:hint="eastAsia"/>
              </w:rPr>
              <w:t>此工序产生的污染物主要有：</w:t>
            </w:r>
            <w:r>
              <w:rPr>
                <w:rFonts w:hint="eastAsia"/>
                <w:u w:val="single"/>
                <w:lang w:val="en-US" w:eastAsia="zh-CN"/>
              </w:rPr>
              <w:t>不合格品S5；</w:t>
            </w:r>
          </w:p>
          <w:p w14:paraId="41DEB097">
            <w:pPr>
              <w:pStyle w:val="51"/>
              <w:numPr>
                <w:ilvl w:val="0"/>
                <w:numId w:val="0"/>
              </w:numPr>
              <w:ind w:left="0" w:leftChars="0" w:firstLine="482" w:firstLineChars="200"/>
              <w:rPr>
                <w:rFonts w:hint="eastAsia"/>
                <w:lang w:val="en-US" w:eastAsia="zh-CN"/>
              </w:rPr>
            </w:pPr>
            <w:r>
              <w:rPr>
                <w:rFonts w:hint="eastAsia" w:cs="Times New Roman"/>
                <w:b/>
                <w:bCs/>
                <w:kern w:val="0"/>
                <w:sz w:val="24"/>
                <w:szCs w:val="24"/>
                <w:lang w:val="en-US" w:eastAsia="zh-CN" w:bidi="ar-SA"/>
              </w:rPr>
              <w:t>⑨</w:t>
            </w:r>
            <w:r>
              <w:rPr>
                <w:rFonts w:hint="eastAsia"/>
                <w:b/>
                <w:bCs/>
                <w:lang w:val="en-US" w:eastAsia="zh-CN"/>
              </w:rPr>
              <w:t>包装入库：</w:t>
            </w:r>
            <w:r>
              <w:rPr>
                <w:rFonts w:hint="eastAsia"/>
                <w:lang w:val="en-US" w:eastAsia="zh-CN"/>
              </w:rPr>
              <w:t>将合格品放到打包机上打包装箱，成品进入成品仓库。</w:t>
            </w:r>
          </w:p>
          <w:p w14:paraId="6E7B2AFE">
            <w:pPr>
              <w:pStyle w:val="51"/>
              <w:numPr>
                <w:ilvl w:val="0"/>
                <w:numId w:val="0"/>
              </w:numPr>
              <w:ind w:firstLine="480" w:firstLineChars="200"/>
              <w:rPr>
                <w:rFonts w:hint="eastAsia" w:eastAsia="宋体"/>
                <w:lang w:val="en-US" w:eastAsia="zh-CN"/>
              </w:rPr>
            </w:pPr>
            <w:r>
              <w:rPr>
                <w:rFonts w:hint="eastAsia"/>
              </w:rPr>
              <w:t>此工序产生的污染物主要有：</w:t>
            </w:r>
            <w:r>
              <w:rPr>
                <w:rFonts w:hint="eastAsia"/>
                <w:u w:val="single"/>
              </w:rPr>
              <w:t>噪声N</w:t>
            </w:r>
            <w:r>
              <w:rPr>
                <w:rFonts w:hint="eastAsia"/>
                <w:u w:val="single"/>
                <w:lang w:eastAsia="zh-CN"/>
              </w:rPr>
              <w:t>。</w:t>
            </w:r>
          </w:p>
          <w:p w14:paraId="6A6DD81A">
            <w:pPr>
              <w:pStyle w:val="51"/>
              <w:ind w:firstLine="482"/>
              <w:rPr>
                <w:rFonts w:hint="eastAsia"/>
                <w:b/>
                <w:bCs/>
              </w:rPr>
            </w:pPr>
          </w:p>
          <w:p w14:paraId="1D08EA32">
            <w:pPr>
              <w:pStyle w:val="51"/>
              <w:ind w:firstLine="482"/>
              <w:rPr>
                <w:rFonts w:hint="eastAsia"/>
                <w:b/>
                <w:bCs/>
              </w:rPr>
            </w:pPr>
          </w:p>
          <w:p w14:paraId="1D33AB98">
            <w:pPr>
              <w:pStyle w:val="51"/>
              <w:ind w:firstLine="482"/>
              <w:rPr>
                <w:rFonts w:hint="eastAsia"/>
                <w:b/>
                <w:bCs/>
              </w:rPr>
            </w:pPr>
          </w:p>
          <w:p w14:paraId="0956B7D2">
            <w:pPr>
              <w:pStyle w:val="51"/>
              <w:ind w:firstLine="482"/>
              <w:rPr>
                <w:rFonts w:hint="eastAsia"/>
                <w:b/>
                <w:bCs/>
              </w:rPr>
            </w:pPr>
          </w:p>
          <w:p w14:paraId="76D85B8A">
            <w:pPr>
              <w:pStyle w:val="51"/>
              <w:ind w:firstLine="482"/>
              <w:rPr>
                <w:rFonts w:hint="eastAsia"/>
                <w:b/>
                <w:bCs/>
              </w:rPr>
            </w:pPr>
          </w:p>
          <w:p w14:paraId="2A9A98A4">
            <w:pPr>
              <w:pStyle w:val="51"/>
              <w:ind w:firstLine="482"/>
              <w:rPr>
                <w:rFonts w:hint="eastAsia"/>
                <w:b/>
                <w:bCs/>
              </w:rPr>
            </w:pPr>
          </w:p>
          <w:p w14:paraId="1DC76115">
            <w:pPr>
              <w:pStyle w:val="51"/>
              <w:ind w:firstLine="482"/>
              <w:rPr>
                <w:rFonts w:hint="eastAsia"/>
                <w:b/>
                <w:bCs/>
              </w:rPr>
            </w:pPr>
          </w:p>
          <w:p w14:paraId="4A31BBB7">
            <w:pPr>
              <w:pStyle w:val="51"/>
              <w:ind w:firstLine="482"/>
              <w:rPr>
                <w:rFonts w:hint="eastAsia"/>
                <w:b/>
                <w:bCs/>
              </w:rPr>
            </w:pPr>
          </w:p>
          <w:p w14:paraId="2BA1E77D">
            <w:pPr>
              <w:pStyle w:val="51"/>
              <w:ind w:firstLine="482"/>
              <w:rPr>
                <w:rFonts w:hint="default" w:eastAsia="宋体"/>
                <w:b/>
                <w:bCs/>
                <w:lang w:val="en-US" w:eastAsia="zh-CN"/>
              </w:rPr>
            </w:pPr>
            <w:r>
              <w:rPr>
                <w:rFonts w:hint="eastAsia"/>
                <w:b/>
                <w:bCs/>
              </w:rPr>
              <w:t>（</w:t>
            </w:r>
            <w:r>
              <w:rPr>
                <w:rFonts w:hint="eastAsia"/>
                <w:b/>
                <w:bCs/>
                <w:lang w:val="en-US" w:eastAsia="zh-CN"/>
              </w:rPr>
              <w:t>2</w:t>
            </w:r>
            <w:r>
              <w:rPr>
                <w:rFonts w:hint="eastAsia"/>
                <w:b/>
                <w:bCs/>
              </w:rPr>
              <w:t>）</w:t>
            </w:r>
            <w:r>
              <w:rPr>
                <w:rFonts w:hint="eastAsia"/>
                <w:b/>
                <w:bCs/>
                <w:lang w:val="en-US" w:eastAsia="zh-CN"/>
              </w:rPr>
              <w:t>COB灯带</w:t>
            </w:r>
          </w:p>
          <w:p w14:paraId="2C7DA8E1">
            <w:pPr>
              <w:pStyle w:val="51"/>
              <w:ind w:left="0" w:leftChars="0" w:firstLine="0" w:firstLineChars="0"/>
              <w:jc w:val="center"/>
            </w:pPr>
            <w:r>
              <w:object>
                <v:shape id="_x0000_i1027" o:spt="75" type="#_x0000_t75" style="height:456.15pt;width:217.6pt;" o:ole="t" filled="f" o:preferrelative="t" stroked="f" coordsize="21600,21600">
                  <v:path/>
                  <v:fill on="f" focussize="0,0"/>
                  <v:stroke on="f"/>
                  <v:imagedata r:id="rId18" o:title=""/>
                  <o:lock v:ext="edit" aspectratio="f"/>
                  <w10:wrap type="none"/>
                  <w10:anchorlock/>
                </v:shape>
                <o:OLEObject Type="Embed" ProgID="Visio.Drawing.15" ShapeID="_x0000_i1027" DrawAspect="Content" ObjectID="_1468075727" r:id="rId17">
                  <o:LockedField>false</o:LockedField>
                </o:OLEObject>
              </w:object>
            </w:r>
          </w:p>
          <w:p w14:paraId="6EE7D171">
            <w:pPr>
              <w:pStyle w:val="51"/>
              <w:ind w:firstLine="480"/>
            </w:pPr>
            <w:r>
              <w:rPr>
                <w:rFonts w:hint="eastAsia"/>
                <w:b/>
                <w:bCs/>
                <w:sz w:val="18"/>
                <w:szCs w:val="18"/>
                <w:lang w:val="en-US" w:eastAsia="zh-CN"/>
              </w:rPr>
              <w:t>注：G2回流焊废气，G3手工焊废气，G4投料粉尘，G5固化废气，S1废包装材料，S3废包装物（纸箱、塑料等），S4焊渣，S5不合格品，S6废胶布纸，N噪声</w:t>
            </w:r>
          </w:p>
          <w:p w14:paraId="1BB345FE">
            <w:pPr>
              <w:pStyle w:val="57"/>
            </w:pPr>
            <w:r>
              <w:rPr>
                <w:rFonts w:hint="eastAsia"/>
              </w:rPr>
              <w:t>图2</w:t>
            </w:r>
            <w:r>
              <w:t xml:space="preserve">-4  </w:t>
            </w:r>
            <w:r>
              <w:rPr>
                <w:rFonts w:hint="eastAsia"/>
                <w:lang w:val="en-US" w:eastAsia="zh-CN"/>
              </w:rPr>
              <w:t>COB灯带</w:t>
            </w:r>
            <w:r>
              <w:rPr>
                <w:rFonts w:hint="eastAsia"/>
              </w:rPr>
              <w:t>工艺流程及产污节点图</w:t>
            </w:r>
          </w:p>
          <w:p w14:paraId="48EB0896">
            <w:pPr>
              <w:pStyle w:val="51"/>
              <w:ind w:firstLine="0" w:firstLineChars="0"/>
              <w:rPr>
                <w:b/>
                <w:bCs/>
              </w:rPr>
            </w:pPr>
            <w:r>
              <w:rPr>
                <w:rFonts w:hint="eastAsia"/>
                <w:b/>
                <w:bCs/>
              </w:rPr>
              <w:t>工艺流程说明：</w:t>
            </w:r>
          </w:p>
          <w:p w14:paraId="65B45850">
            <w:pPr>
              <w:pStyle w:val="51"/>
              <w:numPr>
                <w:ilvl w:val="0"/>
                <w:numId w:val="0"/>
              </w:numPr>
              <w:ind w:firstLine="482" w:firstLineChars="200"/>
              <w:rPr>
                <w:rFonts w:hint="eastAsia"/>
                <w:b w:val="0"/>
                <w:bCs w:val="0"/>
                <w:lang w:val="en-US" w:eastAsia="zh-CN"/>
              </w:rPr>
            </w:pPr>
            <w:r>
              <w:rPr>
                <w:rFonts w:hint="eastAsia" w:cs="Times New Roman"/>
                <w:b/>
                <w:bCs/>
                <w:kern w:val="0"/>
                <w:sz w:val="24"/>
                <w:szCs w:val="24"/>
                <w:lang w:val="en-US" w:eastAsia="zh-CN" w:bidi="ar-SA"/>
              </w:rPr>
              <w:t>①</w:t>
            </w:r>
            <w:r>
              <w:rPr>
                <w:rFonts w:hint="eastAsia"/>
                <w:b/>
                <w:bCs/>
                <w:lang w:val="en-US" w:eastAsia="zh-CN"/>
              </w:rPr>
              <w:t>固晶：</w:t>
            </w:r>
            <w:r>
              <w:rPr>
                <w:rFonts w:hint="eastAsia"/>
                <w:b w:val="0"/>
                <w:bCs w:val="0"/>
                <w:lang w:val="en-US" w:eastAsia="zh-CN"/>
              </w:rPr>
              <w:t>固晶的作用是固定晶片及电阻。使用固晶机设置固晶编程，在柔性PCB板上的特定位置进行自动点锡，将电阻片、晶片贴装到柔性PCB板上点锡的位置。该工序在常温下进行，无铅锡膏中的挥发性物料主要是松香、氢溴酸、辛二酸、乙二醇，‌松香的沸点约300℃，氢溴酸的沸点约126℃，辛二酸的沸点约230℃，乙二醇的沸点约197.4℃，因此锡膏在常温下基本不挥发，锡膏中的挥发份主要在回流焊高温焊接工序挥发。</w:t>
            </w:r>
          </w:p>
          <w:p w14:paraId="2D0DE9D6">
            <w:pPr>
              <w:pStyle w:val="51"/>
              <w:numPr>
                <w:ilvl w:val="0"/>
                <w:numId w:val="0"/>
              </w:numPr>
              <w:ind w:firstLine="480" w:firstLineChars="200"/>
              <w:rPr>
                <w:rFonts w:hint="eastAsia"/>
                <w:b w:val="0"/>
                <w:bCs w:val="0"/>
                <w:color w:val="000000" w:themeColor="text1"/>
                <w:lang w:val="en-US" w:eastAsia="zh-CN"/>
                <w14:textFill>
                  <w14:solidFill>
                    <w14:schemeClr w14:val="tx1"/>
                  </w14:solidFill>
                </w14:textFill>
              </w:rPr>
            </w:pPr>
            <w:r>
              <w:rPr>
                <w:rFonts w:hint="eastAsia"/>
              </w:rPr>
              <w:t>此工序产生的污染物主要：</w:t>
            </w:r>
            <w:r>
              <w:rPr>
                <w:rFonts w:hint="eastAsia"/>
                <w:color w:val="000000" w:themeColor="text1"/>
                <w:u w:val="single"/>
                <w14:textFill>
                  <w14:solidFill>
                    <w14:schemeClr w14:val="tx1"/>
                  </w14:solidFill>
                </w14:textFill>
              </w:rPr>
              <w:t>废包装材料S</w:t>
            </w:r>
            <w:r>
              <w:rPr>
                <w:rFonts w:hint="eastAsia"/>
                <w:color w:val="000000" w:themeColor="text1"/>
                <w:u w:val="single"/>
                <w:lang w:val="en-US" w:eastAsia="zh-CN"/>
                <w14:textFill>
                  <w14:solidFill>
                    <w14:schemeClr w14:val="tx1"/>
                  </w14:solidFill>
                </w14:textFill>
              </w:rPr>
              <w:t>1</w:t>
            </w:r>
            <w:r>
              <w:rPr>
                <w:rFonts w:hint="eastAsia"/>
                <w:color w:val="000000" w:themeColor="text1"/>
                <w:u w:val="none"/>
                <w14:textFill>
                  <w14:solidFill>
                    <w14:schemeClr w14:val="tx1"/>
                  </w14:solidFill>
                </w14:textFill>
              </w:rPr>
              <w:t>、</w:t>
            </w:r>
            <w:r>
              <w:rPr>
                <w:rFonts w:hint="eastAsia"/>
                <w:color w:val="000000" w:themeColor="text1"/>
                <w:u w:val="single"/>
                <w:lang w:eastAsia="zh-CN"/>
                <w14:textFill>
                  <w14:solidFill>
                    <w14:schemeClr w14:val="tx1"/>
                  </w14:solidFill>
                </w14:textFill>
              </w:rPr>
              <w:t>废包装物（纸箱、塑料等）</w:t>
            </w:r>
            <w:r>
              <w:rPr>
                <w:rFonts w:hint="eastAsia"/>
                <w:color w:val="000000" w:themeColor="text1"/>
                <w:u w:val="single"/>
                <w:lang w:val="en-US" w:eastAsia="zh-CN"/>
                <w14:textFill>
                  <w14:solidFill>
                    <w14:schemeClr w14:val="tx1"/>
                  </w14:solidFill>
                </w14:textFill>
              </w:rPr>
              <w:t>S3</w:t>
            </w:r>
            <w:r>
              <w:rPr>
                <w:rFonts w:hint="eastAsia"/>
                <w:color w:val="000000" w:themeColor="text1"/>
                <w14:textFill>
                  <w14:solidFill>
                    <w14:schemeClr w14:val="tx1"/>
                  </w14:solidFill>
                </w14:textFill>
              </w:rPr>
              <w:t>和</w:t>
            </w:r>
            <w:r>
              <w:rPr>
                <w:rFonts w:hint="eastAsia"/>
                <w:color w:val="000000" w:themeColor="text1"/>
                <w:u w:val="single"/>
                <w14:textFill>
                  <w14:solidFill>
                    <w14:schemeClr w14:val="tx1"/>
                  </w14:solidFill>
                </w14:textFill>
              </w:rPr>
              <w:t>噪声N</w:t>
            </w:r>
            <w:r>
              <w:rPr>
                <w:rFonts w:hint="eastAsia"/>
                <w:color w:val="000000" w:themeColor="text1"/>
                <w14:textFill>
                  <w14:solidFill>
                    <w14:schemeClr w14:val="tx1"/>
                  </w14:solidFill>
                </w14:textFill>
              </w:rPr>
              <w:t>。</w:t>
            </w:r>
          </w:p>
          <w:p w14:paraId="3956032C">
            <w:pPr>
              <w:pStyle w:val="51"/>
              <w:ind w:firstLine="480"/>
              <w:rPr>
                <w:rFonts w:hint="eastAsia"/>
                <w:lang w:val="en-US" w:eastAsia="zh-CN"/>
              </w:rPr>
            </w:pPr>
            <w:r>
              <w:rPr>
                <w:rFonts w:hint="eastAsia" w:cs="Times New Roman"/>
                <w:b/>
                <w:bCs/>
                <w:kern w:val="0"/>
                <w:sz w:val="24"/>
                <w:szCs w:val="24"/>
                <w:lang w:val="en-US" w:eastAsia="zh-CN" w:bidi="ar-SA"/>
              </w:rPr>
              <w:t>②</w:t>
            </w:r>
            <w:r>
              <w:rPr>
                <w:rFonts w:hint="eastAsia"/>
                <w:b/>
                <w:bCs/>
                <w:lang w:val="en-US" w:eastAsia="zh-CN"/>
              </w:rPr>
              <w:t>回流焊：</w:t>
            </w:r>
            <w:r>
              <w:rPr>
                <w:rFonts w:hint="eastAsia"/>
                <w:lang w:val="en-US" w:eastAsia="zh-CN"/>
              </w:rPr>
              <w:t>固晶后的PCB板进入回流焊机进行焊接，回流焊机采用电加热。PCB板进入回流焊炉首先进入预热区，预热温度为150℃~180℃，预热时间为60s~120s，目的是使PCB板均匀受热；随后进入回流区，温度为235℃~260℃，停留时间为20s~50s，此时锡膏中的助焊剂充分挥发，PCB板引脚、锡膏和焊盘之间由于熔化锡膏在高温下形成介质化合物，实现持久焊接；最后PCB板进入冷却区，通过电冷将PCB板冷却至30℃～45℃。锡膏中的挥发份在回流焊高温焊接工序中完全挥发。</w:t>
            </w:r>
          </w:p>
          <w:p w14:paraId="0CBB0B67">
            <w:pPr>
              <w:pStyle w:val="51"/>
              <w:ind w:firstLine="480"/>
            </w:pPr>
            <w:r>
              <w:rPr>
                <w:rFonts w:hint="eastAsia"/>
                <w:lang w:val="en-US" w:eastAsia="zh-CN"/>
              </w:rPr>
              <w:t>此工序产生的污染物主要有：</w:t>
            </w:r>
            <w:r>
              <w:rPr>
                <w:rFonts w:hint="eastAsia"/>
                <w:u w:val="single"/>
                <w:lang w:val="en-US" w:eastAsia="zh-CN"/>
              </w:rPr>
              <w:t>回流焊废气G2</w:t>
            </w:r>
            <w:r>
              <w:rPr>
                <w:rFonts w:hint="eastAsia"/>
                <w:u w:val="none"/>
                <w:lang w:val="en-US" w:eastAsia="zh-CN"/>
              </w:rPr>
              <w:t>、</w:t>
            </w:r>
            <w:r>
              <w:rPr>
                <w:rFonts w:hint="eastAsia"/>
                <w:u w:val="single"/>
                <w:lang w:val="en-US" w:eastAsia="zh-CN"/>
              </w:rPr>
              <w:t>焊渣S4</w:t>
            </w:r>
            <w:r>
              <w:rPr>
                <w:rFonts w:hint="eastAsia"/>
                <w:u w:val="none"/>
                <w:lang w:val="en-US" w:eastAsia="zh-CN"/>
              </w:rPr>
              <w:t>和</w:t>
            </w:r>
            <w:r>
              <w:rPr>
                <w:rFonts w:hint="eastAsia"/>
                <w:u w:val="single"/>
                <w:lang w:val="en-US" w:eastAsia="zh-CN"/>
              </w:rPr>
              <w:t>噪声N。</w:t>
            </w:r>
          </w:p>
          <w:p w14:paraId="602CA344">
            <w:pPr>
              <w:pStyle w:val="51"/>
              <w:numPr>
                <w:ilvl w:val="0"/>
                <w:numId w:val="0"/>
              </w:numPr>
              <w:ind w:left="0" w:leftChars="0" w:firstLine="482" w:firstLineChars="200"/>
              <w:rPr>
                <w:rFonts w:hint="eastAsia"/>
                <w:lang w:val="en-US" w:eastAsia="zh-CN"/>
              </w:rPr>
            </w:pPr>
            <w:r>
              <w:rPr>
                <w:rFonts w:hint="eastAsia" w:cs="Times New Roman"/>
                <w:b/>
                <w:bCs/>
                <w:kern w:val="0"/>
                <w:sz w:val="24"/>
                <w:szCs w:val="24"/>
                <w:lang w:val="en-US" w:eastAsia="zh-CN" w:bidi="ar-SA"/>
              </w:rPr>
              <w:t>③</w:t>
            </w:r>
            <w:r>
              <w:rPr>
                <w:rFonts w:hint="eastAsia"/>
                <w:b/>
                <w:bCs/>
                <w:lang w:val="en-US" w:eastAsia="zh-CN"/>
              </w:rPr>
              <w:t>AOI检测、维修：</w:t>
            </w:r>
            <w:r>
              <w:rPr>
                <w:rFonts w:hint="eastAsia"/>
                <w:lang w:val="en-US" w:eastAsia="zh-CN"/>
              </w:rPr>
              <w:t>使用AOI测试仪对焊接后的产品进行光学性能性能检测。此过程属于物理检测，不涉及化学试剂和化学反应。对检测不合格品通过人工焊接的方式进行维修。</w:t>
            </w:r>
          </w:p>
          <w:p w14:paraId="66DB7853">
            <w:pPr>
              <w:pStyle w:val="51"/>
              <w:ind w:firstLine="480"/>
            </w:pPr>
            <w:r>
              <w:rPr>
                <w:rFonts w:hint="eastAsia"/>
                <w:lang w:val="en-US" w:eastAsia="zh-CN"/>
              </w:rPr>
              <w:t>此工序产生的污染物主要有：</w:t>
            </w:r>
            <w:r>
              <w:rPr>
                <w:rFonts w:hint="eastAsia"/>
                <w:u w:val="single"/>
                <w:lang w:val="en-US" w:eastAsia="zh-CN"/>
              </w:rPr>
              <w:t>手工焊废气G3</w:t>
            </w:r>
            <w:r>
              <w:rPr>
                <w:rFonts w:hint="eastAsia"/>
                <w:lang w:val="en-US" w:eastAsia="zh-CN"/>
              </w:rPr>
              <w:t>、</w:t>
            </w:r>
            <w:r>
              <w:rPr>
                <w:rFonts w:hint="eastAsia"/>
                <w:u w:val="single"/>
                <w:lang w:val="en-US" w:eastAsia="zh-CN"/>
              </w:rPr>
              <w:t>废包装物（纸箱、塑料等）S3</w:t>
            </w:r>
            <w:r>
              <w:rPr>
                <w:rFonts w:hint="eastAsia"/>
                <w:lang w:val="en-US" w:eastAsia="zh-CN"/>
              </w:rPr>
              <w:t>和</w:t>
            </w:r>
            <w:r>
              <w:rPr>
                <w:rFonts w:hint="eastAsia"/>
                <w:u w:val="single"/>
                <w:lang w:val="en-US" w:eastAsia="zh-CN"/>
              </w:rPr>
              <w:t>噪声N。</w:t>
            </w:r>
          </w:p>
          <w:p w14:paraId="5788ACE8">
            <w:pPr>
              <w:pStyle w:val="51"/>
              <w:numPr>
                <w:ilvl w:val="0"/>
                <w:numId w:val="0"/>
              </w:numPr>
              <w:ind w:left="0" w:leftChars="0" w:firstLine="482" w:firstLineChars="200"/>
              <w:rPr>
                <w:rFonts w:hint="default"/>
                <w:lang w:val="en-US" w:eastAsia="zh-CN"/>
              </w:rPr>
            </w:pPr>
            <w:r>
              <w:rPr>
                <w:rFonts w:hint="eastAsia" w:cs="Times New Roman"/>
                <w:b/>
                <w:bCs/>
                <w:kern w:val="0"/>
                <w:sz w:val="24"/>
                <w:szCs w:val="24"/>
                <w:lang w:val="en-US" w:eastAsia="zh-CN" w:bidi="ar-SA"/>
              </w:rPr>
              <w:t>④</w:t>
            </w:r>
            <w:r>
              <w:rPr>
                <w:rFonts w:hint="eastAsia"/>
                <w:b/>
                <w:bCs/>
                <w:lang w:val="en-US" w:eastAsia="zh-CN"/>
              </w:rPr>
              <w:t>配粉：</w:t>
            </w:r>
            <w:r>
              <w:rPr>
                <w:rFonts w:hint="eastAsia"/>
                <w:b w:val="0"/>
                <w:bCs w:val="0"/>
                <w:color w:val="FF0000"/>
                <w:lang w:val="en-US" w:eastAsia="zh-CN"/>
              </w:rPr>
              <w:t>本项目配粉工序所使用的粉料为荧光粉，人工将荧光粉、硅胶（液态）按比例投入搅拌机内，进料料斗口设有保护罩，然后封闭搅拌机使荧光粉和硅胶于搅拌机内搅拌均匀，仅在投料时产生少量的投料粉尘。</w:t>
            </w:r>
            <w:r>
              <w:rPr>
                <w:rFonts w:hint="eastAsia"/>
                <w:lang w:val="en-US" w:eastAsia="zh-CN"/>
              </w:rPr>
              <w:t>配粉在常温下进行，所使用硅胶主要成分为聚硅氧烷和碳酸钙，其沸点分别为182℃和800℃，因此硅胶在常温下基本不挥发。</w:t>
            </w:r>
          </w:p>
          <w:p w14:paraId="22DF3D15">
            <w:pPr>
              <w:pStyle w:val="51"/>
              <w:ind w:firstLine="480"/>
            </w:pPr>
            <w:r>
              <w:rPr>
                <w:rFonts w:hint="eastAsia"/>
                <w:lang w:val="en-US" w:eastAsia="zh-CN"/>
              </w:rPr>
              <w:t>此工序产生的污染物主要有：</w:t>
            </w:r>
            <w:r>
              <w:rPr>
                <w:rFonts w:hint="eastAsia"/>
                <w:u w:val="single"/>
                <w:lang w:val="en-US" w:eastAsia="zh-CN"/>
              </w:rPr>
              <w:t>投料粉尘G4</w:t>
            </w:r>
            <w:r>
              <w:rPr>
                <w:rFonts w:hint="eastAsia"/>
                <w:lang w:val="en-US" w:eastAsia="zh-CN"/>
              </w:rPr>
              <w:t>、</w:t>
            </w:r>
            <w:r>
              <w:rPr>
                <w:rFonts w:hint="eastAsia"/>
                <w:color w:val="000000" w:themeColor="text1"/>
                <w:u w:val="single"/>
                <w14:textFill>
                  <w14:solidFill>
                    <w14:schemeClr w14:val="tx1"/>
                  </w14:solidFill>
                </w14:textFill>
              </w:rPr>
              <w:t>废包装材料S</w:t>
            </w:r>
            <w:r>
              <w:rPr>
                <w:rFonts w:hint="eastAsia"/>
                <w:color w:val="000000" w:themeColor="text1"/>
                <w:u w:val="single"/>
                <w:lang w:val="en-US" w:eastAsia="zh-CN"/>
                <w14:textFill>
                  <w14:solidFill>
                    <w14:schemeClr w14:val="tx1"/>
                  </w14:solidFill>
                </w14:textFill>
              </w:rPr>
              <w:t>1</w:t>
            </w:r>
            <w:r>
              <w:rPr>
                <w:rFonts w:hint="eastAsia"/>
                <w:color w:val="000000" w:themeColor="text1"/>
                <w:u w:val="none"/>
                <w14:textFill>
                  <w14:solidFill>
                    <w14:schemeClr w14:val="tx1"/>
                  </w14:solidFill>
                </w14:textFill>
              </w:rPr>
              <w:t>、</w:t>
            </w:r>
            <w:r>
              <w:rPr>
                <w:rFonts w:hint="eastAsia"/>
                <w:u w:val="single"/>
                <w:lang w:val="en-US" w:eastAsia="zh-CN"/>
              </w:rPr>
              <w:t>废包装物（纸箱、塑料等）S3</w:t>
            </w:r>
            <w:r>
              <w:rPr>
                <w:rFonts w:hint="eastAsia"/>
                <w:lang w:val="en-US" w:eastAsia="zh-CN"/>
              </w:rPr>
              <w:t>和</w:t>
            </w:r>
            <w:r>
              <w:rPr>
                <w:rFonts w:hint="eastAsia"/>
                <w:u w:val="single"/>
                <w:lang w:val="en-US" w:eastAsia="zh-CN"/>
              </w:rPr>
              <w:t>噪声N。</w:t>
            </w:r>
          </w:p>
          <w:p w14:paraId="00BCEAC2">
            <w:pPr>
              <w:pStyle w:val="51"/>
              <w:numPr>
                <w:ilvl w:val="0"/>
                <w:numId w:val="0"/>
              </w:numPr>
              <w:ind w:left="0" w:leftChars="0" w:firstLine="482" w:firstLineChars="200"/>
              <w:rPr>
                <w:rFonts w:hint="eastAsia"/>
                <w:lang w:val="en-US" w:eastAsia="zh-CN"/>
              </w:rPr>
            </w:pPr>
            <w:r>
              <w:rPr>
                <w:rFonts w:hint="eastAsia" w:cs="Times New Roman"/>
                <w:b/>
                <w:bCs/>
                <w:kern w:val="0"/>
                <w:sz w:val="24"/>
                <w:szCs w:val="24"/>
                <w:lang w:val="en-US" w:eastAsia="zh-CN" w:bidi="ar-SA"/>
              </w:rPr>
              <w:t>⑤</w:t>
            </w:r>
            <w:r>
              <w:rPr>
                <w:rFonts w:hint="eastAsia"/>
                <w:b/>
                <w:bCs/>
                <w:lang w:val="en-US" w:eastAsia="zh-CN"/>
              </w:rPr>
              <w:t>点胶：</w:t>
            </w:r>
            <w:r>
              <w:rPr>
                <w:rFonts w:hint="eastAsia"/>
                <w:lang w:val="en-US" w:eastAsia="zh-CN"/>
              </w:rPr>
              <w:t>搅拌均匀的硅胶置于拉胶机中，将硅胶涂至经检测合格后的PCB板上，在此过程中硅胶在常温下不挥发，故在点胶工序无废气产生。</w:t>
            </w:r>
          </w:p>
          <w:p w14:paraId="181E53BB">
            <w:pPr>
              <w:pStyle w:val="51"/>
              <w:ind w:firstLine="480"/>
            </w:pPr>
            <w:r>
              <w:rPr>
                <w:rFonts w:hint="eastAsia"/>
                <w:lang w:val="en-US" w:eastAsia="zh-CN"/>
              </w:rPr>
              <w:t>此工序产生的污染物主要有：</w:t>
            </w:r>
            <w:r>
              <w:rPr>
                <w:rFonts w:hint="eastAsia"/>
                <w:u w:val="single"/>
                <w:lang w:val="en-US" w:eastAsia="zh-CN"/>
              </w:rPr>
              <w:t>噪声N。</w:t>
            </w:r>
          </w:p>
          <w:p w14:paraId="40A44CA4">
            <w:pPr>
              <w:pStyle w:val="51"/>
              <w:numPr>
                <w:ilvl w:val="0"/>
                <w:numId w:val="0"/>
              </w:numPr>
              <w:ind w:left="0" w:leftChars="0" w:firstLine="482" w:firstLineChars="200"/>
              <w:rPr>
                <w:rFonts w:hint="eastAsia"/>
                <w:lang w:val="en-US" w:eastAsia="zh-CN"/>
              </w:rPr>
            </w:pPr>
            <w:r>
              <w:rPr>
                <w:rFonts w:hint="eastAsia" w:cs="Times New Roman"/>
                <w:b/>
                <w:bCs/>
                <w:kern w:val="0"/>
                <w:sz w:val="24"/>
                <w:szCs w:val="24"/>
                <w:lang w:val="en-US" w:eastAsia="zh-CN" w:bidi="ar-SA"/>
              </w:rPr>
              <w:t>⑥</w:t>
            </w:r>
            <w:r>
              <w:rPr>
                <w:rFonts w:hint="eastAsia"/>
                <w:b/>
                <w:bCs/>
                <w:lang w:val="en-US" w:eastAsia="zh-CN"/>
              </w:rPr>
              <w:t>固化：</w:t>
            </w:r>
            <w:r>
              <w:rPr>
                <w:rFonts w:hint="eastAsia"/>
                <w:lang w:val="en-US" w:eastAsia="zh-CN"/>
              </w:rPr>
              <w:t>点胶后的PCB板送入隧道炉进行烘烤，使灯带与成型硅胶能更好的粘结，隧道炉密闭，烘烤过程使用电能，固化温度120-155℃，固化时间1.5h~4h，自然冷却。</w:t>
            </w:r>
          </w:p>
          <w:p w14:paraId="391E32EC">
            <w:pPr>
              <w:pStyle w:val="51"/>
              <w:ind w:firstLine="480"/>
            </w:pPr>
            <w:r>
              <w:rPr>
                <w:rFonts w:hint="eastAsia"/>
                <w:lang w:val="en-US" w:eastAsia="zh-CN"/>
              </w:rPr>
              <w:t>此工序产生的污染物主要有：</w:t>
            </w:r>
            <w:r>
              <w:rPr>
                <w:rFonts w:hint="eastAsia"/>
                <w:u w:val="single"/>
                <w:lang w:val="en-US" w:eastAsia="zh-CN"/>
              </w:rPr>
              <w:t>固化废气G5</w:t>
            </w:r>
            <w:r>
              <w:rPr>
                <w:rFonts w:hint="eastAsia"/>
                <w:lang w:val="en-US" w:eastAsia="zh-CN"/>
              </w:rPr>
              <w:t>和</w:t>
            </w:r>
            <w:r>
              <w:rPr>
                <w:rFonts w:hint="eastAsia"/>
                <w:u w:val="single"/>
                <w:lang w:val="en-US" w:eastAsia="zh-CN"/>
              </w:rPr>
              <w:t>噪声N。</w:t>
            </w:r>
          </w:p>
          <w:p w14:paraId="6F283439">
            <w:pPr>
              <w:pStyle w:val="51"/>
              <w:numPr>
                <w:ilvl w:val="0"/>
                <w:numId w:val="0"/>
              </w:numPr>
              <w:ind w:left="0" w:leftChars="0" w:firstLine="482" w:firstLineChars="200"/>
              <w:rPr>
                <w:rFonts w:hint="eastAsia"/>
                <w:lang w:val="en-US" w:eastAsia="zh-CN"/>
              </w:rPr>
            </w:pPr>
            <w:r>
              <w:rPr>
                <w:rFonts w:hint="eastAsia" w:cs="Times New Roman"/>
                <w:b/>
                <w:bCs/>
                <w:kern w:val="0"/>
                <w:sz w:val="24"/>
                <w:szCs w:val="24"/>
                <w:lang w:val="en-US" w:eastAsia="zh-CN" w:bidi="ar-SA"/>
              </w:rPr>
              <w:t>⑦</w:t>
            </w:r>
            <w:r>
              <w:rPr>
                <w:rFonts w:hint="eastAsia"/>
                <w:b/>
                <w:bCs/>
                <w:lang w:val="en-US" w:eastAsia="zh-CN"/>
              </w:rPr>
              <w:t>分光检测：</w:t>
            </w:r>
            <w:r>
              <w:rPr>
                <w:rFonts w:hint="eastAsia"/>
                <w:lang w:val="en-US" w:eastAsia="zh-CN"/>
              </w:rPr>
              <w:t>使用分光机对半成品COB灯带进行光电参数测试与分类，检测其光源的完好性。</w:t>
            </w:r>
          </w:p>
          <w:p w14:paraId="40519979">
            <w:pPr>
              <w:pStyle w:val="51"/>
              <w:ind w:firstLine="480"/>
            </w:pPr>
            <w:r>
              <w:rPr>
                <w:rFonts w:hint="eastAsia"/>
                <w:lang w:val="en-US" w:eastAsia="zh-CN"/>
              </w:rPr>
              <w:t>此工序产生的污染物主要有：</w:t>
            </w:r>
            <w:r>
              <w:rPr>
                <w:rFonts w:hint="eastAsia"/>
                <w:u w:val="single"/>
                <w:lang w:val="en-US" w:eastAsia="zh-CN"/>
              </w:rPr>
              <w:t>不合格品S5</w:t>
            </w:r>
            <w:r>
              <w:rPr>
                <w:rFonts w:hint="eastAsia"/>
                <w:lang w:val="en-US" w:eastAsia="zh-CN"/>
              </w:rPr>
              <w:t>和</w:t>
            </w:r>
            <w:r>
              <w:rPr>
                <w:rFonts w:hint="eastAsia"/>
                <w:u w:val="single"/>
                <w:lang w:val="en-US" w:eastAsia="zh-CN"/>
              </w:rPr>
              <w:t>噪声N。</w:t>
            </w:r>
          </w:p>
          <w:p w14:paraId="39E32007">
            <w:pPr>
              <w:pStyle w:val="51"/>
              <w:numPr>
                <w:ilvl w:val="0"/>
                <w:numId w:val="0"/>
              </w:numPr>
              <w:ind w:left="0" w:leftChars="0" w:firstLine="482" w:firstLineChars="200"/>
              <w:rPr>
                <w:rFonts w:hint="eastAsia"/>
                <w:lang w:val="en-US" w:eastAsia="zh-CN"/>
              </w:rPr>
            </w:pPr>
            <w:r>
              <w:rPr>
                <w:rFonts w:hint="eastAsia"/>
                <w:b/>
                <w:bCs/>
                <w:lang w:val="en-US" w:eastAsia="zh-CN"/>
              </w:rPr>
              <w:t>⑧分板：</w:t>
            </w:r>
            <w:r>
              <w:rPr>
                <w:rFonts w:hint="eastAsia"/>
                <w:b w:val="0"/>
                <w:bCs w:val="0"/>
                <w:lang w:val="en-US" w:eastAsia="zh-CN"/>
              </w:rPr>
              <w:t>分光检测合格的</w:t>
            </w:r>
            <w:r>
              <w:rPr>
                <w:rFonts w:hint="eastAsia"/>
                <w:lang w:val="en-US" w:eastAsia="zh-CN"/>
              </w:rPr>
              <w:t>半成品进入分板机，由分板机上的刀片施加压力后裁切成所需长度，分板机上放置双面胶，分板的同时分板机将双面胶贴至PCB板上，该过程不加热不使用切割锯片，分板机配套的刀片十分锋利，裁切迅速，该过程基本不会产生粉尘。</w:t>
            </w:r>
          </w:p>
          <w:p w14:paraId="61F22DCF">
            <w:pPr>
              <w:pStyle w:val="51"/>
              <w:ind w:firstLine="480"/>
            </w:pPr>
            <w:r>
              <w:rPr>
                <w:rFonts w:hint="eastAsia"/>
                <w:lang w:val="en-US" w:eastAsia="zh-CN"/>
              </w:rPr>
              <w:t>此工序产生的污染物主要有：</w:t>
            </w:r>
            <w:r>
              <w:rPr>
                <w:rFonts w:hint="eastAsia"/>
                <w:u w:val="single"/>
                <w:lang w:val="en-US" w:eastAsia="zh-CN"/>
              </w:rPr>
              <w:t>废胶布纸S5</w:t>
            </w:r>
            <w:r>
              <w:rPr>
                <w:rFonts w:hint="eastAsia"/>
                <w:lang w:val="en-US" w:eastAsia="zh-CN"/>
              </w:rPr>
              <w:t>和</w:t>
            </w:r>
            <w:r>
              <w:rPr>
                <w:rFonts w:hint="eastAsia"/>
                <w:u w:val="single"/>
                <w:lang w:val="en-US" w:eastAsia="zh-CN"/>
              </w:rPr>
              <w:t>噪声N。</w:t>
            </w:r>
          </w:p>
          <w:p w14:paraId="232CC48A">
            <w:pPr>
              <w:pStyle w:val="51"/>
              <w:ind w:firstLine="480"/>
              <w:rPr>
                <w:rFonts w:hint="default" w:eastAsia="宋体"/>
                <w:lang w:val="en-US" w:eastAsia="zh-CN"/>
              </w:rPr>
            </w:pPr>
            <w:r>
              <w:rPr>
                <w:rFonts w:hint="eastAsia"/>
                <w:b/>
                <w:bCs/>
                <w:lang w:val="en-US" w:eastAsia="zh-CN"/>
              </w:rPr>
              <w:t>⑨焊线：</w:t>
            </w:r>
            <w:r>
              <w:rPr>
                <w:rFonts w:hint="eastAsia"/>
                <w:lang w:val="en-US" w:eastAsia="zh-CN"/>
              </w:rPr>
              <w:t>人工将分板后的PCB板加入线材（铜线），采用焊线机完成产品内外引线的连接工作。项目焊线机属于超声波热压焊，超声波热压焊是将工件加热并加压到足以产生宏观变形的一种固态焊，通过高频机械振动作用于工件表面，通过摩擦发热使温度达到工件熔点熔化，继而填充于接口间的空隙，当震动停止，工件同时在一定的压力下冷却定形，便达成完美的焊接。因此，焊线过程不会有粉尘产生。</w:t>
            </w:r>
          </w:p>
          <w:p w14:paraId="2D221A61">
            <w:pPr>
              <w:pStyle w:val="51"/>
              <w:ind w:firstLine="480"/>
            </w:pPr>
            <w:r>
              <w:rPr>
                <w:rFonts w:hint="eastAsia"/>
                <w:lang w:val="en-US" w:eastAsia="zh-CN"/>
              </w:rPr>
              <w:t>此工序产生的污染物主要有：</w:t>
            </w:r>
            <w:r>
              <w:rPr>
                <w:rFonts w:hint="eastAsia"/>
                <w:u w:val="single"/>
                <w:lang w:val="en-US" w:eastAsia="zh-CN"/>
              </w:rPr>
              <w:t>焊渣S4</w:t>
            </w:r>
            <w:r>
              <w:rPr>
                <w:rFonts w:hint="eastAsia"/>
                <w:lang w:val="en-US" w:eastAsia="zh-CN"/>
              </w:rPr>
              <w:t>和</w:t>
            </w:r>
            <w:r>
              <w:rPr>
                <w:rFonts w:hint="eastAsia"/>
                <w:u w:val="single"/>
                <w:lang w:val="en-US" w:eastAsia="zh-CN"/>
              </w:rPr>
              <w:t>噪声N。</w:t>
            </w:r>
          </w:p>
          <w:p w14:paraId="083D05A1">
            <w:pPr>
              <w:pStyle w:val="51"/>
              <w:ind w:firstLine="480"/>
              <w:rPr>
                <w:rFonts w:hint="default" w:eastAsia="宋体"/>
                <w:lang w:val="en-US" w:eastAsia="zh-CN"/>
              </w:rPr>
            </w:pPr>
            <w:r>
              <w:rPr>
                <w:rFonts w:hint="eastAsia"/>
                <w:b/>
                <w:bCs/>
                <w:lang w:val="en-US" w:eastAsia="zh-CN"/>
              </w:rPr>
              <w:t>⑩编带：</w:t>
            </w:r>
            <w:r>
              <w:rPr>
                <w:rFonts w:hint="eastAsia"/>
                <w:lang w:val="en-US" w:eastAsia="zh-CN"/>
              </w:rPr>
              <w:t>利用编带机进行编带，此工序目的是将灯带按照相同的方向装进载带中并通过高温热压盖上上封带，然后将编带后的材料按照一定的数量缠在卷盘上。</w:t>
            </w:r>
          </w:p>
          <w:p w14:paraId="2BE545F2">
            <w:pPr>
              <w:pStyle w:val="51"/>
              <w:ind w:firstLine="480"/>
            </w:pPr>
            <w:r>
              <w:rPr>
                <w:rFonts w:hint="eastAsia"/>
                <w:lang w:val="en-US" w:eastAsia="zh-CN"/>
              </w:rPr>
              <w:t>此工序产生的污染物主要有：</w:t>
            </w:r>
            <w:r>
              <w:rPr>
                <w:rFonts w:hint="eastAsia"/>
                <w:u w:val="single"/>
                <w:lang w:val="en-US" w:eastAsia="zh-CN"/>
              </w:rPr>
              <w:t>噪声N。</w:t>
            </w:r>
          </w:p>
          <w:p w14:paraId="5B58E3FF">
            <w:pPr>
              <w:pStyle w:val="51"/>
              <w:numPr>
                <w:ilvl w:val="0"/>
                <w:numId w:val="0"/>
              </w:numPr>
              <w:ind w:left="0" w:leftChars="0" w:firstLine="482" w:firstLineChars="200"/>
              <w:rPr>
                <w:rFonts w:hint="eastAsia"/>
                <w:lang w:val="en-US" w:eastAsia="zh-CN"/>
              </w:rPr>
            </w:pPr>
            <w:r>
              <w:rPr>
                <w:rFonts w:hint="eastAsia"/>
                <w:b/>
                <w:bCs/>
              </w:rPr>
              <w:t>⑪</w:t>
            </w:r>
            <w:r>
              <w:rPr>
                <w:rFonts w:hint="eastAsia"/>
                <w:b/>
                <w:bCs/>
                <w:lang w:val="en-US" w:eastAsia="zh-CN"/>
              </w:rPr>
              <w:t>包装入库：</w:t>
            </w:r>
            <w:r>
              <w:rPr>
                <w:rFonts w:hint="eastAsia"/>
                <w:lang w:val="en-US" w:eastAsia="zh-CN"/>
              </w:rPr>
              <w:t>将成品放到打包机上打包装箱，成品进入成品仓库。</w:t>
            </w:r>
          </w:p>
          <w:p w14:paraId="30CC171C">
            <w:pPr>
              <w:pStyle w:val="51"/>
              <w:ind w:firstLine="480"/>
              <w:rPr>
                <w:rFonts w:hint="eastAsia"/>
                <w:u w:val="single"/>
                <w:lang w:eastAsia="zh-CN"/>
              </w:rPr>
            </w:pPr>
            <w:r>
              <w:rPr>
                <w:rFonts w:hint="eastAsia"/>
              </w:rPr>
              <w:t>此工序产生的污染物主要有：</w:t>
            </w:r>
            <w:r>
              <w:rPr>
                <w:rFonts w:hint="eastAsia"/>
                <w:u w:val="single"/>
              </w:rPr>
              <w:t>噪声N</w:t>
            </w:r>
            <w:r>
              <w:rPr>
                <w:rFonts w:hint="eastAsia"/>
                <w:u w:val="single"/>
                <w:lang w:eastAsia="zh-CN"/>
              </w:rPr>
              <w:t>。</w:t>
            </w:r>
          </w:p>
          <w:p w14:paraId="447D17CD">
            <w:pPr>
              <w:keepNext w:val="0"/>
              <w:keepLines w:val="0"/>
              <w:suppressLineNumbers w:val="0"/>
              <w:adjustRightInd w:val="0"/>
              <w:snapToGrid w:val="0"/>
              <w:spacing w:before="0" w:beforeAutospacing="0" w:after="0" w:afterAutospacing="0" w:line="360" w:lineRule="auto"/>
              <w:ind w:left="0" w:right="0"/>
              <w:jc w:val="center"/>
              <w:rPr>
                <w:rFonts w:hint="default"/>
                <w:b/>
                <w:sz w:val="24"/>
              </w:rPr>
            </w:pPr>
            <w:r>
              <w:rPr>
                <w:rFonts w:hint="eastAsia"/>
                <w:b/>
                <w:bCs/>
                <w:kern w:val="0"/>
                <w:szCs w:val="21"/>
              </w:rPr>
              <w:t>表2-</w:t>
            </w:r>
            <w:r>
              <w:rPr>
                <w:rFonts w:hint="eastAsia"/>
                <w:b/>
                <w:bCs/>
                <w:kern w:val="0"/>
                <w:szCs w:val="21"/>
                <w:lang w:val="en-US" w:eastAsia="zh-CN"/>
              </w:rPr>
              <w:t>10</w:t>
            </w:r>
            <w:r>
              <w:rPr>
                <w:rFonts w:hint="eastAsia"/>
                <w:b/>
                <w:bCs/>
                <w:kern w:val="0"/>
                <w:szCs w:val="21"/>
              </w:rPr>
              <w:t xml:space="preserve">  主要污染源及污染因子</w:t>
            </w:r>
            <w:bookmarkStart w:id="5" w:name="污染因子"/>
            <w:bookmarkEnd w:id="5"/>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0"/>
              <w:gridCol w:w="918"/>
              <w:gridCol w:w="1926"/>
              <w:gridCol w:w="1651"/>
              <w:gridCol w:w="2865"/>
            </w:tblGrid>
            <w:tr w14:paraId="33B4B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523" w:type="pct"/>
                  <w:vAlign w:val="center"/>
                </w:tcPr>
                <w:p w14:paraId="26790583">
                  <w:pPr>
                    <w:keepNext w:val="0"/>
                    <w:keepLines w:val="0"/>
                    <w:suppressLineNumbers w:val="0"/>
                    <w:adjustRightInd w:val="0"/>
                    <w:snapToGrid w:val="0"/>
                    <w:spacing w:before="0" w:beforeAutospacing="0" w:after="0" w:afterAutospacing="0"/>
                    <w:ind w:left="0" w:right="0"/>
                    <w:jc w:val="center"/>
                    <w:rPr>
                      <w:rFonts w:hint="default"/>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污染类别</w:t>
                  </w:r>
                </w:p>
              </w:tc>
              <w:tc>
                <w:tcPr>
                  <w:tcW w:w="558" w:type="pct"/>
                  <w:vAlign w:val="center"/>
                </w:tcPr>
                <w:p w14:paraId="2AE0B8CD">
                  <w:pPr>
                    <w:keepNext w:val="0"/>
                    <w:keepLines w:val="0"/>
                    <w:suppressLineNumbers w:val="0"/>
                    <w:adjustRightInd w:val="0"/>
                    <w:snapToGrid w:val="0"/>
                    <w:spacing w:before="0" w:beforeAutospacing="0" w:after="0" w:afterAutospacing="0"/>
                    <w:ind w:left="0" w:right="0"/>
                    <w:jc w:val="center"/>
                    <w:rPr>
                      <w:rFonts w:hint="default"/>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编号</w:t>
                  </w:r>
                </w:p>
              </w:tc>
              <w:tc>
                <w:tcPr>
                  <w:tcW w:w="1171" w:type="pct"/>
                  <w:vAlign w:val="center"/>
                </w:tcPr>
                <w:p w14:paraId="23EB6FA0">
                  <w:pPr>
                    <w:keepNext w:val="0"/>
                    <w:keepLines w:val="0"/>
                    <w:suppressLineNumbers w:val="0"/>
                    <w:adjustRightInd w:val="0"/>
                    <w:snapToGrid w:val="0"/>
                    <w:spacing w:before="0" w:beforeAutospacing="0" w:after="0" w:afterAutospacing="0"/>
                    <w:ind w:left="0" w:right="0"/>
                    <w:jc w:val="center"/>
                    <w:rPr>
                      <w:rFonts w:hint="default"/>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污染源名称</w:t>
                  </w:r>
                </w:p>
              </w:tc>
              <w:tc>
                <w:tcPr>
                  <w:tcW w:w="1004" w:type="pct"/>
                  <w:vAlign w:val="center"/>
                </w:tcPr>
                <w:p w14:paraId="05448406">
                  <w:pPr>
                    <w:keepNext w:val="0"/>
                    <w:keepLines w:val="0"/>
                    <w:suppressLineNumbers w:val="0"/>
                    <w:adjustRightInd w:val="0"/>
                    <w:snapToGrid w:val="0"/>
                    <w:spacing w:before="0" w:beforeAutospacing="0" w:after="0" w:afterAutospacing="0"/>
                    <w:ind w:left="0" w:right="0"/>
                    <w:jc w:val="center"/>
                    <w:rPr>
                      <w:rFonts w:hint="default"/>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产生工序</w:t>
                  </w:r>
                </w:p>
              </w:tc>
              <w:tc>
                <w:tcPr>
                  <w:tcW w:w="1742" w:type="pct"/>
                  <w:vAlign w:val="center"/>
                </w:tcPr>
                <w:p w14:paraId="373B36FD">
                  <w:pPr>
                    <w:keepNext w:val="0"/>
                    <w:keepLines w:val="0"/>
                    <w:suppressLineNumbers w:val="0"/>
                    <w:adjustRightInd w:val="0"/>
                    <w:snapToGrid w:val="0"/>
                    <w:spacing w:before="0" w:beforeAutospacing="0" w:after="0" w:afterAutospacing="0"/>
                    <w:ind w:left="0" w:right="0"/>
                    <w:jc w:val="center"/>
                    <w:rPr>
                      <w:rFonts w:hint="default"/>
                      <w:b/>
                      <w:color w:val="000000" w:themeColor="text1"/>
                      <w:szCs w:val="21"/>
                      <w14:textFill>
                        <w14:solidFill>
                          <w14:schemeClr w14:val="tx1"/>
                        </w14:solidFill>
                      </w14:textFill>
                    </w:rPr>
                  </w:pPr>
                  <w:r>
                    <w:rPr>
                      <w:rFonts w:hint="eastAsia"/>
                      <w:b/>
                      <w:color w:val="000000" w:themeColor="text1"/>
                      <w:szCs w:val="21"/>
                      <w14:textFill>
                        <w14:solidFill>
                          <w14:schemeClr w14:val="tx1"/>
                        </w14:solidFill>
                      </w14:textFill>
                    </w:rPr>
                    <w:t>污染因子</w:t>
                  </w:r>
                </w:p>
              </w:tc>
            </w:tr>
            <w:tr w14:paraId="63048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3" w:type="pct"/>
                  <w:vMerge w:val="restart"/>
                  <w:vAlign w:val="center"/>
                </w:tcPr>
                <w:p w14:paraId="2E0944A1">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废气</w:t>
                  </w:r>
                </w:p>
              </w:tc>
              <w:tc>
                <w:tcPr>
                  <w:tcW w:w="558" w:type="pct"/>
                  <w:vAlign w:val="center"/>
                </w:tcPr>
                <w:p w14:paraId="00AAD1BF">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G1</w:t>
                  </w:r>
                </w:p>
              </w:tc>
              <w:tc>
                <w:tcPr>
                  <w:tcW w:w="1171" w:type="pct"/>
                  <w:vAlign w:val="center"/>
                </w:tcPr>
                <w:p w14:paraId="4A5F1B33">
                  <w:pPr>
                    <w:keepNext w:val="0"/>
                    <w:keepLines w:val="0"/>
                    <w:suppressLineNumbers w:val="0"/>
                    <w:adjustRightInd w:val="0"/>
                    <w:snapToGrid w:val="0"/>
                    <w:spacing w:before="0" w:beforeAutospacing="0" w:after="0" w:afterAutospacing="0"/>
                    <w:ind w:left="0" w:right="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擦拭废气</w:t>
                  </w:r>
                </w:p>
              </w:tc>
              <w:tc>
                <w:tcPr>
                  <w:tcW w:w="1004" w:type="pct"/>
                  <w:vAlign w:val="center"/>
                </w:tcPr>
                <w:p w14:paraId="6E3D124D">
                  <w:pPr>
                    <w:keepNext w:val="0"/>
                    <w:keepLines w:val="0"/>
                    <w:suppressLineNumbers w:val="0"/>
                    <w:adjustRightInd w:val="0"/>
                    <w:snapToGrid w:val="0"/>
                    <w:spacing w:before="0" w:beforeAutospacing="0" w:after="0" w:afterAutospacing="0"/>
                    <w:ind w:left="0" w:right="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锡膏涂覆</w:t>
                  </w:r>
                </w:p>
              </w:tc>
              <w:tc>
                <w:tcPr>
                  <w:tcW w:w="1742" w:type="pct"/>
                  <w:vAlign w:val="center"/>
                </w:tcPr>
                <w:p w14:paraId="31560C1D">
                  <w:pPr>
                    <w:keepNext w:val="0"/>
                    <w:keepLines w:val="0"/>
                    <w:suppressLineNumbers w:val="0"/>
                    <w:adjustRightInd w:val="0"/>
                    <w:snapToGrid w:val="0"/>
                    <w:spacing w:before="0" w:beforeAutospacing="0" w:after="0" w:afterAutospacing="0"/>
                    <w:ind w:left="0" w:right="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非甲烷总烃</w:t>
                  </w:r>
                </w:p>
              </w:tc>
            </w:tr>
            <w:tr w14:paraId="03D3C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3" w:type="pct"/>
                  <w:vMerge w:val="continue"/>
                  <w:vAlign w:val="center"/>
                </w:tcPr>
                <w:p w14:paraId="05E9AD61">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p>
              </w:tc>
              <w:tc>
                <w:tcPr>
                  <w:tcW w:w="558" w:type="pct"/>
                  <w:vAlign w:val="center"/>
                </w:tcPr>
                <w:p w14:paraId="3592ED64">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G2</w:t>
                  </w:r>
                </w:p>
              </w:tc>
              <w:tc>
                <w:tcPr>
                  <w:tcW w:w="1171" w:type="pct"/>
                  <w:vAlign w:val="center"/>
                </w:tcPr>
                <w:p w14:paraId="6EA4FA3C">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回流焊废气</w:t>
                  </w:r>
                </w:p>
              </w:tc>
              <w:tc>
                <w:tcPr>
                  <w:tcW w:w="1004" w:type="pct"/>
                  <w:vAlign w:val="center"/>
                </w:tcPr>
                <w:p w14:paraId="58A60FE0">
                  <w:pPr>
                    <w:keepNext w:val="0"/>
                    <w:keepLines w:val="0"/>
                    <w:suppressLineNumbers w:val="0"/>
                    <w:adjustRightInd w:val="0"/>
                    <w:snapToGrid w:val="0"/>
                    <w:spacing w:before="0" w:beforeAutospacing="0" w:after="0" w:afterAutospacing="0"/>
                    <w:ind w:left="0" w:right="0"/>
                    <w:jc w:val="center"/>
                    <w:rPr>
                      <w:rFonts w:hint="eastAsia"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回流焊接</w:t>
                  </w:r>
                </w:p>
              </w:tc>
              <w:tc>
                <w:tcPr>
                  <w:tcW w:w="1742" w:type="pct"/>
                  <w:vAlign w:val="center"/>
                </w:tcPr>
                <w:p w14:paraId="619A9315">
                  <w:pPr>
                    <w:keepNext w:val="0"/>
                    <w:keepLines w:val="0"/>
                    <w:suppressLineNumbers w:val="0"/>
                    <w:adjustRightInd w:val="0"/>
                    <w:snapToGrid w:val="0"/>
                    <w:spacing w:before="0" w:beforeAutospacing="0" w:after="0" w:afterAutospacing="0"/>
                    <w:ind w:left="0" w:right="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14:textFill>
                        <w14:solidFill>
                          <w14:schemeClr w14:val="tx1"/>
                        </w14:solidFill>
                      </w14:textFill>
                    </w:rPr>
                    <w:t>非甲烷总烃、锡及其化合物</w:t>
                  </w:r>
                  <w:r>
                    <w:rPr>
                      <w:rFonts w:hint="eastAsia"/>
                      <w:bCs/>
                      <w:color w:val="000000" w:themeColor="text1"/>
                      <w:szCs w:val="21"/>
                      <w:lang w:eastAsia="zh-CN"/>
                      <w14:textFill>
                        <w14:solidFill>
                          <w14:schemeClr w14:val="tx1"/>
                        </w14:solidFill>
                      </w14:textFill>
                    </w:rPr>
                    <w:t>、</w:t>
                  </w:r>
                  <w:r>
                    <w:rPr>
                      <w:rFonts w:hint="eastAsia"/>
                      <w:bCs/>
                      <w:color w:val="000000" w:themeColor="text1"/>
                      <w:szCs w:val="21"/>
                      <w:lang w:val="en-US" w:eastAsia="zh-CN"/>
                      <w14:textFill>
                        <w14:solidFill>
                          <w14:schemeClr w14:val="tx1"/>
                        </w14:solidFill>
                      </w14:textFill>
                    </w:rPr>
                    <w:t>颗粒物</w:t>
                  </w:r>
                </w:p>
              </w:tc>
            </w:tr>
            <w:tr w14:paraId="4E06A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3" w:type="pct"/>
                  <w:vMerge w:val="continue"/>
                  <w:vAlign w:val="center"/>
                </w:tcPr>
                <w:p w14:paraId="2E21B4D9">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p>
              </w:tc>
              <w:tc>
                <w:tcPr>
                  <w:tcW w:w="558" w:type="pct"/>
                  <w:vAlign w:val="center"/>
                </w:tcPr>
                <w:p w14:paraId="552B9944">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G3</w:t>
                  </w:r>
                </w:p>
              </w:tc>
              <w:tc>
                <w:tcPr>
                  <w:tcW w:w="1171" w:type="pct"/>
                  <w:vAlign w:val="center"/>
                </w:tcPr>
                <w:p w14:paraId="1840BABF">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手工焊废气</w:t>
                  </w:r>
                </w:p>
              </w:tc>
              <w:tc>
                <w:tcPr>
                  <w:tcW w:w="1004" w:type="pct"/>
                  <w:vAlign w:val="center"/>
                </w:tcPr>
                <w:p w14:paraId="143AF574">
                  <w:pPr>
                    <w:keepNext w:val="0"/>
                    <w:keepLines w:val="0"/>
                    <w:suppressLineNumbers w:val="0"/>
                    <w:adjustRightInd w:val="0"/>
                    <w:snapToGrid w:val="0"/>
                    <w:spacing w:before="0" w:beforeAutospacing="0" w:after="0" w:afterAutospacing="0"/>
                    <w:ind w:left="0" w:right="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手工焊接</w:t>
                  </w:r>
                </w:p>
              </w:tc>
              <w:tc>
                <w:tcPr>
                  <w:tcW w:w="1742" w:type="pct"/>
                  <w:vAlign w:val="center"/>
                </w:tcPr>
                <w:p w14:paraId="0DBC79F3">
                  <w:pPr>
                    <w:keepNext w:val="0"/>
                    <w:keepLines w:val="0"/>
                    <w:suppressLineNumbers w:val="0"/>
                    <w:adjustRightInd w:val="0"/>
                    <w:snapToGrid w:val="0"/>
                    <w:spacing w:before="0" w:beforeAutospacing="0" w:after="0" w:afterAutospacing="0"/>
                    <w:ind w:left="0" w:right="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14:textFill>
                        <w14:solidFill>
                          <w14:schemeClr w14:val="tx1"/>
                        </w14:solidFill>
                      </w14:textFill>
                    </w:rPr>
                    <w:t>非甲烷总烃、锡及其化合物</w:t>
                  </w:r>
                  <w:r>
                    <w:rPr>
                      <w:rFonts w:hint="eastAsia"/>
                      <w:bCs/>
                      <w:color w:val="000000" w:themeColor="text1"/>
                      <w:szCs w:val="21"/>
                      <w:lang w:eastAsia="zh-CN"/>
                      <w14:textFill>
                        <w14:solidFill>
                          <w14:schemeClr w14:val="tx1"/>
                        </w14:solidFill>
                      </w14:textFill>
                    </w:rPr>
                    <w:t>、</w:t>
                  </w:r>
                  <w:r>
                    <w:rPr>
                      <w:rFonts w:hint="eastAsia"/>
                      <w:bCs/>
                      <w:color w:val="000000" w:themeColor="text1"/>
                      <w:szCs w:val="21"/>
                      <w:lang w:val="en-US" w:eastAsia="zh-CN"/>
                      <w14:textFill>
                        <w14:solidFill>
                          <w14:schemeClr w14:val="tx1"/>
                        </w14:solidFill>
                      </w14:textFill>
                    </w:rPr>
                    <w:t>颗粒物</w:t>
                  </w:r>
                </w:p>
              </w:tc>
            </w:tr>
            <w:tr w14:paraId="49B19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523" w:type="pct"/>
                  <w:vMerge w:val="continue"/>
                  <w:vAlign w:val="center"/>
                </w:tcPr>
                <w:p w14:paraId="6FA61356">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p>
              </w:tc>
              <w:tc>
                <w:tcPr>
                  <w:tcW w:w="558" w:type="pct"/>
                  <w:vAlign w:val="center"/>
                </w:tcPr>
                <w:p w14:paraId="15E49344">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G4</w:t>
                  </w:r>
                </w:p>
              </w:tc>
              <w:tc>
                <w:tcPr>
                  <w:tcW w:w="1171" w:type="pct"/>
                  <w:vAlign w:val="center"/>
                </w:tcPr>
                <w:p w14:paraId="29D57EB6">
                  <w:pPr>
                    <w:keepNext w:val="0"/>
                    <w:keepLines w:val="0"/>
                    <w:suppressLineNumbers w:val="0"/>
                    <w:adjustRightInd w:val="0"/>
                    <w:snapToGrid w:val="0"/>
                    <w:spacing w:before="0" w:beforeAutospacing="0" w:after="0" w:afterAutospacing="0"/>
                    <w:ind w:left="0" w:right="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投料粉尘</w:t>
                  </w:r>
                </w:p>
              </w:tc>
              <w:tc>
                <w:tcPr>
                  <w:tcW w:w="1004" w:type="pct"/>
                  <w:vAlign w:val="center"/>
                </w:tcPr>
                <w:p w14:paraId="6808EA6A">
                  <w:pPr>
                    <w:keepNext w:val="0"/>
                    <w:keepLines w:val="0"/>
                    <w:suppressLineNumbers w:val="0"/>
                    <w:adjustRightInd w:val="0"/>
                    <w:snapToGrid w:val="0"/>
                    <w:spacing w:before="0" w:beforeAutospacing="0" w:after="0" w:afterAutospacing="0"/>
                    <w:ind w:left="0" w:right="0"/>
                    <w:jc w:val="center"/>
                    <w:rPr>
                      <w:rFonts w:hint="eastAsia"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配粉</w:t>
                  </w:r>
                </w:p>
              </w:tc>
              <w:tc>
                <w:tcPr>
                  <w:tcW w:w="1742" w:type="pct"/>
                  <w:vAlign w:val="center"/>
                </w:tcPr>
                <w:p w14:paraId="6CF013CD">
                  <w:pPr>
                    <w:keepNext w:val="0"/>
                    <w:keepLines w:val="0"/>
                    <w:suppressLineNumbers w:val="0"/>
                    <w:adjustRightInd w:val="0"/>
                    <w:snapToGrid w:val="0"/>
                    <w:spacing w:before="0" w:beforeAutospacing="0" w:after="0" w:afterAutospacing="0"/>
                    <w:ind w:left="0" w:right="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颗粒物</w:t>
                  </w:r>
                </w:p>
              </w:tc>
            </w:tr>
            <w:tr w14:paraId="1D4D9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523" w:type="pct"/>
                  <w:vMerge w:val="continue"/>
                  <w:vAlign w:val="center"/>
                </w:tcPr>
                <w:p w14:paraId="36283EC1">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p>
              </w:tc>
              <w:tc>
                <w:tcPr>
                  <w:tcW w:w="558" w:type="pct"/>
                  <w:vAlign w:val="center"/>
                </w:tcPr>
                <w:p w14:paraId="57B71B05">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G5</w:t>
                  </w:r>
                </w:p>
              </w:tc>
              <w:tc>
                <w:tcPr>
                  <w:tcW w:w="1171" w:type="pct"/>
                  <w:vAlign w:val="center"/>
                </w:tcPr>
                <w:p w14:paraId="0E59A790">
                  <w:pPr>
                    <w:keepNext w:val="0"/>
                    <w:keepLines w:val="0"/>
                    <w:suppressLineNumbers w:val="0"/>
                    <w:adjustRightInd w:val="0"/>
                    <w:snapToGrid w:val="0"/>
                    <w:spacing w:before="0" w:beforeAutospacing="0" w:after="0" w:afterAutospacing="0"/>
                    <w:ind w:left="0" w:right="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固化废气</w:t>
                  </w:r>
                </w:p>
              </w:tc>
              <w:tc>
                <w:tcPr>
                  <w:tcW w:w="1004" w:type="pct"/>
                  <w:vAlign w:val="center"/>
                </w:tcPr>
                <w:p w14:paraId="21E28543">
                  <w:pPr>
                    <w:keepNext w:val="0"/>
                    <w:keepLines w:val="0"/>
                    <w:suppressLineNumbers w:val="0"/>
                    <w:adjustRightInd w:val="0"/>
                    <w:snapToGrid w:val="0"/>
                    <w:spacing w:before="0" w:beforeAutospacing="0" w:after="0" w:afterAutospacing="0"/>
                    <w:ind w:left="0" w:right="0"/>
                    <w:jc w:val="center"/>
                    <w:rPr>
                      <w:rFonts w:hint="eastAsia"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固化</w:t>
                  </w:r>
                </w:p>
              </w:tc>
              <w:tc>
                <w:tcPr>
                  <w:tcW w:w="1742" w:type="pct"/>
                  <w:vAlign w:val="center"/>
                </w:tcPr>
                <w:p w14:paraId="3C3EAC78">
                  <w:pPr>
                    <w:keepNext w:val="0"/>
                    <w:keepLines w:val="0"/>
                    <w:suppressLineNumbers w:val="0"/>
                    <w:adjustRightInd w:val="0"/>
                    <w:snapToGrid w:val="0"/>
                    <w:spacing w:before="0" w:beforeAutospacing="0" w:after="0" w:afterAutospacing="0"/>
                    <w:ind w:left="0" w:right="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14:textFill>
                        <w14:solidFill>
                          <w14:schemeClr w14:val="tx1"/>
                        </w14:solidFill>
                      </w14:textFill>
                    </w:rPr>
                    <w:t>非甲烷总烃</w:t>
                  </w:r>
                </w:p>
              </w:tc>
            </w:tr>
            <w:tr w14:paraId="03294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3" w:type="pct"/>
                  <w:vAlign w:val="center"/>
                </w:tcPr>
                <w:p w14:paraId="351D7B71">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废水</w:t>
                  </w:r>
                </w:p>
              </w:tc>
              <w:tc>
                <w:tcPr>
                  <w:tcW w:w="558" w:type="pct"/>
                  <w:vAlign w:val="center"/>
                </w:tcPr>
                <w:p w14:paraId="12743685">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W1</w:t>
                  </w:r>
                </w:p>
              </w:tc>
              <w:tc>
                <w:tcPr>
                  <w:tcW w:w="1171" w:type="pct"/>
                  <w:vAlign w:val="center"/>
                </w:tcPr>
                <w:p w14:paraId="65191A94">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生活污水</w:t>
                  </w:r>
                </w:p>
              </w:tc>
              <w:tc>
                <w:tcPr>
                  <w:tcW w:w="1004" w:type="pct"/>
                  <w:vAlign w:val="center"/>
                </w:tcPr>
                <w:p w14:paraId="77CAFA69">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员工生活</w:t>
                  </w:r>
                </w:p>
              </w:tc>
              <w:tc>
                <w:tcPr>
                  <w:tcW w:w="1742" w:type="pct"/>
                  <w:vAlign w:val="center"/>
                </w:tcPr>
                <w:p w14:paraId="45613D41">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COD、BOD</w:t>
                  </w:r>
                  <w:r>
                    <w:rPr>
                      <w:rFonts w:hint="eastAsia"/>
                      <w:bCs/>
                      <w:color w:val="000000" w:themeColor="text1"/>
                      <w:szCs w:val="21"/>
                      <w:vertAlign w:val="subscript"/>
                      <w14:textFill>
                        <w14:solidFill>
                          <w14:schemeClr w14:val="tx1"/>
                        </w14:solidFill>
                      </w14:textFill>
                    </w:rPr>
                    <w:t>5</w:t>
                  </w:r>
                  <w:r>
                    <w:rPr>
                      <w:rFonts w:hint="eastAsia"/>
                      <w:bCs/>
                      <w:color w:val="000000" w:themeColor="text1"/>
                      <w:szCs w:val="21"/>
                      <w14:textFill>
                        <w14:solidFill>
                          <w14:schemeClr w14:val="tx1"/>
                        </w14:solidFill>
                      </w14:textFill>
                    </w:rPr>
                    <w:t>、SS、NH</w:t>
                  </w:r>
                  <w:r>
                    <w:rPr>
                      <w:rFonts w:hint="eastAsia"/>
                      <w:bCs/>
                      <w:color w:val="000000" w:themeColor="text1"/>
                      <w:szCs w:val="21"/>
                      <w:vertAlign w:val="subscript"/>
                      <w14:textFill>
                        <w14:solidFill>
                          <w14:schemeClr w14:val="tx1"/>
                        </w14:solidFill>
                      </w14:textFill>
                    </w:rPr>
                    <w:t>3</w:t>
                  </w:r>
                  <w:r>
                    <w:rPr>
                      <w:rFonts w:hint="eastAsia"/>
                      <w:bCs/>
                      <w:color w:val="000000" w:themeColor="text1"/>
                      <w:szCs w:val="21"/>
                      <w14:textFill>
                        <w14:solidFill>
                          <w14:schemeClr w14:val="tx1"/>
                        </w14:solidFill>
                      </w14:textFill>
                    </w:rPr>
                    <w:t>-N、TP、TN</w:t>
                  </w:r>
                </w:p>
              </w:tc>
            </w:tr>
            <w:tr w14:paraId="0F2EE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3" w:type="pct"/>
                  <w:vAlign w:val="center"/>
                </w:tcPr>
                <w:p w14:paraId="7628DCE5">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噪声</w:t>
                  </w:r>
                </w:p>
              </w:tc>
              <w:tc>
                <w:tcPr>
                  <w:tcW w:w="558" w:type="pct"/>
                  <w:vAlign w:val="center"/>
                </w:tcPr>
                <w:p w14:paraId="337CE02F">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N</w:t>
                  </w:r>
                </w:p>
              </w:tc>
              <w:tc>
                <w:tcPr>
                  <w:tcW w:w="1171" w:type="pct"/>
                  <w:vAlign w:val="center"/>
                </w:tcPr>
                <w:p w14:paraId="4B25A311">
                  <w:pPr>
                    <w:keepNext w:val="0"/>
                    <w:keepLines w:val="0"/>
                    <w:suppressLineNumbers w:val="0"/>
                    <w:adjustRightInd w:val="0"/>
                    <w:snapToGrid w:val="0"/>
                    <w:spacing w:before="0" w:beforeAutospacing="0" w:after="0" w:afterAutospacing="0"/>
                    <w:ind w:left="0" w:right="0"/>
                    <w:jc w:val="center"/>
                    <w:rPr>
                      <w:rFonts w:hint="eastAsia" w:eastAsia="宋体"/>
                      <w:bCs/>
                      <w:color w:val="000000" w:themeColor="text1"/>
                      <w:szCs w:val="21"/>
                      <w:lang w:eastAsia="zh-CN"/>
                      <w14:textFill>
                        <w14:solidFill>
                          <w14:schemeClr w14:val="tx1"/>
                        </w14:solidFill>
                      </w14:textFill>
                    </w:rPr>
                  </w:pPr>
                  <w:r>
                    <w:rPr>
                      <w:rFonts w:hint="eastAsia"/>
                      <w:bCs/>
                      <w:color w:val="000000" w:themeColor="text1"/>
                      <w:szCs w:val="21"/>
                      <w14:textFill>
                        <w14:solidFill>
                          <w14:schemeClr w14:val="tx1"/>
                        </w14:solidFill>
                      </w14:textFill>
                    </w:rPr>
                    <w:t>生产设备噪声</w:t>
                  </w:r>
                </w:p>
              </w:tc>
              <w:tc>
                <w:tcPr>
                  <w:tcW w:w="1004" w:type="pct"/>
                  <w:vAlign w:val="center"/>
                </w:tcPr>
                <w:p w14:paraId="01BFC5E6">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default"/>
                      <w:bCs/>
                      <w:color w:val="000000" w:themeColor="text1"/>
                      <w:szCs w:val="21"/>
                      <w14:textFill>
                        <w14:solidFill>
                          <w14:schemeClr w14:val="tx1"/>
                        </w14:solidFill>
                      </w14:textFill>
                    </w:rPr>
                    <w:t>设备运转噪声</w:t>
                  </w:r>
                </w:p>
              </w:tc>
              <w:tc>
                <w:tcPr>
                  <w:tcW w:w="1742" w:type="pct"/>
                  <w:vAlign w:val="center"/>
                </w:tcPr>
                <w:p w14:paraId="1A05E71B">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机械噪声</w:t>
                  </w:r>
                </w:p>
              </w:tc>
            </w:tr>
            <w:tr w14:paraId="6971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523" w:type="pct"/>
                  <w:vMerge w:val="restart"/>
                  <w:vAlign w:val="center"/>
                </w:tcPr>
                <w:p w14:paraId="28B813EA">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固体废物</w:t>
                  </w:r>
                </w:p>
              </w:tc>
              <w:tc>
                <w:tcPr>
                  <w:tcW w:w="558" w:type="pct"/>
                  <w:vAlign w:val="center"/>
                </w:tcPr>
                <w:p w14:paraId="526B8200">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S1</w:t>
                  </w:r>
                </w:p>
              </w:tc>
              <w:tc>
                <w:tcPr>
                  <w:tcW w:w="1171" w:type="pct"/>
                  <w:vAlign w:val="center"/>
                </w:tcPr>
                <w:p w14:paraId="233341CE">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废包装材料</w:t>
                  </w:r>
                </w:p>
              </w:tc>
              <w:tc>
                <w:tcPr>
                  <w:tcW w:w="1004" w:type="pct"/>
                  <w:vAlign w:val="center"/>
                </w:tcPr>
                <w:p w14:paraId="59122E3E">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原料使用</w:t>
                  </w:r>
                </w:p>
              </w:tc>
              <w:tc>
                <w:tcPr>
                  <w:tcW w:w="1742" w:type="pct"/>
                  <w:vAlign w:val="center"/>
                </w:tcPr>
                <w:p w14:paraId="3204C5EC">
                  <w:pPr>
                    <w:keepNext w:val="0"/>
                    <w:keepLines w:val="0"/>
                    <w:suppressLineNumbers w:val="0"/>
                    <w:adjustRightInd w:val="0"/>
                    <w:snapToGrid w:val="0"/>
                    <w:spacing w:before="0" w:beforeAutospacing="0" w:after="0" w:afterAutospacing="0"/>
                    <w:ind w:left="0" w:right="0"/>
                    <w:jc w:val="center"/>
                    <w:rPr>
                      <w:rFonts w:hint="default"/>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r w14:paraId="38007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523" w:type="pct"/>
                  <w:vMerge w:val="continue"/>
                  <w:vAlign w:val="center"/>
                </w:tcPr>
                <w:p w14:paraId="275DE50F">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p>
              </w:tc>
              <w:tc>
                <w:tcPr>
                  <w:tcW w:w="558" w:type="pct"/>
                  <w:vAlign w:val="center"/>
                </w:tcPr>
                <w:p w14:paraId="243AD80D">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S2</w:t>
                  </w:r>
                </w:p>
              </w:tc>
              <w:tc>
                <w:tcPr>
                  <w:tcW w:w="1171" w:type="pct"/>
                  <w:vAlign w:val="center"/>
                </w:tcPr>
                <w:p w14:paraId="2F9A1C36">
                  <w:pPr>
                    <w:keepNext w:val="0"/>
                    <w:keepLines w:val="0"/>
                    <w:suppressLineNumbers w:val="0"/>
                    <w:adjustRightInd w:val="0"/>
                    <w:snapToGrid w:val="0"/>
                    <w:spacing w:before="0" w:beforeAutospacing="0" w:after="0" w:afterAutospacing="0"/>
                    <w:ind w:left="0" w:right="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废擦拭纸</w:t>
                  </w:r>
                </w:p>
              </w:tc>
              <w:tc>
                <w:tcPr>
                  <w:tcW w:w="1004" w:type="pct"/>
                  <w:vAlign w:val="center"/>
                </w:tcPr>
                <w:p w14:paraId="34CE9B57">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修整</w:t>
                  </w:r>
                </w:p>
              </w:tc>
              <w:tc>
                <w:tcPr>
                  <w:tcW w:w="1742" w:type="pct"/>
                  <w:vAlign w:val="center"/>
                </w:tcPr>
                <w:p w14:paraId="6A396A2B">
                  <w:pPr>
                    <w:keepNext w:val="0"/>
                    <w:keepLines w:val="0"/>
                    <w:suppressLineNumbers w:val="0"/>
                    <w:adjustRightInd w:val="0"/>
                    <w:snapToGrid w:val="0"/>
                    <w:spacing w:before="0" w:beforeAutospacing="0" w:after="0" w:afterAutospacing="0"/>
                    <w:ind w:left="0" w:right="0"/>
                    <w:jc w:val="center"/>
                    <w:rPr>
                      <w:rFonts w:hint="default"/>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r w14:paraId="50A9F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523" w:type="pct"/>
                  <w:vMerge w:val="continue"/>
                  <w:vAlign w:val="center"/>
                </w:tcPr>
                <w:p w14:paraId="36228AF9">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p>
              </w:tc>
              <w:tc>
                <w:tcPr>
                  <w:tcW w:w="558" w:type="pct"/>
                  <w:vAlign w:val="center"/>
                </w:tcPr>
                <w:p w14:paraId="2D4C19F9">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S3</w:t>
                  </w:r>
                </w:p>
              </w:tc>
              <w:tc>
                <w:tcPr>
                  <w:tcW w:w="1171" w:type="pct"/>
                  <w:vAlign w:val="center"/>
                </w:tcPr>
                <w:p w14:paraId="2DE0D808">
                  <w:pPr>
                    <w:keepNext w:val="0"/>
                    <w:keepLines w:val="0"/>
                    <w:suppressLineNumbers w:val="0"/>
                    <w:adjustRightInd w:val="0"/>
                    <w:snapToGrid w:val="0"/>
                    <w:spacing w:before="0" w:beforeAutospacing="0" w:after="0" w:afterAutospacing="0"/>
                    <w:ind w:left="0" w:right="0"/>
                    <w:jc w:val="center"/>
                    <w:rPr>
                      <w:rFonts w:hint="eastAsia" w:eastAsia="宋体"/>
                      <w:bCs/>
                      <w:color w:val="000000" w:themeColor="text1"/>
                      <w:szCs w:val="21"/>
                      <w:lang w:eastAsia="zh-CN"/>
                      <w14:textFill>
                        <w14:solidFill>
                          <w14:schemeClr w14:val="tx1"/>
                        </w14:solidFill>
                      </w14:textFill>
                    </w:rPr>
                  </w:pPr>
                  <w:r>
                    <w:rPr>
                      <w:rFonts w:hint="eastAsia"/>
                      <w:bCs/>
                      <w:color w:val="000000" w:themeColor="text1"/>
                      <w:szCs w:val="21"/>
                      <w:lang w:eastAsia="zh-CN"/>
                      <w14:textFill>
                        <w14:solidFill>
                          <w14:schemeClr w14:val="tx1"/>
                        </w14:solidFill>
                      </w14:textFill>
                    </w:rPr>
                    <w:t>废包装物（纸箱、塑料等）</w:t>
                  </w:r>
                </w:p>
              </w:tc>
              <w:tc>
                <w:tcPr>
                  <w:tcW w:w="1004" w:type="pct"/>
                  <w:vAlign w:val="center"/>
                </w:tcPr>
                <w:p w14:paraId="44D234AD">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原料使用</w:t>
                  </w:r>
                </w:p>
              </w:tc>
              <w:tc>
                <w:tcPr>
                  <w:tcW w:w="1742" w:type="pct"/>
                  <w:vAlign w:val="center"/>
                </w:tcPr>
                <w:p w14:paraId="224D62BC">
                  <w:pPr>
                    <w:keepNext w:val="0"/>
                    <w:keepLines w:val="0"/>
                    <w:suppressLineNumbers w:val="0"/>
                    <w:adjustRightInd w:val="0"/>
                    <w:snapToGrid w:val="0"/>
                    <w:spacing w:before="0" w:beforeAutospacing="0" w:after="0" w:afterAutospacing="0"/>
                    <w:ind w:left="0" w:right="0"/>
                    <w:jc w:val="center"/>
                    <w:rPr>
                      <w:rFonts w:hint="default"/>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r w14:paraId="598AB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523" w:type="pct"/>
                  <w:vMerge w:val="continue"/>
                  <w:vAlign w:val="center"/>
                </w:tcPr>
                <w:p w14:paraId="025AE515">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p>
              </w:tc>
              <w:tc>
                <w:tcPr>
                  <w:tcW w:w="558" w:type="pct"/>
                  <w:vAlign w:val="center"/>
                </w:tcPr>
                <w:p w14:paraId="049C3793">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S4</w:t>
                  </w:r>
                </w:p>
              </w:tc>
              <w:tc>
                <w:tcPr>
                  <w:tcW w:w="1171" w:type="pct"/>
                  <w:vAlign w:val="center"/>
                </w:tcPr>
                <w:p w14:paraId="019E8AFE">
                  <w:pPr>
                    <w:keepNext w:val="0"/>
                    <w:keepLines w:val="0"/>
                    <w:suppressLineNumbers w:val="0"/>
                    <w:adjustRightInd w:val="0"/>
                    <w:snapToGrid w:val="0"/>
                    <w:spacing w:before="0" w:beforeAutospacing="0" w:after="0" w:afterAutospacing="0"/>
                    <w:ind w:left="0" w:right="0"/>
                    <w:jc w:val="center"/>
                    <w:rPr>
                      <w:rFonts w:hint="eastAsia" w:eastAsia="宋体"/>
                      <w:bCs/>
                      <w:color w:val="000000" w:themeColor="text1"/>
                      <w:szCs w:val="21"/>
                      <w:lang w:eastAsia="zh-CN"/>
                      <w14:textFill>
                        <w14:solidFill>
                          <w14:schemeClr w14:val="tx1"/>
                        </w14:solidFill>
                      </w14:textFill>
                    </w:rPr>
                  </w:pPr>
                  <w:r>
                    <w:rPr>
                      <w:rFonts w:hint="eastAsia" w:eastAsia="宋体"/>
                      <w:bCs/>
                      <w:color w:val="000000" w:themeColor="text1"/>
                      <w:szCs w:val="21"/>
                      <w:lang w:val="en-US" w:eastAsia="zh-CN"/>
                      <w14:textFill>
                        <w14:solidFill>
                          <w14:schemeClr w14:val="tx1"/>
                        </w14:solidFill>
                      </w14:textFill>
                    </w:rPr>
                    <w:t>焊渣</w:t>
                  </w:r>
                </w:p>
              </w:tc>
              <w:tc>
                <w:tcPr>
                  <w:tcW w:w="1004" w:type="pct"/>
                  <w:vAlign w:val="center"/>
                </w:tcPr>
                <w:p w14:paraId="6FE6ED46">
                  <w:pPr>
                    <w:keepNext w:val="0"/>
                    <w:keepLines w:val="0"/>
                    <w:suppressLineNumbers w:val="0"/>
                    <w:adjustRightInd w:val="0"/>
                    <w:snapToGrid w:val="0"/>
                    <w:spacing w:before="0" w:beforeAutospacing="0" w:after="0" w:afterAutospacing="0"/>
                    <w:ind w:left="0" w:right="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回流</w:t>
                  </w:r>
                  <w:r>
                    <w:rPr>
                      <w:rFonts w:hint="eastAsia"/>
                      <w:bCs/>
                      <w:color w:val="000000" w:themeColor="text1"/>
                      <w:szCs w:val="21"/>
                      <w14:textFill>
                        <w14:solidFill>
                          <w14:schemeClr w14:val="tx1"/>
                        </w14:solidFill>
                      </w14:textFill>
                    </w:rPr>
                    <w:t>焊接</w:t>
                  </w:r>
                  <w:r>
                    <w:rPr>
                      <w:rFonts w:hint="eastAsia"/>
                      <w:bCs/>
                      <w:color w:val="000000" w:themeColor="text1"/>
                      <w:szCs w:val="21"/>
                      <w:lang w:eastAsia="zh-CN"/>
                      <w14:textFill>
                        <w14:solidFill>
                          <w14:schemeClr w14:val="tx1"/>
                        </w14:solidFill>
                      </w14:textFill>
                    </w:rPr>
                    <w:t>、</w:t>
                  </w:r>
                  <w:r>
                    <w:rPr>
                      <w:rFonts w:hint="eastAsia"/>
                      <w:bCs/>
                      <w:color w:val="000000" w:themeColor="text1"/>
                      <w:szCs w:val="21"/>
                      <w:lang w:val="en-US" w:eastAsia="zh-CN"/>
                      <w14:textFill>
                        <w14:solidFill>
                          <w14:schemeClr w14:val="tx1"/>
                        </w14:solidFill>
                      </w14:textFill>
                    </w:rPr>
                    <w:t>焊线</w:t>
                  </w:r>
                </w:p>
              </w:tc>
              <w:tc>
                <w:tcPr>
                  <w:tcW w:w="1742" w:type="pct"/>
                  <w:vAlign w:val="center"/>
                </w:tcPr>
                <w:p w14:paraId="31EA2C16">
                  <w:pPr>
                    <w:keepNext w:val="0"/>
                    <w:keepLines w:val="0"/>
                    <w:suppressLineNumbers w:val="0"/>
                    <w:adjustRightInd w:val="0"/>
                    <w:snapToGrid w:val="0"/>
                    <w:spacing w:before="0" w:beforeAutospacing="0" w:after="0" w:afterAutospacing="0"/>
                    <w:ind w:left="0" w:right="0"/>
                    <w:jc w:val="center"/>
                    <w:rPr>
                      <w:rFonts w:hint="default"/>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r w14:paraId="60969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523" w:type="pct"/>
                  <w:vMerge w:val="continue"/>
                  <w:vAlign w:val="center"/>
                </w:tcPr>
                <w:p w14:paraId="51104B55">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p>
              </w:tc>
              <w:tc>
                <w:tcPr>
                  <w:tcW w:w="558" w:type="pct"/>
                  <w:vAlign w:val="center"/>
                </w:tcPr>
                <w:p w14:paraId="5648DD54">
                  <w:pPr>
                    <w:keepNext w:val="0"/>
                    <w:keepLines w:val="0"/>
                    <w:suppressLineNumbers w:val="0"/>
                    <w:adjustRightInd w:val="0"/>
                    <w:snapToGrid w:val="0"/>
                    <w:spacing w:before="0" w:beforeAutospacing="0" w:after="0" w:afterAutospacing="0"/>
                    <w:ind w:left="0" w:right="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S5</w:t>
                  </w:r>
                </w:p>
              </w:tc>
              <w:tc>
                <w:tcPr>
                  <w:tcW w:w="1171" w:type="pct"/>
                  <w:vAlign w:val="center"/>
                </w:tcPr>
                <w:p w14:paraId="6C1EED9D">
                  <w:pPr>
                    <w:keepNext w:val="0"/>
                    <w:keepLines w:val="0"/>
                    <w:suppressLineNumbers w:val="0"/>
                    <w:adjustRightInd w:val="0"/>
                    <w:snapToGrid w:val="0"/>
                    <w:spacing w:before="0" w:beforeAutospacing="0" w:after="0" w:afterAutospacing="0"/>
                    <w:ind w:left="0" w:right="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不合格品</w:t>
                  </w:r>
                </w:p>
              </w:tc>
              <w:tc>
                <w:tcPr>
                  <w:tcW w:w="1004" w:type="pct"/>
                  <w:vAlign w:val="center"/>
                </w:tcPr>
                <w:p w14:paraId="404761BF">
                  <w:pPr>
                    <w:keepNext w:val="0"/>
                    <w:keepLines w:val="0"/>
                    <w:suppressLineNumbers w:val="0"/>
                    <w:adjustRightInd w:val="0"/>
                    <w:snapToGrid w:val="0"/>
                    <w:spacing w:before="0" w:beforeAutospacing="0" w:after="0" w:afterAutospacing="0"/>
                    <w:ind w:left="0" w:right="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检测</w:t>
                  </w:r>
                </w:p>
              </w:tc>
              <w:tc>
                <w:tcPr>
                  <w:tcW w:w="1742" w:type="pct"/>
                  <w:vAlign w:val="center"/>
                </w:tcPr>
                <w:p w14:paraId="1039B13A">
                  <w:pPr>
                    <w:keepNext w:val="0"/>
                    <w:keepLines w:val="0"/>
                    <w:suppressLineNumbers w:val="0"/>
                    <w:adjustRightInd w:val="0"/>
                    <w:snapToGrid w:val="0"/>
                    <w:spacing w:before="0" w:beforeAutospacing="0" w:after="0" w:afterAutospacing="0"/>
                    <w:ind w:left="0" w:right="0"/>
                    <w:jc w:val="center"/>
                    <w:rPr>
                      <w:rFonts w:hint="eastAsia"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r>
            <w:tr w14:paraId="243D8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523" w:type="pct"/>
                  <w:vMerge w:val="continue"/>
                  <w:vAlign w:val="center"/>
                </w:tcPr>
                <w:p w14:paraId="14EF8D7B">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p>
              </w:tc>
              <w:tc>
                <w:tcPr>
                  <w:tcW w:w="558" w:type="pct"/>
                  <w:vAlign w:val="center"/>
                </w:tcPr>
                <w:p w14:paraId="1AA651CB">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S6</w:t>
                  </w:r>
                </w:p>
              </w:tc>
              <w:tc>
                <w:tcPr>
                  <w:tcW w:w="1171" w:type="pct"/>
                  <w:vAlign w:val="center"/>
                </w:tcPr>
                <w:p w14:paraId="474C6325">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废胶布纸</w:t>
                  </w:r>
                </w:p>
              </w:tc>
              <w:tc>
                <w:tcPr>
                  <w:tcW w:w="1004" w:type="pct"/>
                  <w:vAlign w:val="center"/>
                </w:tcPr>
                <w:p w14:paraId="4ED5DD09">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分板</w:t>
                  </w:r>
                </w:p>
              </w:tc>
              <w:tc>
                <w:tcPr>
                  <w:tcW w:w="1742" w:type="pct"/>
                  <w:vAlign w:val="center"/>
                </w:tcPr>
                <w:p w14:paraId="4CFDB934">
                  <w:pPr>
                    <w:keepNext w:val="0"/>
                    <w:keepLines w:val="0"/>
                    <w:suppressLineNumbers w:val="0"/>
                    <w:adjustRightInd w:val="0"/>
                    <w:snapToGrid w:val="0"/>
                    <w:spacing w:before="0" w:beforeAutospacing="0" w:after="0" w:afterAutospacing="0"/>
                    <w:ind w:left="0" w:right="0"/>
                    <w:jc w:val="center"/>
                    <w:rPr>
                      <w:rFonts w:hint="default"/>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r>
            <w:tr w14:paraId="3CF53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3" w:type="pct"/>
                  <w:vMerge w:val="continue"/>
                  <w:vAlign w:val="center"/>
                </w:tcPr>
                <w:p w14:paraId="352107D4">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p>
              </w:tc>
              <w:tc>
                <w:tcPr>
                  <w:tcW w:w="558" w:type="pct"/>
                  <w:vAlign w:val="center"/>
                </w:tcPr>
                <w:p w14:paraId="40E12720">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w:t>
                  </w:r>
                </w:p>
              </w:tc>
              <w:tc>
                <w:tcPr>
                  <w:tcW w:w="1171" w:type="pct"/>
                  <w:vAlign w:val="center"/>
                </w:tcPr>
                <w:p w14:paraId="3DC1A5C9">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废活性炭</w:t>
                  </w:r>
                </w:p>
              </w:tc>
              <w:tc>
                <w:tcPr>
                  <w:tcW w:w="1004" w:type="pct"/>
                  <w:vAlign w:val="center"/>
                </w:tcPr>
                <w:p w14:paraId="75A46006">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废气处理</w:t>
                  </w:r>
                </w:p>
              </w:tc>
              <w:tc>
                <w:tcPr>
                  <w:tcW w:w="1742" w:type="pct"/>
                  <w:vAlign w:val="center"/>
                </w:tcPr>
                <w:p w14:paraId="780E8A53">
                  <w:pPr>
                    <w:keepNext w:val="0"/>
                    <w:keepLines w:val="0"/>
                    <w:suppressLineNumbers w:val="0"/>
                    <w:adjustRightInd w:val="0"/>
                    <w:snapToGrid w:val="0"/>
                    <w:spacing w:before="0" w:beforeAutospacing="0" w:after="0" w:afterAutospacing="0"/>
                    <w:ind w:left="0" w:right="0"/>
                    <w:jc w:val="center"/>
                    <w:rPr>
                      <w:rFonts w:hint="default"/>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r w14:paraId="4B02B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3" w:type="pct"/>
                  <w:vMerge w:val="continue"/>
                  <w:vAlign w:val="center"/>
                </w:tcPr>
                <w:p w14:paraId="2EBBD804">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p>
              </w:tc>
              <w:tc>
                <w:tcPr>
                  <w:tcW w:w="558" w:type="pct"/>
                  <w:vAlign w:val="center"/>
                </w:tcPr>
                <w:p w14:paraId="25AF1272">
                  <w:pPr>
                    <w:keepNext w:val="0"/>
                    <w:keepLines w:val="0"/>
                    <w:suppressLineNumbers w:val="0"/>
                    <w:adjustRightInd w:val="0"/>
                    <w:snapToGrid w:val="0"/>
                    <w:spacing w:before="0" w:beforeAutospacing="0" w:after="0" w:afterAutospacing="0"/>
                    <w:ind w:left="0" w:right="0"/>
                    <w:jc w:val="center"/>
                    <w:rPr>
                      <w:rFonts w:hint="eastAsia"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w:t>
                  </w:r>
                </w:p>
              </w:tc>
              <w:tc>
                <w:tcPr>
                  <w:tcW w:w="1171" w:type="pct"/>
                  <w:vAlign w:val="center"/>
                </w:tcPr>
                <w:p w14:paraId="423CC49C">
                  <w:pPr>
                    <w:keepNext w:val="0"/>
                    <w:keepLines w:val="0"/>
                    <w:suppressLineNumbers w:val="0"/>
                    <w:adjustRightInd w:val="0"/>
                    <w:snapToGrid w:val="0"/>
                    <w:spacing w:before="0" w:beforeAutospacing="0" w:after="0" w:afterAutospacing="0"/>
                    <w:ind w:left="0" w:right="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废过滤棉</w:t>
                  </w:r>
                </w:p>
              </w:tc>
              <w:tc>
                <w:tcPr>
                  <w:tcW w:w="1004" w:type="pct"/>
                  <w:vAlign w:val="center"/>
                </w:tcPr>
                <w:p w14:paraId="1C40A14E">
                  <w:pPr>
                    <w:keepNext w:val="0"/>
                    <w:keepLines w:val="0"/>
                    <w:suppressLineNumbers w:val="0"/>
                    <w:adjustRightInd w:val="0"/>
                    <w:snapToGrid w:val="0"/>
                    <w:spacing w:before="0" w:beforeAutospacing="0" w:after="0" w:afterAutospacing="0"/>
                    <w:ind w:left="0" w:right="0"/>
                    <w:jc w:val="center"/>
                    <w:rPr>
                      <w:rFonts w:hint="default" w:eastAsia="宋体"/>
                      <w:bCs/>
                      <w:color w:val="000000" w:themeColor="text1"/>
                      <w:szCs w:val="21"/>
                      <w:lang w:val="en-US" w:eastAsia="zh-CN"/>
                      <w14:textFill>
                        <w14:solidFill>
                          <w14:schemeClr w14:val="tx1"/>
                        </w14:solidFill>
                      </w14:textFill>
                    </w:rPr>
                  </w:pPr>
                  <w:r>
                    <w:rPr>
                      <w:rFonts w:hint="eastAsia"/>
                      <w:bCs/>
                      <w:color w:val="000000" w:themeColor="text1"/>
                      <w:szCs w:val="21"/>
                      <w:lang w:val="en-US" w:eastAsia="zh-CN"/>
                      <w14:textFill>
                        <w14:solidFill>
                          <w14:schemeClr w14:val="tx1"/>
                        </w14:solidFill>
                      </w14:textFill>
                    </w:rPr>
                    <w:t>废气处理</w:t>
                  </w:r>
                </w:p>
              </w:tc>
              <w:tc>
                <w:tcPr>
                  <w:tcW w:w="1742" w:type="pct"/>
                  <w:vAlign w:val="center"/>
                </w:tcPr>
                <w:p w14:paraId="63C4266F">
                  <w:pPr>
                    <w:keepNext w:val="0"/>
                    <w:keepLines w:val="0"/>
                    <w:suppressLineNumbers w:val="0"/>
                    <w:adjustRightInd w:val="0"/>
                    <w:snapToGrid w:val="0"/>
                    <w:spacing w:before="0" w:beforeAutospacing="0" w:after="0" w:afterAutospacing="0"/>
                    <w:ind w:left="0" w:right="0"/>
                    <w:jc w:val="center"/>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w:t>
                  </w:r>
                </w:p>
              </w:tc>
            </w:tr>
            <w:tr w14:paraId="58166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3" w:type="pct"/>
                  <w:vMerge w:val="continue"/>
                  <w:vAlign w:val="center"/>
                </w:tcPr>
                <w:p w14:paraId="66C9E735">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p>
              </w:tc>
              <w:tc>
                <w:tcPr>
                  <w:tcW w:w="558" w:type="pct"/>
                  <w:vAlign w:val="center"/>
                </w:tcPr>
                <w:p w14:paraId="50B70795">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w:t>
                  </w:r>
                </w:p>
              </w:tc>
              <w:tc>
                <w:tcPr>
                  <w:tcW w:w="1171" w:type="pct"/>
                  <w:vAlign w:val="center"/>
                </w:tcPr>
                <w:p w14:paraId="3204BAB1">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废机油</w:t>
                  </w:r>
                </w:p>
              </w:tc>
              <w:tc>
                <w:tcPr>
                  <w:tcW w:w="1004" w:type="pct"/>
                  <w:vAlign w:val="center"/>
                </w:tcPr>
                <w:p w14:paraId="06424AF0">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设备维修</w:t>
                  </w:r>
                </w:p>
              </w:tc>
              <w:tc>
                <w:tcPr>
                  <w:tcW w:w="1742" w:type="pct"/>
                  <w:vAlign w:val="center"/>
                </w:tcPr>
                <w:p w14:paraId="58053A4C">
                  <w:pPr>
                    <w:keepNext w:val="0"/>
                    <w:keepLines w:val="0"/>
                    <w:suppressLineNumbers w:val="0"/>
                    <w:adjustRightInd w:val="0"/>
                    <w:snapToGrid w:val="0"/>
                    <w:spacing w:before="0" w:beforeAutospacing="0" w:after="0" w:afterAutospacing="0"/>
                    <w:ind w:left="0" w:right="0"/>
                    <w:jc w:val="center"/>
                    <w:rPr>
                      <w:rFonts w:hint="default"/>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r w14:paraId="26985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3" w:type="pct"/>
                  <w:vMerge w:val="continue"/>
                  <w:vAlign w:val="center"/>
                </w:tcPr>
                <w:p w14:paraId="476F7C3C">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p>
              </w:tc>
              <w:tc>
                <w:tcPr>
                  <w:tcW w:w="558" w:type="pct"/>
                  <w:vAlign w:val="center"/>
                </w:tcPr>
                <w:p w14:paraId="66F44A8F">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w:t>
                  </w:r>
                </w:p>
              </w:tc>
              <w:tc>
                <w:tcPr>
                  <w:tcW w:w="1171" w:type="pct"/>
                  <w:vAlign w:val="center"/>
                </w:tcPr>
                <w:p w14:paraId="19524016">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废油桶</w:t>
                  </w:r>
                </w:p>
              </w:tc>
              <w:tc>
                <w:tcPr>
                  <w:tcW w:w="1004" w:type="pct"/>
                  <w:vAlign w:val="center"/>
                </w:tcPr>
                <w:p w14:paraId="1476E517">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设备维修</w:t>
                  </w:r>
                </w:p>
              </w:tc>
              <w:tc>
                <w:tcPr>
                  <w:tcW w:w="1742" w:type="pct"/>
                  <w:vAlign w:val="center"/>
                </w:tcPr>
                <w:p w14:paraId="0FA93204">
                  <w:pPr>
                    <w:keepNext w:val="0"/>
                    <w:keepLines w:val="0"/>
                    <w:suppressLineNumbers w:val="0"/>
                    <w:adjustRightInd w:val="0"/>
                    <w:snapToGrid w:val="0"/>
                    <w:spacing w:before="0" w:beforeAutospacing="0" w:after="0" w:afterAutospacing="0"/>
                    <w:ind w:left="0" w:right="0"/>
                    <w:jc w:val="center"/>
                    <w:rPr>
                      <w:rFonts w:hint="default"/>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r w14:paraId="631F0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23" w:type="pct"/>
                  <w:vMerge w:val="continue"/>
                </w:tcPr>
                <w:p w14:paraId="5B43ED6F">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p>
              </w:tc>
              <w:tc>
                <w:tcPr>
                  <w:tcW w:w="558" w:type="pct"/>
                  <w:vAlign w:val="center"/>
                </w:tcPr>
                <w:p w14:paraId="1EF76961">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w:t>
                  </w:r>
                </w:p>
              </w:tc>
              <w:tc>
                <w:tcPr>
                  <w:tcW w:w="1171" w:type="pct"/>
                  <w:vAlign w:val="center"/>
                </w:tcPr>
                <w:p w14:paraId="0A586E78">
                  <w:pPr>
                    <w:keepNext w:val="0"/>
                    <w:keepLines w:val="0"/>
                    <w:suppressLineNumbers w:val="0"/>
                    <w:adjustRightInd w:val="0"/>
                    <w:snapToGrid w:val="0"/>
                    <w:spacing w:before="0" w:beforeAutospacing="0" w:after="0" w:afterAutospacing="0"/>
                    <w:ind w:left="0" w:right="0"/>
                    <w:jc w:val="center"/>
                    <w:rPr>
                      <w:rFonts w:hint="default"/>
                      <w:bCs/>
                      <w:color w:val="000000" w:themeColor="text1"/>
                      <w:szCs w:val="21"/>
                      <w14:textFill>
                        <w14:solidFill>
                          <w14:schemeClr w14:val="tx1"/>
                        </w14:solidFill>
                      </w14:textFill>
                    </w:rPr>
                  </w:pPr>
                  <w:r>
                    <w:rPr>
                      <w:rFonts w:hint="eastAsia"/>
                      <w:bCs/>
                      <w:color w:val="000000" w:themeColor="text1"/>
                      <w:szCs w:val="21"/>
                      <w14:textFill>
                        <w14:solidFill>
                          <w14:schemeClr w14:val="tx1"/>
                        </w14:solidFill>
                      </w14:textFill>
                    </w:rPr>
                    <w:t>生活垃圾</w:t>
                  </w:r>
                </w:p>
              </w:tc>
              <w:tc>
                <w:tcPr>
                  <w:tcW w:w="1004" w:type="pct"/>
                  <w:vAlign w:val="center"/>
                </w:tcPr>
                <w:p w14:paraId="0C180E86">
                  <w:pPr>
                    <w:pStyle w:val="56"/>
                    <w:keepNext w:val="0"/>
                    <w:keepLines w:val="0"/>
                    <w:suppressLineNumbers w:val="0"/>
                    <w:spacing w:before="0" w:beforeAutospacing="0" w:after="0" w:afterAutospacing="0"/>
                    <w:ind w:left="0" w:right="0"/>
                    <w:rPr>
                      <w:rFonts w:hint="default" w:ascii="Times New Roman" w:hAnsi="Times New Roman" w:cs="Times New Roman"/>
                      <w:color w:val="000000" w:themeColor="text1"/>
                      <w:kern w:val="2"/>
                      <w:sz w:val="21"/>
                      <w:szCs w:val="24"/>
                      <w:lang w:eastAsia="zh-CN"/>
                      <w14:textFill>
                        <w14:solidFill>
                          <w14:schemeClr w14:val="tx1"/>
                        </w14:solidFill>
                      </w14:textFill>
                    </w:rPr>
                  </w:pPr>
                  <w:r>
                    <w:rPr>
                      <w:rFonts w:hint="eastAsia" w:ascii="Times New Roman" w:hAnsi="Times New Roman" w:cs="Times New Roman"/>
                      <w:bCs/>
                      <w:color w:val="000000" w:themeColor="text1"/>
                      <w:kern w:val="2"/>
                      <w:sz w:val="21"/>
                      <w:szCs w:val="21"/>
                      <w:lang w:eastAsia="zh-CN"/>
                      <w14:textFill>
                        <w14:solidFill>
                          <w14:schemeClr w14:val="tx1"/>
                        </w14:solidFill>
                      </w14:textFill>
                    </w:rPr>
                    <w:t>职工生活</w:t>
                  </w:r>
                </w:p>
              </w:tc>
              <w:tc>
                <w:tcPr>
                  <w:tcW w:w="1742" w:type="pct"/>
                </w:tcPr>
                <w:p w14:paraId="6DFCD093">
                  <w:pPr>
                    <w:keepNext w:val="0"/>
                    <w:keepLines w:val="0"/>
                    <w:suppressLineNumbers w:val="0"/>
                    <w:adjustRightInd w:val="0"/>
                    <w:snapToGrid w:val="0"/>
                    <w:spacing w:before="0" w:beforeAutospacing="0" w:after="0" w:afterAutospacing="0"/>
                    <w:ind w:left="0" w:right="0"/>
                    <w:jc w:val="center"/>
                    <w:rPr>
                      <w:rFonts w:hint="default"/>
                      <w:color w:val="000000" w:themeColor="text1"/>
                      <w14:textFill>
                        <w14:solidFill>
                          <w14:schemeClr w14:val="tx1"/>
                        </w14:solidFill>
                      </w14:textFill>
                    </w:rPr>
                  </w:pPr>
                  <w:r>
                    <w:rPr>
                      <w:rFonts w:hint="eastAsia"/>
                      <w:color w:val="000000" w:themeColor="text1"/>
                      <w14:textFill>
                        <w14:solidFill>
                          <w14:schemeClr w14:val="tx1"/>
                        </w14:solidFill>
                      </w14:textFill>
                    </w:rPr>
                    <w:t>/</w:t>
                  </w:r>
                </w:p>
              </w:tc>
            </w:tr>
          </w:tbl>
          <w:p w14:paraId="54EA2107">
            <w:pPr>
              <w:pStyle w:val="51"/>
              <w:ind w:firstLine="480"/>
            </w:pPr>
          </w:p>
          <w:p w14:paraId="1D26A233">
            <w:pPr>
              <w:pStyle w:val="51"/>
              <w:ind w:firstLineChars="0"/>
            </w:pPr>
          </w:p>
          <w:p w14:paraId="41CB6FDB">
            <w:pPr>
              <w:pStyle w:val="51"/>
              <w:ind w:firstLineChars="0"/>
            </w:pPr>
          </w:p>
          <w:p w14:paraId="6E8E4C08">
            <w:pPr>
              <w:pStyle w:val="51"/>
              <w:ind w:firstLineChars="0"/>
            </w:pPr>
          </w:p>
          <w:p w14:paraId="197C041D">
            <w:pPr>
              <w:pStyle w:val="51"/>
              <w:ind w:firstLineChars="0"/>
            </w:pPr>
          </w:p>
          <w:p w14:paraId="06149C5C">
            <w:pPr>
              <w:pStyle w:val="51"/>
              <w:ind w:firstLineChars="0"/>
            </w:pPr>
          </w:p>
          <w:p w14:paraId="3D8F1128">
            <w:pPr>
              <w:pStyle w:val="51"/>
              <w:ind w:firstLineChars="0"/>
            </w:pPr>
          </w:p>
          <w:p w14:paraId="0D3A84E8">
            <w:pPr>
              <w:pStyle w:val="51"/>
              <w:ind w:firstLineChars="0"/>
            </w:pPr>
          </w:p>
          <w:p w14:paraId="3089CFED">
            <w:pPr>
              <w:pStyle w:val="51"/>
              <w:ind w:firstLineChars="0"/>
            </w:pPr>
          </w:p>
          <w:p w14:paraId="70332B6C">
            <w:pPr>
              <w:pStyle w:val="51"/>
              <w:ind w:firstLineChars="0"/>
            </w:pPr>
          </w:p>
          <w:p w14:paraId="52EC5E98">
            <w:pPr>
              <w:pStyle w:val="51"/>
              <w:ind w:firstLineChars="0"/>
            </w:pPr>
          </w:p>
          <w:p w14:paraId="72B1B68D">
            <w:pPr>
              <w:pStyle w:val="51"/>
              <w:ind w:firstLineChars="0"/>
            </w:pPr>
            <w:r>
              <w:rPr>
                <w:rFonts w:hint="eastAsia"/>
              </w:rPr>
              <w:t xml:space="preserve"> </w:t>
            </w:r>
          </w:p>
        </w:tc>
      </w:tr>
      <w:tr w14:paraId="05395B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18" w:hRule="atLeast"/>
          <w:jc w:val="center"/>
        </w:trPr>
        <w:tc>
          <w:tcPr>
            <w:tcW w:w="793" w:type="dxa"/>
            <w:vAlign w:val="center"/>
          </w:tcPr>
          <w:p w14:paraId="0FB4285A">
            <w:pPr>
              <w:pStyle w:val="20"/>
              <w:adjustRightInd w:val="0"/>
              <w:snapToGrid w:val="0"/>
              <w:spacing w:before="0" w:beforeAutospacing="0" w:after="0" w:afterAutospacing="0"/>
              <w:jc w:val="center"/>
              <w:rPr>
                <w:rFonts w:hint="eastAsia" w:cs="宋体"/>
                <w:szCs w:val="24"/>
              </w:rPr>
            </w:pPr>
            <w:r>
              <w:rPr>
                <w:rFonts w:hint="eastAsia" w:cs="宋体"/>
                <w:bCs/>
                <w:kern w:val="2"/>
                <w:szCs w:val="24"/>
              </w:rPr>
              <w:t>与项目有关的原有环境污染问题</w:t>
            </w:r>
          </w:p>
        </w:tc>
        <w:tc>
          <w:tcPr>
            <w:tcW w:w="8449" w:type="dxa"/>
            <w:vAlign w:val="center"/>
          </w:tcPr>
          <w:p w14:paraId="5C4B24AF">
            <w:pPr>
              <w:pStyle w:val="51"/>
              <w:ind w:firstLine="480"/>
              <w:rPr>
                <w:rFonts w:hint="eastAsia"/>
              </w:rPr>
            </w:pPr>
          </w:p>
          <w:p w14:paraId="3C3EC873">
            <w:pPr>
              <w:pStyle w:val="51"/>
              <w:ind w:firstLine="480"/>
              <w:rPr>
                <w:rFonts w:hint="eastAsia"/>
              </w:rPr>
            </w:pPr>
          </w:p>
          <w:p w14:paraId="3DD93970">
            <w:pPr>
              <w:pStyle w:val="51"/>
              <w:ind w:left="0" w:leftChars="0" w:firstLine="0" w:firstLineChars="0"/>
              <w:rPr>
                <w:rFonts w:hint="eastAsia"/>
              </w:rPr>
            </w:pPr>
          </w:p>
          <w:p w14:paraId="466C1B5E">
            <w:pPr>
              <w:pStyle w:val="51"/>
              <w:ind w:firstLine="480"/>
              <w:rPr>
                <w:rFonts w:hint="eastAsia"/>
              </w:rPr>
            </w:pPr>
          </w:p>
          <w:p w14:paraId="0EE6CCDC">
            <w:pPr>
              <w:pStyle w:val="51"/>
              <w:ind w:firstLine="480"/>
            </w:pPr>
            <w:r>
              <w:rPr>
                <w:rFonts w:hint="eastAsia"/>
              </w:rPr>
              <w:t>本项目为新建项目，租赁厂房为新建设完成未投入使用的厂房，因此无原有环境污染问题。</w:t>
            </w:r>
          </w:p>
          <w:p w14:paraId="6EFE4891">
            <w:pPr>
              <w:pStyle w:val="51"/>
              <w:ind w:firstLine="480"/>
            </w:pPr>
          </w:p>
          <w:p w14:paraId="347C22D6">
            <w:pPr>
              <w:pStyle w:val="51"/>
              <w:ind w:firstLine="480"/>
            </w:pPr>
          </w:p>
          <w:p w14:paraId="316BB980">
            <w:pPr>
              <w:pStyle w:val="51"/>
              <w:ind w:firstLine="480"/>
            </w:pPr>
          </w:p>
          <w:p w14:paraId="0D7CBBB2">
            <w:pPr>
              <w:pStyle w:val="51"/>
              <w:ind w:firstLine="480"/>
            </w:pPr>
          </w:p>
        </w:tc>
      </w:tr>
    </w:tbl>
    <w:p w14:paraId="047B1449">
      <w:pPr>
        <w:pStyle w:val="85"/>
        <w:rPr>
          <w:snapToGrid w:val="0"/>
        </w:rPr>
        <w:sectPr>
          <w:pgSz w:w="11906" w:h="16838"/>
          <w:pgMar w:top="1418" w:right="1440" w:bottom="1418" w:left="1440" w:header="851" w:footer="851" w:gutter="0"/>
          <w:pgBorders>
            <w:top w:val="none" w:sz="0" w:space="0"/>
            <w:left w:val="none" w:sz="0" w:space="0"/>
            <w:bottom w:val="none" w:sz="0" w:space="0"/>
            <w:right w:val="none" w:sz="0" w:space="0"/>
          </w:pgBorders>
          <w:cols w:space="720" w:num="1"/>
          <w:docGrid w:linePitch="312" w:charSpace="0"/>
        </w:sectPr>
      </w:pPr>
    </w:p>
    <w:p w14:paraId="4447E8F6">
      <w:pPr>
        <w:pStyle w:val="20"/>
        <w:jc w:val="center"/>
        <w:outlineLvl w:val="0"/>
        <w:rPr>
          <w:rFonts w:hint="eastAsia" w:ascii="黑体" w:hAnsi="黑体" w:eastAsia="黑体"/>
          <w:snapToGrid w:val="0"/>
          <w:sz w:val="30"/>
          <w:szCs w:val="30"/>
        </w:rPr>
      </w:pPr>
      <w:r>
        <w:rPr>
          <w:rFonts w:hint="eastAsia" w:ascii="黑体" w:hAnsi="黑体" w:eastAsia="黑体"/>
          <w:snapToGrid w:val="0"/>
          <w:sz w:val="30"/>
          <w:szCs w:val="30"/>
        </w:rPr>
        <w:t>三、区域环境质量现状、环境保护目标及评价标准</w:t>
      </w:r>
    </w:p>
    <w:tbl>
      <w:tblPr>
        <w:tblStyle w:val="2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23"/>
        <w:gridCol w:w="8420"/>
      </w:tblGrid>
      <w:tr w14:paraId="3E4AA7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771" w:hRule="atLeast"/>
          <w:jc w:val="center"/>
        </w:trPr>
        <w:tc>
          <w:tcPr>
            <w:tcW w:w="823" w:type="dxa"/>
            <w:vAlign w:val="center"/>
          </w:tcPr>
          <w:p w14:paraId="15C10E59">
            <w:pPr>
              <w:adjustRightInd w:val="0"/>
              <w:snapToGrid w:val="0"/>
              <w:jc w:val="center"/>
              <w:rPr>
                <w:rFonts w:hint="eastAsia" w:ascii="宋体" w:hAnsi="宋体" w:cs="宋体"/>
                <w:kern w:val="0"/>
                <w:sz w:val="24"/>
              </w:rPr>
            </w:pPr>
            <w:r>
              <w:rPr>
                <w:rFonts w:hint="eastAsia" w:ascii="宋体" w:hAnsi="宋体" w:cs="宋体"/>
                <w:kern w:val="0"/>
                <w:sz w:val="24"/>
              </w:rPr>
              <w:t>区域</w:t>
            </w:r>
          </w:p>
          <w:p w14:paraId="2A501745">
            <w:pPr>
              <w:adjustRightInd w:val="0"/>
              <w:snapToGrid w:val="0"/>
              <w:jc w:val="center"/>
              <w:rPr>
                <w:rFonts w:hint="eastAsia" w:ascii="宋体" w:hAnsi="宋体" w:cs="宋体"/>
                <w:kern w:val="0"/>
                <w:sz w:val="24"/>
              </w:rPr>
            </w:pPr>
            <w:r>
              <w:rPr>
                <w:rFonts w:hint="eastAsia" w:ascii="宋体" w:hAnsi="宋体" w:cs="宋体"/>
                <w:kern w:val="0"/>
                <w:sz w:val="24"/>
              </w:rPr>
              <w:t>环境</w:t>
            </w:r>
          </w:p>
          <w:p w14:paraId="5D99689D">
            <w:pPr>
              <w:adjustRightInd w:val="0"/>
              <w:snapToGrid w:val="0"/>
              <w:jc w:val="center"/>
              <w:rPr>
                <w:rFonts w:hint="eastAsia" w:ascii="宋体" w:hAnsi="宋体" w:cs="宋体"/>
                <w:kern w:val="0"/>
                <w:sz w:val="24"/>
              </w:rPr>
            </w:pPr>
            <w:r>
              <w:rPr>
                <w:rFonts w:hint="eastAsia" w:ascii="宋体" w:hAnsi="宋体" w:cs="宋体"/>
                <w:kern w:val="0"/>
                <w:sz w:val="24"/>
              </w:rPr>
              <w:t>质量</w:t>
            </w:r>
          </w:p>
          <w:p w14:paraId="614F31DD">
            <w:pPr>
              <w:adjustRightInd w:val="0"/>
              <w:snapToGrid w:val="0"/>
              <w:jc w:val="center"/>
              <w:rPr>
                <w:rFonts w:hint="eastAsia" w:ascii="宋体" w:hAnsi="宋体" w:cs="宋体"/>
                <w:kern w:val="0"/>
                <w:szCs w:val="21"/>
              </w:rPr>
            </w:pPr>
            <w:r>
              <w:rPr>
                <w:rFonts w:hint="eastAsia" w:ascii="宋体" w:hAnsi="宋体" w:cs="宋体"/>
                <w:kern w:val="0"/>
                <w:sz w:val="24"/>
              </w:rPr>
              <w:t>现状</w:t>
            </w:r>
          </w:p>
        </w:tc>
        <w:tc>
          <w:tcPr>
            <w:tcW w:w="8420" w:type="dxa"/>
            <w:vAlign w:val="center"/>
          </w:tcPr>
          <w:p w14:paraId="5DD050B5">
            <w:pPr>
              <w:pStyle w:val="51"/>
              <w:ind w:firstLine="482"/>
              <w:rPr>
                <w:b/>
                <w:bCs/>
              </w:rPr>
            </w:pPr>
            <w:r>
              <w:rPr>
                <w:b/>
                <w:bCs/>
              </w:rPr>
              <w:t>1、空气环境质量现状</w:t>
            </w:r>
          </w:p>
          <w:p w14:paraId="76AC2728">
            <w:pPr>
              <w:pStyle w:val="51"/>
              <w:ind w:firstLine="480"/>
            </w:pPr>
            <w:r>
              <w:rPr>
                <w:rFonts w:hint="eastAsia"/>
              </w:rPr>
              <w:t>（1）常规污染物（基本污染物）</w:t>
            </w:r>
          </w:p>
          <w:p w14:paraId="767BB52B">
            <w:pPr>
              <w:pStyle w:val="51"/>
              <w:ind w:firstLine="480"/>
            </w:pPr>
            <w:r>
              <w:rPr>
                <w:rFonts w:hint="eastAsia"/>
              </w:rPr>
              <w:t>根据《建设项目环境影响报告表编制技术指南（污染影响类）（试行）》规定：常规污染物引用与建设项目距离近的有效数据，包括近三年的规划环境影响评价的监测数据，国家、地方环境空气质量监测网数据或生态环境主管部门公开发布的质量数据等。</w:t>
            </w:r>
          </w:p>
          <w:p w14:paraId="2F6A3E66">
            <w:pPr>
              <w:pStyle w:val="51"/>
              <w:ind w:firstLine="480"/>
            </w:pPr>
            <w:r>
              <w:rPr>
                <w:rFonts w:hint="eastAsia"/>
              </w:rPr>
              <w:t>根据《</w:t>
            </w:r>
            <w:r>
              <w:rPr>
                <w:rFonts w:hint="eastAsia"/>
                <w:lang w:val="en-US" w:eastAsia="zh-CN"/>
              </w:rPr>
              <w:t>2</w:t>
            </w:r>
            <w:r>
              <w:rPr>
                <w:rFonts w:hint="eastAsia"/>
              </w:rPr>
              <w:t>024年池州市生态环境状况公报》相关数据可知，池州市2024年SO</w:t>
            </w:r>
            <w:r>
              <w:rPr>
                <w:rFonts w:hint="eastAsia"/>
                <w:vertAlign w:val="subscript"/>
              </w:rPr>
              <w:t>2</w:t>
            </w:r>
            <w:r>
              <w:rPr>
                <w:rFonts w:hint="eastAsia"/>
              </w:rPr>
              <w:t>、NO</w:t>
            </w:r>
            <w:r>
              <w:rPr>
                <w:rFonts w:hint="eastAsia"/>
                <w:vertAlign w:val="subscript"/>
              </w:rPr>
              <w:t>2</w:t>
            </w:r>
            <w:r>
              <w:rPr>
                <w:rFonts w:hint="eastAsia"/>
              </w:rPr>
              <w:t>、PM</w:t>
            </w:r>
            <w:r>
              <w:rPr>
                <w:rFonts w:hint="eastAsia"/>
                <w:vertAlign w:val="subscript"/>
              </w:rPr>
              <w:t>10</w:t>
            </w:r>
            <w:r>
              <w:rPr>
                <w:rFonts w:hint="eastAsia"/>
              </w:rPr>
              <w:t>、PM</w:t>
            </w:r>
            <w:r>
              <w:rPr>
                <w:rFonts w:hint="eastAsia"/>
                <w:vertAlign w:val="subscript"/>
              </w:rPr>
              <w:t>2.5</w:t>
            </w:r>
            <w:r>
              <w:rPr>
                <w:rFonts w:hint="eastAsia"/>
              </w:rPr>
              <w:t>年均浓度分别为5μg/m</w:t>
            </w:r>
            <w:r>
              <w:rPr>
                <w:rFonts w:hint="eastAsia"/>
                <w:vertAlign w:val="superscript"/>
              </w:rPr>
              <w:t>3</w:t>
            </w:r>
            <w:r>
              <w:rPr>
                <w:rFonts w:hint="eastAsia"/>
              </w:rPr>
              <w:t>、20μg/m</w:t>
            </w:r>
            <w:r>
              <w:rPr>
                <w:rFonts w:hint="eastAsia"/>
                <w:vertAlign w:val="superscript"/>
              </w:rPr>
              <w:t>3</w:t>
            </w:r>
            <w:r>
              <w:rPr>
                <w:rFonts w:hint="eastAsia"/>
              </w:rPr>
              <w:t>、47μg/m</w:t>
            </w:r>
            <w:r>
              <w:rPr>
                <w:rFonts w:hint="eastAsia"/>
                <w:vertAlign w:val="superscript"/>
              </w:rPr>
              <w:t>3</w:t>
            </w:r>
            <w:r>
              <w:rPr>
                <w:rFonts w:hint="eastAsia"/>
              </w:rPr>
              <w:t>、31μg/m</w:t>
            </w:r>
            <w:r>
              <w:rPr>
                <w:rFonts w:hint="eastAsia"/>
                <w:vertAlign w:val="superscript"/>
              </w:rPr>
              <w:t>3</w:t>
            </w:r>
            <w:r>
              <w:rPr>
                <w:rFonts w:hint="eastAsia"/>
              </w:rPr>
              <w:t>；CO 24小时平均第95百分位数为1mg/m</w:t>
            </w:r>
            <w:r>
              <w:rPr>
                <w:rFonts w:hint="eastAsia"/>
                <w:vertAlign w:val="superscript"/>
              </w:rPr>
              <w:t>3</w:t>
            </w:r>
            <w:r>
              <w:rPr>
                <w:rFonts w:hint="eastAsia"/>
              </w:rPr>
              <w:t>，O</w:t>
            </w:r>
            <w:r>
              <w:rPr>
                <w:rFonts w:hint="eastAsia"/>
                <w:vertAlign w:val="subscript"/>
              </w:rPr>
              <w:t>3</w:t>
            </w:r>
            <w:r>
              <w:rPr>
                <w:rFonts w:hint="eastAsia"/>
              </w:rPr>
              <w:t>日最大8小时平均第90百分位数为154μg/m</w:t>
            </w:r>
            <w:r>
              <w:rPr>
                <w:rFonts w:hint="eastAsia"/>
                <w:vertAlign w:val="superscript"/>
              </w:rPr>
              <w:t>3</w:t>
            </w:r>
            <w:r>
              <w:rPr>
                <w:rFonts w:hint="eastAsia"/>
              </w:rPr>
              <w:t>；各污染物平均浓度均优于《环境空气质量标准》（GB3095-2012）中二级标准限值，2024年池州市环境空气中SO</w:t>
            </w:r>
            <w:r>
              <w:rPr>
                <w:rFonts w:hint="eastAsia"/>
                <w:vertAlign w:val="subscript"/>
              </w:rPr>
              <w:t>2</w:t>
            </w:r>
            <w:r>
              <w:rPr>
                <w:rFonts w:hint="eastAsia"/>
              </w:rPr>
              <w:t>、NO</w:t>
            </w:r>
            <w:r>
              <w:rPr>
                <w:rFonts w:hint="eastAsia"/>
                <w:vertAlign w:val="subscript"/>
              </w:rPr>
              <w:t>2</w:t>
            </w:r>
            <w:r>
              <w:rPr>
                <w:rFonts w:hint="eastAsia"/>
              </w:rPr>
              <w:t>、PM</w:t>
            </w:r>
            <w:r>
              <w:rPr>
                <w:rFonts w:hint="eastAsia"/>
                <w:vertAlign w:val="subscript"/>
              </w:rPr>
              <w:t>10</w:t>
            </w:r>
            <w:r>
              <w:rPr>
                <w:rFonts w:hint="eastAsia"/>
              </w:rPr>
              <w:t>、PM</w:t>
            </w:r>
            <w:r>
              <w:rPr>
                <w:rFonts w:hint="eastAsia"/>
                <w:vertAlign w:val="subscript"/>
              </w:rPr>
              <w:t>2.5</w:t>
            </w:r>
            <w:r>
              <w:rPr>
                <w:rFonts w:hint="eastAsia"/>
              </w:rPr>
              <w:t>、CO和O</w:t>
            </w:r>
            <w:r>
              <w:rPr>
                <w:rFonts w:hint="eastAsia"/>
                <w:vertAlign w:val="subscript"/>
              </w:rPr>
              <w:t>3</w:t>
            </w:r>
            <w:r>
              <w:rPr>
                <w:rFonts w:hint="eastAsia"/>
              </w:rPr>
              <w:t>等六项基本污染物全部达标，故项目所在地区域为“达标区”。项目所在区域空气质量现状见下表。</w:t>
            </w:r>
          </w:p>
          <w:p w14:paraId="79A6F847">
            <w:pPr>
              <w:pStyle w:val="52"/>
            </w:pPr>
            <w:r>
              <w:rPr>
                <w:rFonts w:hint="eastAsia"/>
              </w:rPr>
              <w:t>表3</w:t>
            </w:r>
            <w:r>
              <w:t xml:space="preserve">-1  </w:t>
            </w:r>
            <w:r>
              <w:rPr>
                <w:rFonts w:hint="eastAsia"/>
              </w:rPr>
              <w:t>区域环境空气质量现状评价（常规污染物）</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0"/>
              <w:gridCol w:w="2221"/>
              <w:gridCol w:w="1121"/>
              <w:gridCol w:w="801"/>
              <w:gridCol w:w="801"/>
              <w:gridCol w:w="1121"/>
              <w:gridCol w:w="969"/>
            </w:tblGrid>
            <w:tr w14:paraId="152D7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7" w:type="pct"/>
                  <w:shd w:val="clear" w:color="auto" w:fill="auto"/>
                  <w:vAlign w:val="center"/>
                </w:tcPr>
                <w:p w14:paraId="158FA346">
                  <w:pPr>
                    <w:pStyle w:val="51"/>
                    <w:spacing w:line="240" w:lineRule="auto"/>
                    <w:ind w:firstLine="0" w:firstLineChars="0"/>
                    <w:jc w:val="center"/>
                    <w:rPr>
                      <w:b/>
                      <w:bCs/>
                      <w:sz w:val="21"/>
                      <w:szCs w:val="21"/>
                    </w:rPr>
                  </w:pPr>
                  <w:r>
                    <w:rPr>
                      <w:b/>
                      <w:bCs/>
                      <w:sz w:val="21"/>
                      <w:szCs w:val="21"/>
                    </w:rPr>
                    <w:t>污染物</w:t>
                  </w:r>
                </w:p>
              </w:tc>
              <w:tc>
                <w:tcPr>
                  <w:tcW w:w="1355" w:type="pct"/>
                  <w:shd w:val="clear" w:color="auto" w:fill="auto"/>
                  <w:vAlign w:val="center"/>
                </w:tcPr>
                <w:p w14:paraId="42776210">
                  <w:pPr>
                    <w:pStyle w:val="51"/>
                    <w:spacing w:line="240" w:lineRule="auto"/>
                    <w:ind w:firstLine="0" w:firstLineChars="0"/>
                    <w:jc w:val="center"/>
                    <w:rPr>
                      <w:b/>
                      <w:bCs/>
                      <w:sz w:val="21"/>
                      <w:szCs w:val="21"/>
                    </w:rPr>
                  </w:pPr>
                  <w:r>
                    <w:rPr>
                      <w:b/>
                      <w:bCs/>
                      <w:sz w:val="21"/>
                      <w:szCs w:val="21"/>
                    </w:rPr>
                    <w:t>评价指标</w:t>
                  </w:r>
                </w:p>
              </w:tc>
              <w:tc>
                <w:tcPr>
                  <w:tcW w:w="684" w:type="pct"/>
                  <w:shd w:val="clear" w:color="auto" w:fill="auto"/>
                  <w:vAlign w:val="center"/>
                </w:tcPr>
                <w:p w14:paraId="78F9CB0A">
                  <w:pPr>
                    <w:pStyle w:val="51"/>
                    <w:spacing w:line="240" w:lineRule="auto"/>
                    <w:ind w:firstLine="0" w:firstLineChars="0"/>
                    <w:jc w:val="center"/>
                    <w:rPr>
                      <w:b/>
                      <w:bCs/>
                      <w:sz w:val="21"/>
                      <w:szCs w:val="21"/>
                    </w:rPr>
                  </w:pPr>
                  <w:r>
                    <w:rPr>
                      <w:b/>
                      <w:bCs/>
                      <w:sz w:val="21"/>
                      <w:szCs w:val="21"/>
                    </w:rPr>
                    <w:t>单位</w:t>
                  </w:r>
                </w:p>
              </w:tc>
              <w:tc>
                <w:tcPr>
                  <w:tcW w:w="488" w:type="pct"/>
                  <w:shd w:val="clear" w:color="auto" w:fill="auto"/>
                  <w:vAlign w:val="center"/>
                </w:tcPr>
                <w:p w14:paraId="21EF268F">
                  <w:pPr>
                    <w:pStyle w:val="51"/>
                    <w:spacing w:line="240" w:lineRule="auto"/>
                    <w:ind w:firstLine="0" w:firstLineChars="0"/>
                    <w:jc w:val="center"/>
                    <w:rPr>
                      <w:b/>
                      <w:bCs/>
                      <w:sz w:val="21"/>
                      <w:szCs w:val="21"/>
                    </w:rPr>
                  </w:pPr>
                  <w:r>
                    <w:rPr>
                      <w:b/>
                      <w:bCs/>
                      <w:sz w:val="21"/>
                      <w:szCs w:val="21"/>
                    </w:rPr>
                    <w:t>现状浓度</w:t>
                  </w:r>
                </w:p>
              </w:tc>
              <w:tc>
                <w:tcPr>
                  <w:tcW w:w="488" w:type="pct"/>
                  <w:shd w:val="clear" w:color="auto" w:fill="auto"/>
                  <w:vAlign w:val="center"/>
                </w:tcPr>
                <w:p w14:paraId="6EA71363">
                  <w:pPr>
                    <w:pStyle w:val="51"/>
                    <w:spacing w:line="240" w:lineRule="auto"/>
                    <w:ind w:firstLine="0" w:firstLineChars="0"/>
                    <w:jc w:val="center"/>
                    <w:rPr>
                      <w:b/>
                      <w:bCs/>
                      <w:sz w:val="21"/>
                      <w:szCs w:val="21"/>
                    </w:rPr>
                  </w:pPr>
                  <w:r>
                    <w:rPr>
                      <w:b/>
                      <w:bCs/>
                      <w:sz w:val="21"/>
                      <w:szCs w:val="21"/>
                    </w:rPr>
                    <w:t>标准值</w:t>
                  </w:r>
                </w:p>
              </w:tc>
              <w:tc>
                <w:tcPr>
                  <w:tcW w:w="684" w:type="pct"/>
                  <w:shd w:val="clear" w:color="auto" w:fill="auto"/>
                  <w:vAlign w:val="center"/>
                </w:tcPr>
                <w:p w14:paraId="1A9FBC32">
                  <w:pPr>
                    <w:pStyle w:val="51"/>
                    <w:spacing w:line="240" w:lineRule="auto"/>
                    <w:ind w:firstLine="0" w:firstLineChars="0"/>
                    <w:jc w:val="center"/>
                    <w:rPr>
                      <w:b/>
                      <w:bCs/>
                      <w:sz w:val="21"/>
                      <w:szCs w:val="21"/>
                    </w:rPr>
                  </w:pPr>
                  <w:r>
                    <w:rPr>
                      <w:b/>
                      <w:bCs/>
                      <w:sz w:val="21"/>
                      <w:szCs w:val="21"/>
                    </w:rPr>
                    <w:t>占标率</w:t>
                  </w:r>
                </w:p>
                <w:p w14:paraId="7D038E1F">
                  <w:pPr>
                    <w:pStyle w:val="51"/>
                    <w:spacing w:line="240" w:lineRule="auto"/>
                    <w:ind w:firstLine="0" w:firstLineChars="0"/>
                    <w:jc w:val="center"/>
                    <w:rPr>
                      <w:b/>
                      <w:bCs/>
                      <w:sz w:val="21"/>
                      <w:szCs w:val="21"/>
                    </w:rPr>
                  </w:pPr>
                  <w:r>
                    <w:rPr>
                      <w:b/>
                      <w:bCs/>
                      <w:sz w:val="21"/>
                      <w:szCs w:val="21"/>
                    </w:rPr>
                    <w:t>（%）</w:t>
                  </w:r>
                </w:p>
              </w:tc>
              <w:tc>
                <w:tcPr>
                  <w:tcW w:w="591" w:type="pct"/>
                  <w:shd w:val="clear" w:color="auto" w:fill="auto"/>
                  <w:vAlign w:val="center"/>
                </w:tcPr>
                <w:p w14:paraId="473346BC">
                  <w:pPr>
                    <w:pStyle w:val="51"/>
                    <w:spacing w:line="240" w:lineRule="auto"/>
                    <w:ind w:firstLine="0" w:firstLineChars="0"/>
                    <w:jc w:val="center"/>
                    <w:rPr>
                      <w:b/>
                      <w:bCs/>
                      <w:sz w:val="21"/>
                      <w:szCs w:val="21"/>
                    </w:rPr>
                  </w:pPr>
                  <w:r>
                    <w:rPr>
                      <w:b/>
                      <w:bCs/>
                      <w:sz w:val="21"/>
                      <w:szCs w:val="21"/>
                    </w:rPr>
                    <w:t>达标情况</w:t>
                  </w:r>
                </w:p>
              </w:tc>
            </w:tr>
            <w:tr w14:paraId="7F734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7" w:type="pct"/>
                  <w:shd w:val="clear" w:color="auto" w:fill="auto"/>
                  <w:vAlign w:val="center"/>
                </w:tcPr>
                <w:p w14:paraId="0D00C68D">
                  <w:pPr>
                    <w:pStyle w:val="51"/>
                    <w:spacing w:line="240" w:lineRule="auto"/>
                    <w:ind w:firstLine="0" w:firstLineChars="0"/>
                    <w:jc w:val="center"/>
                    <w:rPr>
                      <w:sz w:val="21"/>
                      <w:szCs w:val="21"/>
                    </w:rPr>
                  </w:pPr>
                  <w:r>
                    <w:rPr>
                      <w:sz w:val="21"/>
                      <w:szCs w:val="21"/>
                    </w:rPr>
                    <w:t>SO</w:t>
                  </w:r>
                  <w:r>
                    <w:rPr>
                      <w:sz w:val="21"/>
                      <w:szCs w:val="21"/>
                      <w:vertAlign w:val="subscript"/>
                    </w:rPr>
                    <w:t>2</w:t>
                  </w:r>
                </w:p>
              </w:tc>
              <w:tc>
                <w:tcPr>
                  <w:tcW w:w="1355" w:type="pct"/>
                  <w:shd w:val="clear" w:color="auto" w:fill="auto"/>
                  <w:vAlign w:val="center"/>
                </w:tcPr>
                <w:p w14:paraId="71CDD5A7">
                  <w:pPr>
                    <w:pStyle w:val="51"/>
                    <w:spacing w:line="240" w:lineRule="auto"/>
                    <w:ind w:firstLine="0" w:firstLineChars="0"/>
                    <w:jc w:val="center"/>
                    <w:rPr>
                      <w:sz w:val="21"/>
                      <w:szCs w:val="21"/>
                    </w:rPr>
                  </w:pPr>
                  <w:r>
                    <w:rPr>
                      <w:sz w:val="21"/>
                      <w:szCs w:val="21"/>
                    </w:rPr>
                    <w:t>年平均质量浓度</w:t>
                  </w:r>
                </w:p>
              </w:tc>
              <w:tc>
                <w:tcPr>
                  <w:tcW w:w="684" w:type="pct"/>
                  <w:vMerge w:val="restart"/>
                  <w:shd w:val="clear" w:color="auto" w:fill="auto"/>
                  <w:vAlign w:val="center"/>
                </w:tcPr>
                <w:p w14:paraId="008A5DFC">
                  <w:pPr>
                    <w:pStyle w:val="51"/>
                    <w:spacing w:line="240" w:lineRule="auto"/>
                    <w:ind w:firstLine="0" w:firstLineChars="0"/>
                    <w:jc w:val="center"/>
                    <w:rPr>
                      <w:sz w:val="21"/>
                      <w:szCs w:val="21"/>
                    </w:rPr>
                  </w:pPr>
                  <w:r>
                    <w:rPr>
                      <w:sz w:val="21"/>
                      <w:szCs w:val="21"/>
                    </w:rPr>
                    <w:t>ug/m</w:t>
                  </w:r>
                  <w:r>
                    <w:rPr>
                      <w:sz w:val="21"/>
                      <w:szCs w:val="21"/>
                      <w:vertAlign w:val="superscript"/>
                    </w:rPr>
                    <w:t>3</w:t>
                  </w:r>
                </w:p>
              </w:tc>
              <w:tc>
                <w:tcPr>
                  <w:tcW w:w="488" w:type="pct"/>
                  <w:shd w:val="clear" w:color="auto" w:fill="auto"/>
                  <w:vAlign w:val="center"/>
                </w:tcPr>
                <w:p w14:paraId="574438D4">
                  <w:pPr>
                    <w:pStyle w:val="51"/>
                    <w:spacing w:line="240" w:lineRule="auto"/>
                    <w:ind w:firstLine="0" w:firstLineChars="0"/>
                    <w:jc w:val="center"/>
                    <w:rPr>
                      <w:rFonts w:hint="eastAsia" w:eastAsia="宋体"/>
                      <w:sz w:val="21"/>
                      <w:szCs w:val="21"/>
                      <w:lang w:eastAsia="zh-CN"/>
                    </w:rPr>
                  </w:pPr>
                  <w:r>
                    <w:rPr>
                      <w:rFonts w:hint="eastAsia"/>
                      <w:sz w:val="21"/>
                      <w:szCs w:val="21"/>
                      <w:lang w:val="en-US" w:eastAsia="zh-CN"/>
                    </w:rPr>
                    <w:t>6</w:t>
                  </w:r>
                </w:p>
              </w:tc>
              <w:tc>
                <w:tcPr>
                  <w:tcW w:w="488" w:type="pct"/>
                  <w:shd w:val="clear" w:color="auto" w:fill="auto"/>
                  <w:vAlign w:val="center"/>
                </w:tcPr>
                <w:p w14:paraId="6F450444">
                  <w:pPr>
                    <w:pStyle w:val="51"/>
                    <w:spacing w:line="240" w:lineRule="auto"/>
                    <w:ind w:firstLine="0" w:firstLineChars="0"/>
                    <w:jc w:val="center"/>
                    <w:rPr>
                      <w:sz w:val="21"/>
                      <w:szCs w:val="21"/>
                    </w:rPr>
                  </w:pPr>
                  <w:r>
                    <w:rPr>
                      <w:rFonts w:hint="eastAsia"/>
                      <w:sz w:val="21"/>
                      <w:szCs w:val="21"/>
                    </w:rPr>
                    <w:t>6</w:t>
                  </w:r>
                  <w:r>
                    <w:rPr>
                      <w:sz w:val="21"/>
                      <w:szCs w:val="21"/>
                    </w:rPr>
                    <w:t>0</w:t>
                  </w:r>
                </w:p>
              </w:tc>
              <w:tc>
                <w:tcPr>
                  <w:tcW w:w="684" w:type="pct"/>
                  <w:shd w:val="clear" w:color="auto" w:fill="auto"/>
                  <w:vAlign w:val="center"/>
                </w:tcPr>
                <w:p w14:paraId="45C1958C">
                  <w:pPr>
                    <w:pStyle w:val="51"/>
                    <w:spacing w:line="240" w:lineRule="auto"/>
                    <w:ind w:firstLine="0" w:firstLineChars="0"/>
                    <w:jc w:val="center"/>
                    <w:rPr>
                      <w:sz w:val="21"/>
                      <w:szCs w:val="21"/>
                    </w:rPr>
                  </w:pPr>
                  <w:r>
                    <w:rPr>
                      <w:sz w:val="21"/>
                      <w:szCs w:val="21"/>
                    </w:rPr>
                    <w:t>1</w:t>
                  </w:r>
                  <w:r>
                    <w:rPr>
                      <w:rFonts w:hint="eastAsia"/>
                      <w:sz w:val="21"/>
                      <w:szCs w:val="21"/>
                      <w:lang w:val="en-US" w:eastAsia="zh-CN"/>
                    </w:rPr>
                    <w:t>0</w:t>
                  </w:r>
                  <w:r>
                    <w:rPr>
                      <w:sz w:val="21"/>
                      <w:szCs w:val="21"/>
                    </w:rPr>
                    <w:t>.00</w:t>
                  </w:r>
                </w:p>
              </w:tc>
              <w:tc>
                <w:tcPr>
                  <w:tcW w:w="591" w:type="pct"/>
                  <w:shd w:val="clear" w:color="auto" w:fill="auto"/>
                  <w:vAlign w:val="center"/>
                </w:tcPr>
                <w:p w14:paraId="5459432F">
                  <w:pPr>
                    <w:pStyle w:val="51"/>
                    <w:spacing w:line="240" w:lineRule="auto"/>
                    <w:ind w:firstLine="0" w:firstLineChars="0"/>
                    <w:jc w:val="center"/>
                    <w:rPr>
                      <w:sz w:val="21"/>
                      <w:szCs w:val="21"/>
                    </w:rPr>
                  </w:pPr>
                  <w:r>
                    <w:rPr>
                      <w:sz w:val="21"/>
                      <w:szCs w:val="21"/>
                    </w:rPr>
                    <w:t>达标</w:t>
                  </w:r>
                </w:p>
              </w:tc>
            </w:tr>
            <w:tr w14:paraId="66BA0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7" w:type="pct"/>
                  <w:shd w:val="clear" w:color="auto" w:fill="auto"/>
                  <w:vAlign w:val="center"/>
                </w:tcPr>
                <w:p w14:paraId="059171DF">
                  <w:pPr>
                    <w:pStyle w:val="51"/>
                    <w:spacing w:line="240" w:lineRule="auto"/>
                    <w:ind w:firstLine="0" w:firstLineChars="0"/>
                    <w:jc w:val="center"/>
                    <w:rPr>
                      <w:sz w:val="21"/>
                      <w:szCs w:val="21"/>
                    </w:rPr>
                  </w:pPr>
                  <w:r>
                    <w:rPr>
                      <w:sz w:val="21"/>
                      <w:szCs w:val="21"/>
                    </w:rPr>
                    <w:t>NO</w:t>
                  </w:r>
                  <w:r>
                    <w:rPr>
                      <w:sz w:val="21"/>
                      <w:szCs w:val="21"/>
                      <w:vertAlign w:val="subscript"/>
                    </w:rPr>
                    <w:t>2</w:t>
                  </w:r>
                </w:p>
              </w:tc>
              <w:tc>
                <w:tcPr>
                  <w:tcW w:w="1355" w:type="pct"/>
                  <w:shd w:val="clear" w:color="auto" w:fill="auto"/>
                  <w:vAlign w:val="center"/>
                </w:tcPr>
                <w:p w14:paraId="37CA1AB4">
                  <w:pPr>
                    <w:pStyle w:val="51"/>
                    <w:spacing w:line="240" w:lineRule="auto"/>
                    <w:ind w:firstLine="0" w:firstLineChars="0"/>
                    <w:jc w:val="center"/>
                    <w:rPr>
                      <w:sz w:val="21"/>
                      <w:szCs w:val="21"/>
                    </w:rPr>
                  </w:pPr>
                  <w:r>
                    <w:rPr>
                      <w:sz w:val="21"/>
                      <w:szCs w:val="21"/>
                    </w:rPr>
                    <w:t>年平均质量浓度</w:t>
                  </w:r>
                </w:p>
              </w:tc>
              <w:tc>
                <w:tcPr>
                  <w:tcW w:w="684" w:type="pct"/>
                  <w:vMerge w:val="continue"/>
                  <w:shd w:val="clear" w:color="auto" w:fill="auto"/>
                  <w:vAlign w:val="center"/>
                </w:tcPr>
                <w:p w14:paraId="5F6F490D">
                  <w:pPr>
                    <w:pStyle w:val="51"/>
                    <w:spacing w:line="240" w:lineRule="auto"/>
                    <w:ind w:firstLine="0" w:firstLineChars="0"/>
                    <w:jc w:val="center"/>
                    <w:rPr>
                      <w:sz w:val="21"/>
                      <w:szCs w:val="21"/>
                    </w:rPr>
                  </w:pPr>
                </w:p>
              </w:tc>
              <w:tc>
                <w:tcPr>
                  <w:tcW w:w="488" w:type="pct"/>
                  <w:shd w:val="clear" w:color="auto" w:fill="auto"/>
                  <w:vAlign w:val="center"/>
                </w:tcPr>
                <w:p w14:paraId="4B525382">
                  <w:pPr>
                    <w:pStyle w:val="51"/>
                    <w:spacing w:line="240" w:lineRule="auto"/>
                    <w:ind w:firstLine="0" w:firstLineChars="0"/>
                    <w:jc w:val="center"/>
                    <w:rPr>
                      <w:sz w:val="21"/>
                      <w:szCs w:val="21"/>
                    </w:rPr>
                  </w:pPr>
                  <w:r>
                    <w:rPr>
                      <w:rFonts w:hint="eastAsia"/>
                      <w:sz w:val="21"/>
                      <w:szCs w:val="21"/>
                      <w:lang w:val="en-US" w:eastAsia="zh-CN"/>
                    </w:rPr>
                    <w:t>2</w:t>
                  </w:r>
                  <w:r>
                    <w:rPr>
                      <w:sz w:val="21"/>
                      <w:szCs w:val="21"/>
                    </w:rPr>
                    <w:t>0</w:t>
                  </w:r>
                </w:p>
              </w:tc>
              <w:tc>
                <w:tcPr>
                  <w:tcW w:w="488" w:type="pct"/>
                  <w:shd w:val="clear" w:color="auto" w:fill="auto"/>
                  <w:vAlign w:val="center"/>
                </w:tcPr>
                <w:p w14:paraId="305A8FA0">
                  <w:pPr>
                    <w:pStyle w:val="51"/>
                    <w:spacing w:line="240" w:lineRule="auto"/>
                    <w:ind w:firstLine="0" w:firstLineChars="0"/>
                    <w:jc w:val="center"/>
                    <w:rPr>
                      <w:sz w:val="21"/>
                      <w:szCs w:val="21"/>
                    </w:rPr>
                  </w:pPr>
                  <w:r>
                    <w:rPr>
                      <w:rFonts w:hint="eastAsia"/>
                      <w:sz w:val="21"/>
                      <w:szCs w:val="21"/>
                    </w:rPr>
                    <w:t>4</w:t>
                  </w:r>
                  <w:r>
                    <w:rPr>
                      <w:sz w:val="21"/>
                      <w:szCs w:val="21"/>
                    </w:rPr>
                    <w:t>0</w:t>
                  </w:r>
                </w:p>
              </w:tc>
              <w:tc>
                <w:tcPr>
                  <w:tcW w:w="684" w:type="pct"/>
                  <w:shd w:val="clear" w:color="auto" w:fill="auto"/>
                  <w:vAlign w:val="center"/>
                </w:tcPr>
                <w:p w14:paraId="1D44A819">
                  <w:pPr>
                    <w:pStyle w:val="51"/>
                    <w:spacing w:line="240" w:lineRule="auto"/>
                    <w:ind w:firstLine="0" w:firstLineChars="0"/>
                    <w:jc w:val="center"/>
                    <w:rPr>
                      <w:sz w:val="21"/>
                      <w:szCs w:val="21"/>
                    </w:rPr>
                  </w:pPr>
                  <w:r>
                    <w:rPr>
                      <w:rFonts w:hint="eastAsia"/>
                      <w:sz w:val="21"/>
                      <w:szCs w:val="21"/>
                      <w:lang w:val="en-US" w:eastAsia="zh-CN"/>
                    </w:rPr>
                    <w:t>50</w:t>
                  </w:r>
                  <w:r>
                    <w:rPr>
                      <w:sz w:val="21"/>
                      <w:szCs w:val="21"/>
                    </w:rPr>
                    <w:t>.00</w:t>
                  </w:r>
                </w:p>
              </w:tc>
              <w:tc>
                <w:tcPr>
                  <w:tcW w:w="591" w:type="pct"/>
                  <w:shd w:val="clear" w:color="auto" w:fill="auto"/>
                  <w:vAlign w:val="center"/>
                </w:tcPr>
                <w:p w14:paraId="63AFB4DA">
                  <w:pPr>
                    <w:pStyle w:val="51"/>
                    <w:spacing w:line="240" w:lineRule="auto"/>
                    <w:ind w:firstLine="0" w:firstLineChars="0"/>
                    <w:jc w:val="center"/>
                    <w:rPr>
                      <w:sz w:val="21"/>
                      <w:szCs w:val="21"/>
                    </w:rPr>
                  </w:pPr>
                  <w:r>
                    <w:rPr>
                      <w:sz w:val="21"/>
                      <w:szCs w:val="21"/>
                    </w:rPr>
                    <w:t>达标</w:t>
                  </w:r>
                </w:p>
              </w:tc>
            </w:tr>
            <w:tr w14:paraId="7B77D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7" w:type="pct"/>
                  <w:shd w:val="clear" w:color="auto" w:fill="auto"/>
                  <w:vAlign w:val="center"/>
                </w:tcPr>
                <w:p w14:paraId="09106333">
                  <w:pPr>
                    <w:pStyle w:val="51"/>
                    <w:spacing w:line="240" w:lineRule="auto"/>
                    <w:ind w:firstLine="0" w:firstLineChars="0"/>
                    <w:jc w:val="center"/>
                    <w:rPr>
                      <w:sz w:val="21"/>
                      <w:szCs w:val="21"/>
                    </w:rPr>
                  </w:pPr>
                  <w:r>
                    <w:rPr>
                      <w:sz w:val="21"/>
                      <w:szCs w:val="21"/>
                    </w:rPr>
                    <w:t>PM</w:t>
                  </w:r>
                  <w:r>
                    <w:rPr>
                      <w:sz w:val="21"/>
                      <w:szCs w:val="21"/>
                      <w:vertAlign w:val="subscript"/>
                    </w:rPr>
                    <w:t>10</w:t>
                  </w:r>
                </w:p>
              </w:tc>
              <w:tc>
                <w:tcPr>
                  <w:tcW w:w="1355" w:type="pct"/>
                  <w:shd w:val="clear" w:color="auto" w:fill="auto"/>
                  <w:vAlign w:val="center"/>
                </w:tcPr>
                <w:p w14:paraId="54BA481C">
                  <w:pPr>
                    <w:pStyle w:val="51"/>
                    <w:spacing w:line="240" w:lineRule="auto"/>
                    <w:ind w:firstLine="0" w:firstLineChars="0"/>
                    <w:jc w:val="center"/>
                    <w:rPr>
                      <w:sz w:val="21"/>
                      <w:szCs w:val="21"/>
                    </w:rPr>
                  </w:pPr>
                  <w:r>
                    <w:rPr>
                      <w:sz w:val="21"/>
                      <w:szCs w:val="21"/>
                    </w:rPr>
                    <w:t>年平均质量浓度</w:t>
                  </w:r>
                </w:p>
              </w:tc>
              <w:tc>
                <w:tcPr>
                  <w:tcW w:w="684" w:type="pct"/>
                  <w:vMerge w:val="continue"/>
                  <w:shd w:val="clear" w:color="auto" w:fill="auto"/>
                  <w:vAlign w:val="center"/>
                </w:tcPr>
                <w:p w14:paraId="096D36F0">
                  <w:pPr>
                    <w:pStyle w:val="51"/>
                    <w:spacing w:line="240" w:lineRule="auto"/>
                    <w:ind w:firstLine="0" w:firstLineChars="0"/>
                    <w:jc w:val="center"/>
                    <w:rPr>
                      <w:sz w:val="21"/>
                      <w:szCs w:val="21"/>
                    </w:rPr>
                  </w:pPr>
                </w:p>
              </w:tc>
              <w:tc>
                <w:tcPr>
                  <w:tcW w:w="488" w:type="pct"/>
                  <w:shd w:val="clear" w:color="auto" w:fill="auto"/>
                  <w:vAlign w:val="center"/>
                </w:tcPr>
                <w:p w14:paraId="3DE143B8">
                  <w:pPr>
                    <w:pStyle w:val="51"/>
                    <w:spacing w:line="240" w:lineRule="auto"/>
                    <w:ind w:firstLine="0" w:firstLineChars="0"/>
                    <w:jc w:val="center"/>
                    <w:rPr>
                      <w:rFonts w:hint="eastAsia" w:eastAsia="宋体"/>
                      <w:sz w:val="21"/>
                      <w:szCs w:val="21"/>
                      <w:lang w:eastAsia="zh-CN"/>
                    </w:rPr>
                  </w:pPr>
                  <w:r>
                    <w:rPr>
                      <w:rFonts w:hint="eastAsia"/>
                      <w:sz w:val="21"/>
                      <w:szCs w:val="21"/>
                    </w:rPr>
                    <w:t>5</w:t>
                  </w:r>
                  <w:r>
                    <w:rPr>
                      <w:rFonts w:hint="eastAsia"/>
                      <w:sz w:val="21"/>
                      <w:szCs w:val="21"/>
                      <w:lang w:val="en-US" w:eastAsia="zh-CN"/>
                    </w:rPr>
                    <w:t>1</w:t>
                  </w:r>
                </w:p>
              </w:tc>
              <w:tc>
                <w:tcPr>
                  <w:tcW w:w="488" w:type="pct"/>
                  <w:shd w:val="clear" w:color="auto" w:fill="auto"/>
                  <w:vAlign w:val="center"/>
                </w:tcPr>
                <w:p w14:paraId="05EFBBF8">
                  <w:pPr>
                    <w:pStyle w:val="51"/>
                    <w:spacing w:line="240" w:lineRule="auto"/>
                    <w:ind w:firstLine="0" w:firstLineChars="0"/>
                    <w:jc w:val="center"/>
                    <w:rPr>
                      <w:sz w:val="21"/>
                      <w:szCs w:val="21"/>
                    </w:rPr>
                  </w:pPr>
                  <w:r>
                    <w:rPr>
                      <w:rFonts w:hint="eastAsia"/>
                      <w:sz w:val="21"/>
                      <w:szCs w:val="21"/>
                    </w:rPr>
                    <w:t>7</w:t>
                  </w:r>
                  <w:r>
                    <w:rPr>
                      <w:sz w:val="21"/>
                      <w:szCs w:val="21"/>
                    </w:rPr>
                    <w:t>0</w:t>
                  </w:r>
                </w:p>
              </w:tc>
              <w:tc>
                <w:tcPr>
                  <w:tcW w:w="684" w:type="pct"/>
                  <w:shd w:val="clear" w:color="auto" w:fill="auto"/>
                  <w:vAlign w:val="center"/>
                </w:tcPr>
                <w:p w14:paraId="590ACF91">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72.86</w:t>
                  </w:r>
                </w:p>
              </w:tc>
              <w:tc>
                <w:tcPr>
                  <w:tcW w:w="591" w:type="pct"/>
                  <w:shd w:val="clear" w:color="auto" w:fill="auto"/>
                  <w:vAlign w:val="center"/>
                </w:tcPr>
                <w:p w14:paraId="6E458121">
                  <w:pPr>
                    <w:pStyle w:val="51"/>
                    <w:spacing w:line="240" w:lineRule="auto"/>
                    <w:ind w:firstLine="0" w:firstLineChars="0"/>
                    <w:jc w:val="center"/>
                    <w:rPr>
                      <w:sz w:val="21"/>
                      <w:szCs w:val="21"/>
                    </w:rPr>
                  </w:pPr>
                  <w:r>
                    <w:rPr>
                      <w:sz w:val="21"/>
                      <w:szCs w:val="21"/>
                    </w:rPr>
                    <w:t>达标</w:t>
                  </w:r>
                </w:p>
              </w:tc>
            </w:tr>
            <w:tr w14:paraId="6ED4E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7" w:type="pct"/>
                  <w:shd w:val="clear" w:color="auto" w:fill="auto"/>
                  <w:vAlign w:val="center"/>
                </w:tcPr>
                <w:p w14:paraId="3ED5B6A7">
                  <w:pPr>
                    <w:pStyle w:val="51"/>
                    <w:spacing w:line="240" w:lineRule="auto"/>
                    <w:ind w:firstLine="0" w:firstLineChars="0"/>
                    <w:jc w:val="center"/>
                    <w:rPr>
                      <w:sz w:val="21"/>
                      <w:szCs w:val="21"/>
                    </w:rPr>
                  </w:pPr>
                  <w:r>
                    <w:rPr>
                      <w:sz w:val="21"/>
                      <w:szCs w:val="21"/>
                    </w:rPr>
                    <w:t>PM</w:t>
                  </w:r>
                  <w:r>
                    <w:rPr>
                      <w:sz w:val="21"/>
                      <w:szCs w:val="21"/>
                      <w:vertAlign w:val="subscript"/>
                    </w:rPr>
                    <w:t>2.5</w:t>
                  </w:r>
                </w:p>
              </w:tc>
              <w:tc>
                <w:tcPr>
                  <w:tcW w:w="1355" w:type="pct"/>
                  <w:shd w:val="clear" w:color="auto" w:fill="auto"/>
                  <w:vAlign w:val="center"/>
                </w:tcPr>
                <w:p w14:paraId="27CD0481">
                  <w:pPr>
                    <w:pStyle w:val="51"/>
                    <w:spacing w:line="240" w:lineRule="auto"/>
                    <w:ind w:firstLine="0" w:firstLineChars="0"/>
                    <w:jc w:val="center"/>
                    <w:rPr>
                      <w:sz w:val="21"/>
                      <w:szCs w:val="21"/>
                    </w:rPr>
                  </w:pPr>
                  <w:r>
                    <w:rPr>
                      <w:sz w:val="21"/>
                      <w:szCs w:val="21"/>
                    </w:rPr>
                    <w:t>年平均质量浓度</w:t>
                  </w:r>
                </w:p>
              </w:tc>
              <w:tc>
                <w:tcPr>
                  <w:tcW w:w="684" w:type="pct"/>
                  <w:vMerge w:val="continue"/>
                  <w:shd w:val="clear" w:color="auto" w:fill="auto"/>
                  <w:vAlign w:val="center"/>
                </w:tcPr>
                <w:p w14:paraId="7F32888C">
                  <w:pPr>
                    <w:pStyle w:val="51"/>
                    <w:spacing w:line="240" w:lineRule="auto"/>
                    <w:ind w:firstLine="0" w:firstLineChars="0"/>
                    <w:jc w:val="center"/>
                    <w:rPr>
                      <w:sz w:val="21"/>
                      <w:szCs w:val="21"/>
                    </w:rPr>
                  </w:pPr>
                </w:p>
              </w:tc>
              <w:tc>
                <w:tcPr>
                  <w:tcW w:w="488" w:type="pct"/>
                  <w:shd w:val="clear" w:color="auto" w:fill="auto"/>
                  <w:vAlign w:val="center"/>
                </w:tcPr>
                <w:p w14:paraId="50AD7232">
                  <w:pPr>
                    <w:pStyle w:val="51"/>
                    <w:spacing w:line="240" w:lineRule="auto"/>
                    <w:ind w:firstLine="0" w:firstLineChars="0"/>
                    <w:jc w:val="center"/>
                    <w:rPr>
                      <w:rFonts w:hint="eastAsia" w:eastAsia="宋体"/>
                      <w:sz w:val="21"/>
                      <w:szCs w:val="21"/>
                      <w:lang w:eastAsia="zh-CN"/>
                    </w:rPr>
                  </w:pPr>
                  <w:r>
                    <w:rPr>
                      <w:rFonts w:hint="eastAsia"/>
                      <w:sz w:val="21"/>
                      <w:szCs w:val="21"/>
                    </w:rPr>
                    <w:t>3</w:t>
                  </w:r>
                  <w:r>
                    <w:rPr>
                      <w:rFonts w:hint="eastAsia"/>
                      <w:sz w:val="21"/>
                      <w:szCs w:val="21"/>
                      <w:lang w:val="en-US" w:eastAsia="zh-CN"/>
                    </w:rPr>
                    <w:t>2</w:t>
                  </w:r>
                </w:p>
              </w:tc>
              <w:tc>
                <w:tcPr>
                  <w:tcW w:w="488" w:type="pct"/>
                  <w:shd w:val="clear" w:color="auto" w:fill="auto"/>
                  <w:vAlign w:val="center"/>
                </w:tcPr>
                <w:p w14:paraId="2902D470">
                  <w:pPr>
                    <w:pStyle w:val="51"/>
                    <w:spacing w:line="240" w:lineRule="auto"/>
                    <w:ind w:firstLine="0" w:firstLineChars="0"/>
                    <w:jc w:val="center"/>
                    <w:rPr>
                      <w:sz w:val="21"/>
                      <w:szCs w:val="21"/>
                    </w:rPr>
                  </w:pPr>
                  <w:r>
                    <w:rPr>
                      <w:rFonts w:hint="eastAsia"/>
                      <w:sz w:val="21"/>
                      <w:szCs w:val="21"/>
                    </w:rPr>
                    <w:t>3</w:t>
                  </w:r>
                  <w:r>
                    <w:rPr>
                      <w:sz w:val="21"/>
                      <w:szCs w:val="21"/>
                    </w:rPr>
                    <w:t>5</w:t>
                  </w:r>
                </w:p>
              </w:tc>
              <w:tc>
                <w:tcPr>
                  <w:tcW w:w="684" w:type="pct"/>
                  <w:shd w:val="clear" w:color="auto" w:fill="auto"/>
                  <w:vAlign w:val="center"/>
                </w:tcPr>
                <w:p w14:paraId="6C9C9238">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91.43</w:t>
                  </w:r>
                </w:p>
              </w:tc>
              <w:tc>
                <w:tcPr>
                  <w:tcW w:w="591" w:type="pct"/>
                  <w:shd w:val="clear" w:color="auto" w:fill="auto"/>
                  <w:vAlign w:val="center"/>
                </w:tcPr>
                <w:p w14:paraId="68F3DF93">
                  <w:pPr>
                    <w:pStyle w:val="51"/>
                    <w:spacing w:line="240" w:lineRule="auto"/>
                    <w:ind w:firstLine="0" w:firstLineChars="0"/>
                    <w:jc w:val="center"/>
                    <w:rPr>
                      <w:sz w:val="21"/>
                      <w:szCs w:val="21"/>
                    </w:rPr>
                  </w:pPr>
                  <w:r>
                    <w:rPr>
                      <w:sz w:val="21"/>
                      <w:szCs w:val="21"/>
                    </w:rPr>
                    <w:t>达标</w:t>
                  </w:r>
                </w:p>
              </w:tc>
            </w:tr>
            <w:tr w14:paraId="70111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7" w:type="pct"/>
                  <w:shd w:val="clear" w:color="auto" w:fill="auto"/>
                  <w:vAlign w:val="center"/>
                </w:tcPr>
                <w:p w14:paraId="799B00CD">
                  <w:pPr>
                    <w:pStyle w:val="51"/>
                    <w:spacing w:line="240" w:lineRule="auto"/>
                    <w:ind w:firstLine="0" w:firstLineChars="0"/>
                    <w:jc w:val="center"/>
                    <w:rPr>
                      <w:sz w:val="21"/>
                      <w:szCs w:val="21"/>
                    </w:rPr>
                  </w:pPr>
                  <w:r>
                    <w:rPr>
                      <w:sz w:val="21"/>
                      <w:szCs w:val="21"/>
                    </w:rPr>
                    <w:t>CO</w:t>
                  </w:r>
                </w:p>
              </w:tc>
              <w:tc>
                <w:tcPr>
                  <w:tcW w:w="1355" w:type="pct"/>
                  <w:shd w:val="clear" w:color="auto" w:fill="auto"/>
                  <w:vAlign w:val="center"/>
                </w:tcPr>
                <w:p w14:paraId="4A7AC09E">
                  <w:pPr>
                    <w:pStyle w:val="51"/>
                    <w:spacing w:line="240" w:lineRule="auto"/>
                    <w:ind w:firstLine="0" w:firstLineChars="0"/>
                    <w:jc w:val="center"/>
                    <w:rPr>
                      <w:sz w:val="21"/>
                      <w:szCs w:val="21"/>
                    </w:rPr>
                  </w:pPr>
                  <w:r>
                    <w:rPr>
                      <w:rFonts w:hint="eastAsia"/>
                      <w:sz w:val="21"/>
                      <w:szCs w:val="21"/>
                    </w:rPr>
                    <w:t>第95百分位数年均值</w:t>
                  </w:r>
                </w:p>
              </w:tc>
              <w:tc>
                <w:tcPr>
                  <w:tcW w:w="684" w:type="pct"/>
                  <w:shd w:val="clear" w:color="auto" w:fill="auto"/>
                  <w:vAlign w:val="center"/>
                </w:tcPr>
                <w:p w14:paraId="623C48E2">
                  <w:pPr>
                    <w:pStyle w:val="51"/>
                    <w:spacing w:line="240" w:lineRule="auto"/>
                    <w:ind w:firstLine="0" w:firstLineChars="0"/>
                    <w:jc w:val="center"/>
                    <w:rPr>
                      <w:sz w:val="21"/>
                      <w:szCs w:val="21"/>
                    </w:rPr>
                  </w:pPr>
                  <w:r>
                    <w:rPr>
                      <w:sz w:val="21"/>
                      <w:szCs w:val="21"/>
                    </w:rPr>
                    <w:t>mg/m</w:t>
                  </w:r>
                  <w:r>
                    <w:rPr>
                      <w:sz w:val="21"/>
                      <w:szCs w:val="21"/>
                      <w:vertAlign w:val="superscript"/>
                    </w:rPr>
                    <w:t>3</w:t>
                  </w:r>
                </w:p>
              </w:tc>
              <w:tc>
                <w:tcPr>
                  <w:tcW w:w="488" w:type="pct"/>
                  <w:shd w:val="clear" w:color="auto" w:fill="auto"/>
                  <w:vAlign w:val="center"/>
                </w:tcPr>
                <w:p w14:paraId="3DC4FDFD">
                  <w:pPr>
                    <w:pStyle w:val="51"/>
                    <w:spacing w:line="240" w:lineRule="auto"/>
                    <w:ind w:firstLine="0" w:firstLineChars="0"/>
                    <w:jc w:val="center"/>
                    <w:rPr>
                      <w:sz w:val="21"/>
                      <w:szCs w:val="21"/>
                    </w:rPr>
                  </w:pPr>
                  <w:r>
                    <w:rPr>
                      <w:rFonts w:hint="eastAsia"/>
                      <w:sz w:val="21"/>
                      <w:szCs w:val="21"/>
                    </w:rPr>
                    <w:t>1</w:t>
                  </w:r>
                </w:p>
              </w:tc>
              <w:tc>
                <w:tcPr>
                  <w:tcW w:w="488" w:type="pct"/>
                  <w:shd w:val="clear" w:color="auto" w:fill="auto"/>
                  <w:vAlign w:val="center"/>
                </w:tcPr>
                <w:p w14:paraId="49509E5D">
                  <w:pPr>
                    <w:pStyle w:val="51"/>
                    <w:spacing w:line="240" w:lineRule="auto"/>
                    <w:ind w:firstLine="0" w:firstLineChars="0"/>
                    <w:jc w:val="center"/>
                    <w:rPr>
                      <w:sz w:val="21"/>
                      <w:szCs w:val="21"/>
                    </w:rPr>
                  </w:pPr>
                  <w:r>
                    <w:rPr>
                      <w:rFonts w:hint="eastAsia"/>
                      <w:sz w:val="21"/>
                      <w:szCs w:val="21"/>
                    </w:rPr>
                    <w:t>4</w:t>
                  </w:r>
                </w:p>
              </w:tc>
              <w:tc>
                <w:tcPr>
                  <w:tcW w:w="684" w:type="pct"/>
                  <w:shd w:val="clear" w:color="auto" w:fill="auto"/>
                  <w:vAlign w:val="center"/>
                </w:tcPr>
                <w:p w14:paraId="34D82C41">
                  <w:pPr>
                    <w:pStyle w:val="51"/>
                    <w:spacing w:line="240" w:lineRule="auto"/>
                    <w:ind w:firstLine="0" w:firstLineChars="0"/>
                    <w:jc w:val="center"/>
                    <w:rPr>
                      <w:sz w:val="21"/>
                      <w:szCs w:val="21"/>
                    </w:rPr>
                  </w:pPr>
                  <w:r>
                    <w:rPr>
                      <w:sz w:val="21"/>
                      <w:szCs w:val="21"/>
                    </w:rPr>
                    <w:t>25.00</w:t>
                  </w:r>
                </w:p>
              </w:tc>
              <w:tc>
                <w:tcPr>
                  <w:tcW w:w="591" w:type="pct"/>
                  <w:shd w:val="clear" w:color="auto" w:fill="auto"/>
                  <w:vAlign w:val="center"/>
                </w:tcPr>
                <w:p w14:paraId="34BA746C">
                  <w:pPr>
                    <w:pStyle w:val="51"/>
                    <w:spacing w:line="240" w:lineRule="auto"/>
                    <w:ind w:firstLine="0" w:firstLineChars="0"/>
                    <w:jc w:val="center"/>
                    <w:rPr>
                      <w:sz w:val="21"/>
                      <w:szCs w:val="21"/>
                    </w:rPr>
                  </w:pPr>
                  <w:r>
                    <w:rPr>
                      <w:sz w:val="21"/>
                      <w:szCs w:val="21"/>
                    </w:rPr>
                    <w:t>达标</w:t>
                  </w:r>
                </w:p>
              </w:tc>
            </w:tr>
            <w:tr w14:paraId="56499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07" w:type="pct"/>
                  <w:shd w:val="clear" w:color="auto" w:fill="auto"/>
                  <w:vAlign w:val="center"/>
                </w:tcPr>
                <w:p w14:paraId="59B6B4B7">
                  <w:pPr>
                    <w:pStyle w:val="51"/>
                    <w:spacing w:line="240" w:lineRule="auto"/>
                    <w:ind w:firstLine="0" w:firstLineChars="0"/>
                    <w:jc w:val="center"/>
                    <w:rPr>
                      <w:sz w:val="21"/>
                      <w:szCs w:val="21"/>
                    </w:rPr>
                  </w:pPr>
                  <w:r>
                    <w:rPr>
                      <w:sz w:val="21"/>
                      <w:szCs w:val="21"/>
                    </w:rPr>
                    <w:t>O</w:t>
                  </w:r>
                  <w:r>
                    <w:rPr>
                      <w:sz w:val="21"/>
                      <w:szCs w:val="21"/>
                      <w:vertAlign w:val="subscript"/>
                    </w:rPr>
                    <w:t>3</w:t>
                  </w:r>
                </w:p>
              </w:tc>
              <w:tc>
                <w:tcPr>
                  <w:tcW w:w="1355" w:type="pct"/>
                  <w:shd w:val="clear" w:color="auto" w:fill="auto"/>
                  <w:vAlign w:val="center"/>
                </w:tcPr>
                <w:p w14:paraId="513FC97D">
                  <w:pPr>
                    <w:pStyle w:val="51"/>
                    <w:spacing w:line="240" w:lineRule="auto"/>
                    <w:ind w:firstLine="0" w:firstLineChars="0"/>
                    <w:jc w:val="center"/>
                    <w:rPr>
                      <w:sz w:val="21"/>
                      <w:szCs w:val="21"/>
                    </w:rPr>
                  </w:pPr>
                  <w:r>
                    <w:rPr>
                      <w:rFonts w:hint="eastAsia"/>
                      <w:sz w:val="21"/>
                      <w:szCs w:val="21"/>
                    </w:rPr>
                    <w:t>日最大8小时第90百分位浓度年均值</w:t>
                  </w:r>
                </w:p>
              </w:tc>
              <w:tc>
                <w:tcPr>
                  <w:tcW w:w="684" w:type="pct"/>
                  <w:shd w:val="clear" w:color="auto" w:fill="auto"/>
                  <w:vAlign w:val="center"/>
                </w:tcPr>
                <w:p w14:paraId="1721A7AA">
                  <w:pPr>
                    <w:pStyle w:val="51"/>
                    <w:spacing w:line="240" w:lineRule="auto"/>
                    <w:ind w:firstLine="0" w:firstLineChars="0"/>
                    <w:jc w:val="center"/>
                    <w:rPr>
                      <w:sz w:val="21"/>
                      <w:szCs w:val="21"/>
                    </w:rPr>
                  </w:pPr>
                  <w:r>
                    <w:rPr>
                      <w:sz w:val="21"/>
                      <w:szCs w:val="21"/>
                    </w:rPr>
                    <w:t>ug/m</w:t>
                  </w:r>
                  <w:r>
                    <w:rPr>
                      <w:sz w:val="21"/>
                      <w:szCs w:val="21"/>
                      <w:vertAlign w:val="superscript"/>
                    </w:rPr>
                    <w:t>3</w:t>
                  </w:r>
                </w:p>
              </w:tc>
              <w:tc>
                <w:tcPr>
                  <w:tcW w:w="488" w:type="pct"/>
                  <w:shd w:val="clear" w:color="auto" w:fill="auto"/>
                  <w:vAlign w:val="center"/>
                </w:tcPr>
                <w:p w14:paraId="0129E3C7">
                  <w:pPr>
                    <w:pStyle w:val="51"/>
                    <w:spacing w:line="240" w:lineRule="auto"/>
                    <w:ind w:firstLine="0" w:firstLineChars="0"/>
                    <w:jc w:val="center"/>
                    <w:rPr>
                      <w:rFonts w:hint="default" w:eastAsia="宋体"/>
                      <w:sz w:val="21"/>
                      <w:szCs w:val="21"/>
                      <w:lang w:val="en-US" w:eastAsia="zh-CN"/>
                    </w:rPr>
                  </w:pPr>
                  <w:r>
                    <w:rPr>
                      <w:rFonts w:hint="eastAsia"/>
                      <w:sz w:val="21"/>
                      <w:szCs w:val="21"/>
                    </w:rPr>
                    <w:t>1</w:t>
                  </w:r>
                  <w:r>
                    <w:rPr>
                      <w:rFonts w:hint="eastAsia"/>
                      <w:sz w:val="21"/>
                      <w:szCs w:val="21"/>
                      <w:lang w:val="en-US" w:eastAsia="zh-CN"/>
                    </w:rPr>
                    <w:t>56</w:t>
                  </w:r>
                </w:p>
              </w:tc>
              <w:tc>
                <w:tcPr>
                  <w:tcW w:w="488" w:type="pct"/>
                  <w:shd w:val="clear" w:color="auto" w:fill="auto"/>
                  <w:vAlign w:val="center"/>
                </w:tcPr>
                <w:p w14:paraId="3F13F38E">
                  <w:pPr>
                    <w:pStyle w:val="51"/>
                    <w:spacing w:line="240" w:lineRule="auto"/>
                    <w:ind w:firstLine="0" w:firstLineChars="0"/>
                    <w:jc w:val="center"/>
                    <w:rPr>
                      <w:sz w:val="21"/>
                      <w:szCs w:val="21"/>
                    </w:rPr>
                  </w:pPr>
                  <w:r>
                    <w:rPr>
                      <w:rFonts w:hint="eastAsia"/>
                      <w:sz w:val="21"/>
                      <w:szCs w:val="21"/>
                    </w:rPr>
                    <w:t>1</w:t>
                  </w:r>
                  <w:r>
                    <w:rPr>
                      <w:sz w:val="21"/>
                      <w:szCs w:val="21"/>
                    </w:rPr>
                    <w:t>60</w:t>
                  </w:r>
                </w:p>
              </w:tc>
              <w:tc>
                <w:tcPr>
                  <w:tcW w:w="684" w:type="pct"/>
                  <w:shd w:val="clear" w:color="auto" w:fill="auto"/>
                  <w:vAlign w:val="center"/>
                </w:tcPr>
                <w:p w14:paraId="7B735325">
                  <w:pPr>
                    <w:pStyle w:val="51"/>
                    <w:spacing w:line="240" w:lineRule="auto"/>
                    <w:ind w:firstLine="0" w:firstLineChars="0"/>
                    <w:jc w:val="center"/>
                    <w:rPr>
                      <w:rFonts w:hint="default" w:eastAsia="宋体"/>
                      <w:sz w:val="21"/>
                      <w:szCs w:val="21"/>
                      <w:lang w:val="en-US" w:eastAsia="zh-CN"/>
                    </w:rPr>
                  </w:pPr>
                  <w:r>
                    <w:rPr>
                      <w:rFonts w:hint="eastAsia"/>
                      <w:sz w:val="21"/>
                      <w:szCs w:val="21"/>
                      <w:lang w:val="en-US" w:eastAsia="zh-CN"/>
                    </w:rPr>
                    <w:t>97.50</w:t>
                  </w:r>
                </w:p>
              </w:tc>
              <w:tc>
                <w:tcPr>
                  <w:tcW w:w="591" w:type="pct"/>
                  <w:shd w:val="clear" w:color="auto" w:fill="auto"/>
                  <w:vAlign w:val="center"/>
                </w:tcPr>
                <w:p w14:paraId="2D7756CC">
                  <w:pPr>
                    <w:pStyle w:val="51"/>
                    <w:spacing w:line="240" w:lineRule="auto"/>
                    <w:ind w:firstLine="0" w:firstLineChars="0"/>
                    <w:jc w:val="center"/>
                    <w:rPr>
                      <w:sz w:val="21"/>
                      <w:szCs w:val="21"/>
                    </w:rPr>
                  </w:pPr>
                  <w:r>
                    <w:rPr>
                      <w:sz w:val="21"/>
                      <w:szCs w:val="21"/>
                    </w:rPr>
                    <w:t>达标</w:t>
                  </w:r>
                </w:p>
              </w:tc>
            </w:tr>
            <w:tr w14:paraId="56517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7"/>
                  <w:shd w:val="clear" w:color="auto" w:fill="auto"/>
                  <w:vAlign w:val="center"/>
                </w:tcPr>
                <w:p w14:paraId="7ACD8E5C">
                  <w:pPr>
                    <w:pStyle w:val="51"/>
                    <w:spacing w:line="240" w:lineRule="auto"/>
                    <w:ind w:firstLine="0" w:firstLineChars="0"/>
                    <w:jc w:val="both"/>
                    <w:rPr>
                      <w:sz w:val="21"/>
                      <w:szCs w:val="21"/>
                    </w:rPr>
                  </w:pPr>
                  <w:r>
                    <w:rPr>
                      <w:rFonts w:hint="eastAsia"/>
                      <w:color w:val="auto"/>
                      <w:sz w:val="21"/>
                      <w:szCs w:val="21"/>
                      <w:highlight w:val="none"/>
                    </w:rPr>
                    <w:t>注:《环境空气质量标准》(GB3095</w:t>
                  </w:r>
                  <w:r>
                    <w:rPr>
                      <w:rFonts w:hint="eastAsia"/>
                      <w:color w:val="auto"/>
                      <w:sz w:val="21"/>
                      <w:szCs w:val="21"/>
                      <w:highlight w:val="none"/>
                      <w:lang w:val="en-US" w:eastAsia="zh-CN"/>
                    </w:rPr>
                    <w:t>-</w:t>
                  </w:r>
                  <w:r>
                    <w:rPr>
                      <w:rFonts w:hint="eastAsia"/>
                      <w:color w:val="auto"/>
                      <w:sz w:val="21"/>
                      <w:szCs w:val="21"/>
                      <w:highlight w:val="none"/>
                    </w:rPr>
                    <w:t>2026)于2026年3月1日实施，本次评价常规污染物数据引用《2024年池州市生态环境状况公报》中数据，其标准值依旧对标《环境空气质量标准》(GB3095</w:t>
                  </w:r>
                  <w:r>
                    <w:rPr>
                      <w:rFonts w:hint="eastAsia"/>
                      <w:color w:val="auto"/>
                      <w:sz w:val="21"/>
                      <w:szCs w:val="21"/>
                      <w:highlight w:val="none"/>
                      <w:lang w:val="en-US" w:eastAsia="zh-CN"/>
                    </w:rPr>
                    <w:t>-</w:t>
                  </w:r>
                  <w:r>
                    <w:rPr>
                      <w:rFonts w:hint="eastAsia"/>
                      <w:color w:val="auto"/>
                      <w:sz w:val="21"/>
                      <w:szCs w:val="21"/>
                      <w:highlight w:val="none"/>
                    </w:rPr>
                    <w:t>2012)</w:t>
                  </w:r>
                  <w:r>
                    <w:rPr>
                      <w:rFonts w:hint="eastAsia"/>
                      <w:color w:val="auto"/>
                      <w:sz w:val="21"/>
                      <w:szCs w:val="21"/>
                      <w:highlight w:val="none"/>
                      <w:lang w:eastAsia="zh-CN"/>
                    </w:rPr>
                    <w:t>。</w:t>
                  </w:r>
                </w:p>
              </w:tc>
            </w:tr>
          </w:tbl>
          <w:p w14:paraId="12EE5872">
            <w:pPr>
              <w:pStyle w:val="51"/>
              <w:keepNext w:val="0"/>
              <w:keepLines w:val="0"/>
              <w:pageBreakBefore w:val="0"/>
              <w:widowControl w:val="0"/>
              <w:kinsoku/>
              <w:wordWrap/>
              <w:overflowPunct/>
              <w:topLinePunct w:val="0"/>
              <w:autoSpaceDE/>
              <w:autoSpaceDN/>
              <w:bidi w:val="0"/>
              <w:adjustRightInd w:val="0"/>
              <w:snapToGrid w:val="0"/>
              <w:spacing w:before="157" w:beforeLines="50"/>
              <w:ind w:firstLine="480"/>
              <w:textAlignment w:val="auto"/>
            </w:pPr>
            <w:r>
              <w:rPr>
                <w:rFonts w:hint="eastAsia"/>
              </w:rPr>
              <w:t>（2）特征污染物</w:t>
            </w:r>
          </w:p>
          <w:p w14:paraId="3CAA34C5">
            <w:pPr>
              <w:pStyle w:val="51"/>
              <w:ind w:firstLine="480"/>
            </w:pPr>
            <w:r>
              <w:rPr>
                <w:rFonts w:hint="eastAsia"/>
              </w:rPr>
              <w:t>根据《建设项目环境影响报告表编制技术指南（污染影响类）（试行）》（以下简称《指南》）规定：排放国家、地方环境空气质量标准中有标准限值要求的特征污染物时，引用建设项目周边5千米范围内近3年的现有监测数据，无相关数据的选择当季主导风向下风向1个点位补充不少于3天的监测数据。</w:t>
            </w:r>
          </w:p>
          <w:p w14:paraId="2C766C00">
            <w:pPr>
              <w:pStyle w:val="51"/>
              <w:ind w:firstLine="480"/>
            </w:pPr>
            <w:r>
              <w:rPr>
                <w:rFonts w:hint="eastAsia"/>
              </w:rPr>
              <w:t>本项目废气特征污染物主要为非甲烷总烃、颗粒物、锡及其化合物。其中，国家、地方环境空气质量标准中均没有锡及其化合物标准限值要求，因此无需监测。</w:t>
            </w:r>
            <w:r>
              <w:rPr>
                <w:rFonts w:hint="eastAsia"/>
                <w:color w:val="FF0000"/>
              </w:rPr>
              <w:t>本次评价非甲烷总烃引用《皖江江南新兴产业集中区环境影响区域评估报告》2025年监测数据，检测日期为2025年2月9日-2月15日，检测点位（龙腾大道与凤鸣大道交汇口西南处）位于本项目东南侧</w:t>
            </w:r>
            <w:r>
              <w:rPr>
                <w:rFonts w:hint="eastAsia"/>
                <w:color w:val="FF0000"/>
                <w:lang w:val="en-US" w:eastAsia="zh-CN"/>
              </w:rPr>
              <w:t>569</w:t>
            </w:r>
            <w:r>
              <w:rPr>
                <w:rFonts w:hint="eastAsia"/>
                <w:color w:val="FF0000"/>
              </w:rPr>
              <w:t>m处；TSP引用《安徽鑫梁铝业科技有限公司年产5万吨铝材深加工技术改造项目环境影响报告书》中的数据，检测日期为202</w:t>
            </w:r>
            <w:r>
              <w:rPr>
                <w:rFonts w:hint="eastAsia"/>
                <w:color w:val="FF0000"/>
                <w:lang w:val="en-US" w:eastAsia="zh-CN"/>
              </w:rPr>
              <w:t>4</w:t>
            </w:r>
            <w:r>
              <w:rPr>
                <w:rFonts w:hint="eastAsia"/>
                <w:color w:val="FF0000"/>
              </w:rPr>
              <w:t>年</w:t>
            </w:r>
            <w:r>
              <w:rPr>
                <w:rFonts w:hint="eastAsia"/>
                <w:color w:val="FF0000"/>
                <w:lang w:val="en-US" w:eastAsia="zh-CN"/>
              </w:rPr>
              <w:t>7</w:t>
            </w:r>
            <w:r>
              <w:rPr>
                <w:rFonts w:hint="eastAsia"/>
                <w:color w:val="FF0000"/>
              </w:rPr>
              <w:t>月3日-</w:t>
            </w:r>
            <w:r>
              <w:rPr>
                <w:rFonts w:hint="eastAsia"/>
                <w:color w:val="FF0000"/>
                <w:lang w:val="en-US" w:eastAsia="zh-CN"/>
              </w:rPr>
              <w:t>7</w:t>
            </w:r>
            <w:r>
              <w:rPr>
                <w:rFonts w:hint="eastAsia"/>
                <w:color w:val="FF0000"/>
              </w:rPr>
              <w:t>月</w:t>
            </w:r>
            <w:r>
              <w:rPr>
                <w:rFonts w:hint="eastAsia"/>
                <w:color w:val="FF0000"/>
                <w:lang w:val="en-US" w:eastAsia="zh-CN"/>
              </w:rPr>
              <w:t>9</w:t>
            </w:r>
            <w:r>
              <w:rPr>
                <w:rFonts w:hint="eastAsia"/>
                <w:color w:val="FF0000"/>
              </w:rPr>
              <w:t>日，监测点位</w:t>
            </w:r>
            <w:r>
              <w:rPr>
                <w:rFonts w:hint="eastAsia"/>
                <w:color w:val="FF0000"/>
                <w:lang w:eastAsia="zh-CN"/>
              </w:rPr>
              <w:t>（</w:t>
            </w:r>
            <w:r>
              <w:rPr>
                <w:rFonts w:hint="eastAsia"/>
                <w:color w:val="FF0000"/>
              </w:rPr>
              <w:t>安徽鑫梁铝业科技有限公司</w:t>
            </w:r>
            <w:r>
              <w:rPr>
                <w:rFonts w:hint="eastAsia"/>
                <w:color w:val="FF0000"/>
                <w:lang w:val="en-US" w:eastAsia="zh-CN"/>
              </w:rPr>
              <w:t>西</w:t>
            </w:r>
            <w:r>
              <w:rPr>
                <w:rFonts w:hint="eastAsia"/>
                <w:color w:val="FF0000"/>
              </w:rPr>
              <w:t>南侧</w:t>
            </w:r>
            <w:r>
              <w:rPr>
                <w:rFonts w:hint="eastAsia"/>
                <w:color w:val="FF0000"/>
                <w:lang w:eastAsia="zh-CN"/>
              </w:rPr>
              <w:t>）</w:t>
            </w:r>
            <w:r>
              <w:rPr>
                <w:rFonts w:hint="eastAsia"/>
                <w:color w:val="FF0000"/>
              </w:rPr>
              <w:t>位于本项目西南侧约</w:t>
            </w:r>
            <w:r>
              <w:rPr>
                <w:rFonts w:hint="eastAsia"/>
                <w:color w:val="FF0000"/>
                <w:lang w:val="en-US" w:eastAsia="zh-CN"/>
              </w:rPr>
              <w:t>3345</w:t>
            </w:r>
            <w:r>
              <w:rPr>
                <w:rFonts w:hint="eastAsia"/>
                <w:color w:val="FF0000"/>
              </w:rPr>
              <w:t>m</w:t>
            </w:r>
            <w:r>
              <w:rPr>
                <w:rFonts w:hint="eastAsia"/>
                <w:color w:val="FF0000"/>
                <w:lang w:eastAsia="zh-CN"/>
              </w:rPr>
              <w:t>。</w:t>
            </w:r>
            <w:r>
              <w:rPr>
                <w:rFonts w:hint="eastAsia"/>
                <w:color w:val="FF0000"/>
              </w:rPr>
              <w:t>监测数据均符合《指南》要求的引用条件</w:t>
            </w:r>
            <w:r>
              <w:rPr>
                <w:rFonts w:hint="eastAsia"/>
                <w:color w:val="FF0000"/>
                <w:lang w:eastAsia="zh-CN"/>
              </w:rPr>
              <w:t>，</w:t>
            </w:r>
            <w:r>
              <w:rPr>
                <w:rFonts w:hint="eastAsia"/>
                <w:color w:val="FF0000"/>
              </w:rPr>
              <w:t>监测点位见表3-</w:t>
            </w:r>
            <w:r>
              <w:rPr>
                <w:color w:val="FF0000"/>
              </w:rPr>
              <w:t>2</w:t>
            </w:r>
            <w:r>
              <w:rPr>
                <w:rFonts w:hint="eastAsia"/>
                <w:color w:val="FF0000"/>
                <w:lang w:val="en-US" w:eastAsia="zh-CN"/>
              </w:rPr>
              <w:t>和图3-1</w:t>
            </w:r>
            <w:r>
              <w:rPr>
                <w:rFonts w:hint="eastAsia"/>
                <w:color w:val="FF0000"/>
              </w:rPr>
              <w:t>。</w:t>
            </w:r>
          </w:p>
          <w:p w14:paraId="7B6B84B5">
            <w:pPr>
              <w:pStyle w:val="52"/>
              <w:rPr>
                <w:color w:val="FF0000"/>
              </w:rPr>
            </w:pPr>
            <w:r>
              <w:rPr>
                <w:rFonts w:hint="eastAsia"/>
                <w:color w:val="FF0000"/>
              </w:rPr>
              <w:t>表</w:t>
            </w:r>
            <w:r>
              <w:rPr>
                <w:color w:val="FF0000"/>
              </w:rPr>
              <w:t>3</w:t>
            </w:r>
            <w:r>
              <w:rPr>
                <w:rFonts w:hint="eastAsia"/>
                <w:color w:val="FF0000"/>
              </w:rPr>
              <w:t>-</w:t>
            </w:r>
            <w:r>
              <w:rPr>
                <w:color w:val="FF0000"/>
              </w:rPr>
              <w:t xml:space="preserve">2  </w:t>
            </w:r>
            <w:r>
              <w:rPr>
                <w:rFonts w:hint="eastAsia"/>
                <w:color w:val="FF0000"/>
              </w:rPr>
              <w:t>环境空气监测点位</w:t>
            </w:r>
          </w:p>
          <w:tbl>
            <w:tblPr>
              <w:tblStyle w:val="23"/>
              <w:tblW w:w="8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2"/>
              <w:gridCol w:w="2079"/>
              <w:gridCol w:w="1417"/>
              <w:gridCol w:w="1419"/>
              <w:gridCol w:w="2365"/>
            </w:tblGrid>
            <w:tr w14:paraId="5A759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572" w:type="pct"/>
                  <w:vMerge w:val="restart"/>
                  <w:vAlign w:val="center"/>
                </w:tcPr>
                <w:p w14:paraId="12B0D054">
                  <w:pPr>
                    <w:jc w:val="center"/>
                    <w:rPr>
                      <w:b/>
                      <w:bCs/>
                      <w:color w:val="FF0000"/>
                    </w:rPr>
                  </w:pPr>
                  <w:r>
                    <w:rPr>
                      <w:b/>
                      <w:bCs/>
                      <w:color w:val="FF0000"/>
                    </w:rPr>
                    <w:t>编号</w:t>
                  </w:r>
                </w:p>
              </w:tc>
              <w:tc>
                <w:tcPr>
                  <w:tcW w:w="1264" w:type="pct"/>
                  <w:vMerge w:val="restart"/>
                  <w:vAlign w:val="center"/>
                </w:tcPr>
                <w:p w14:paraId="2434EE00">
                  <w:pPr>
                    <w:jc w:val="center"/>
                    <w:rPr>
                      <w:b/>
                      <w:bCs/>
                      <w:color w:val="FF0000"/>
                    </w:rPr>
                  </w:pPr>
                  <w:r>
                    <w:rPr>
                      <w:b/>
                      <w:bCs/>
                      <w:color w:val="FF0000"/>
                    </w:rPr>
                    <w:t>名称</w:t>
                  </w:r>
                </w:p>
              </w:tc>
              <w:tc>
                <w:tcPr>
                  <w:tcW w:w="1724" w:type="pct"/>
                  <w:gridSpan w:val="2"/>
                  <w:vAlign w:val="center"/>
                </w:tcPr>
                <w:p w14:paraId="1D9B346B">
                  <w:pPr>
                    <w:jc w:val="center"/>
                    <w:rPr>
                      <w:b/>
                      <w:bCs/>
                      <w:color w:val="FF0000"/>
                    </w:rPr>
                  </w:pPr>
                  <w:r>
                    <w:rPr>
                      <w:b/>
                      <w:bCs/>
                      <w:color w:val="FF0000"/>
                    </w:rPr>
                    <w:t>相对</w:t>
                  </w:r>
                  <w:r>
                    <w:rPr>
                      <w:rFonts w:hint="eastAsia"/>
                      <w:b/>
                      <w:bCs/>
                      <w:color w:val="FF0000"/>
                    </w:rPr>
                    <w:t>拟建项目</w:t>
                  </w:r>
                </w:p>
              </w:tc>
              <w:tc>
                <w:tcPr>
                  <w:tcW w:w="1438" w:type="pct"/>
                  <w:vMerge w:val="restart"/>
                  <w:vAlign w:val="center"/>
                </w:tcPr>
                <w:p w14:paraId="6636AC1C">
                  <w:pPr>
                    <w:jc w:val="center"/>
                    <w:rPr>
                      <w:b/>
                      <w:bCs/>
                      <w:color w:val="FF0000"/>
                    </w:rPr>
                  </w:pPr>
                  <w:r>
                    <w:rPr>
                      <w:rFonts w:hint="eastAsia"/>
                      <w:b/>
                      <w:bCs/>
                      <w:color w:val="FF0000"/>
                    </w:rPr>
                    <w:t>监测因子</w:t>
                  </w:r>
                </w:p>
              </w:tc>
            </w:tr>
            <w:tr w14:paraId="11502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2" w:type="pct"/>
                  <w:vMerge w:val="continue"/>
                  <w:vAlign w:val="center"/>
                </w:tcPr>
                <w:p w14:paraId="6BB01896">
                  <w:pPr>
                    <w:jc w:val="center"/>
                    <w:rPr>
                      <w:b/>
                      <w:bCs/>
                      <w:color w:val="FF0000"/>
                    </w:rPr>
                  </w:pPr>
                </w:p>
              </w:tc>
              <w:tc>
                <w:tcPr>
                  <w:tcW w:w="1264" w:type="pct"/>
                  <w:vMerge w:val="continue"/>
                  <w:vAlign w:val="center"/>
                </w:tcPr>
                <w:p w14:paraId="5DAC152C">
                  <w:pPr>
                    <w:jc w:val="center"/>
                    <w:rPr>
                      <w:b/>
                      <w:bCs/>
                      <w:color w:val="FF0000"/>
                    </w:rPr>
                  </w:pPr>
                </w:p>
              </w:tc>
              <w:tc>
                <w:tcPr>
                  <w:tcW w:w="861" w:type="pct"/>
                  <w:vAlign w:val="center"/>
                </w:tcPr>
                <w:p w14:paraId="2DB51B5E">
                  <w:pPr>
                    <w:jc w:val="center"/>
                    <w:rPr>
                      <w:b/>
                      <w:bCs/>
                      <w:color w:val="FF0000"/>
                    </w:rPr>
                  </w:pPr>
                  <w:r>
                    <w:rPr>
                      <w:b/>
                      <w:bCs/>
                      <w:color w:val="FF0000"/>
                    </w:rPr>
                    <w:t>方位</w:t>
                  </w:r>
                </w:p>
              </w:tc>
              <w:tc>
                <w:tcPr>
                  <w:tcW w:w="862" w:type="pct"/>
                  <w:vAlign w:val="center"/>
                </w:tcPr>
                <w:p w14:paraId="17E7AB95">
                  <w:pPr>
                    <w:jc w:val="center"/>
                    <w:rPr>
                      <w:b/>
                      <w:bCs/>
                      <w:color w:val="FF0000"/>
                    </w:rPr>
                  </w:pPr>
                  <w:r>
                    <w:rPr>
                      <w:b/>
                      <w:bCs/>
                      <w:color w:val="FF0000"/>
                    </w:rPr>
                    <w:t>距离（m）</w:t>
                  </w:r>
                </w:p>
              </w:tc>
              <w:tc>
                <w:tcPr>
                  <w:tcW w:w="1438" w:type="pct"/>
                  <w:vMerge w:val="continue"/>
                  <w:vAlign w:val="center"/>
                </w:tcPr>
                <w:p w14:paraId="2DAE4314">
                  <w:pPr>
                    <w:jc w:val="center"/>
                    <w:rPr>
                      <w:color w:val="FF0000"/>
                    </w:rPr>
                  </w:pPr>
                </w:p>
              </w:tc>
            </w:tr>
            <w:tr w14:paraId="62ED9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2" w:type="pct"/>
                  <w:vAlign w:val="center"/>
                </w:tcPr>
                <w:p w14:paraId="4B3B7A06">
                  <w:pPr>
                    <w:jc w:val="center"/>
                    <w:rPr>
                      <w:color w:val="FF0000"/>
                    </w:rPr>
                  </w:pPr>
                  <w:r>
                    <w:rPr>
                      <w:color w:val="FF0000"/>
                    </w:rPr>
                    <w:t>G1</w:t>
                  </w:r>
                </w:p>
              </w:tc>
              <w:tc>
                <w:tcPr>
                  <w:tcW w:w="1264" w:type="pct"/>
                  <w:vAlign w:val="center"/>
                </w:tcPr>
                <w:p w14:paraId="43C521AE">
                  <w:pPr>
                    <w:jc w:val="center"/>
                    <w:rPr>
                      <w:color w:val="FF0000"/>
                    </w:rPr>
                  </w:pPr>
                  <w:r>
                    <w:rPr>
                      <w:rFonts w:hint="eastAsia"/>
                      <w:color w:val="FF0000"/>
                    </w:rPr>
                    <w:t>龙腾大道与凤鸣大道交汇口西南处</w:t>
                  </w:r>
                </w:p>
              </w:tc>
              <w:tc>
                <w:tcPr>
                  <w:tcW w:w="861" w:type="pct"/>
                  <w:vAlign w:val="center"/>
                </w:tcPr>
                <w:p w14:paraId="7CA9E075">
                  <w:pPr>
                    <w:jc w:val="center"/>
                    <w:rPr>
                      <w:rFonts w:hint="default" w:eastAsia="宋体"/>
                      <w:color w:val="FF0000"/>
                      <w:lang w:val="en-US" w:eastAsia="zh-CN"/>
                    </w:rPr>
                  </w:pPr>
                  <w:r>
                    <w:rPr>
                      <w:rFonts w:hint="eastAsia"/>
                      <w:color w:val="FF0000"/>
                      <w:lang w:val="en-US" w:eastAsia="zh-CN"/>
                    </w:rPr>
                    <w:t>NE</w:t>
                  </w:r>
                </w:p>
              </w:tc>
              <w:tc>
                <w:tcPr>
                  <w:tcW w:w="862" w:type="pct"/>
                  <w:vAlign w:val="center"/>
                </w:tcPr>
                <w:p w14:paraId="1C14D6F3">
                  <w:pPr>
                    <w:jc w:val="center"/>
                    <w:rPr>
                      <w:rFonts w:hint="default" w:eastAsia="宋体"/>
                      <w:color w:val="FF0000"/>
                      <w:lang w:val="en-US" w:eastAsia="zh-CN"/>
                    </w:rPr>
                  </w:pPr>
                  <w:r>
                    <w:rPr>
                      <w:rFonts w:hint="eastAsia"/>
                      <w:color w:val="FF0000"/>
                      <w:lang w:val="en-US" w:eastAsia="zh-CN"/>
                    </w:rPr>
                    <w:t>569</w:t>
                  </w:r>
                </w:p>
              </w:tc>
              <w:tc>
                <w:tcPr>
                  <w:tcW w:w="1438" w:type="pct"/>
                  <w:vAlign w:val="center"/>
                </w:tcPr>
                <w:p w14:paraId="6686F839">
                  <w:pPr>
                    <w:jc w:val="center"/>
                    <w:rPr>
                      <w:color w:val="FF0000"/>
                    </w:rPr>
                  </w:pPr>
                  <w:r>
                    <w:rPr>
                      <w:rFonts w:hint="eastAsia"/>
                      <w:color w:val="FF0000"/>
                      <w:lang w:val="en-US" w:eastAsia="zh-CN"/>
                    </w:rPr>
                    <w:t>非甲烷总烃</w:t>
                  </w:r>
                </w:p>
              </w:tc>
            </w:tr>
            <w:tr w14:paraId="5D482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2" w:type="pct"/>
                  <w:vAlign w:val="center"/>
                </w:tcPr>
                <w:p w14:paraId="79D1BD89">
                  <w:pPr>
                    <w:jc w:val="center"/>
                    <w:rPr>
                      <w:rFonts w:hint="default" w:eastAsia="宋体"/>
                      <w:color w:val="FF0000"/>
                      <w:lang w:val="en-US" w:eastAsia="zh-CN"/>
                    </w:rPr>
                  </w:pPr>
                  <w:r>
                    <w:rPr>
                      <w:rFonts w:hint="eastAsia"/>
                      <w:color w:val="FF0000"/>
                      <w:lang w:val="en-US" w:eastAsia="zh-CN"/>
                    </w:rPr>
                    <w:t>G2</w:t>
                  </w:r>
                </w:p>
              </w:tc>
              <w:tc>
                <w:tcPr>
                  <w:tcW w:w="1264" w:type="pct"/>
                  <w:vAlign w:val="center"/>
                </w:tcPr>
                <w:p w14:paraId="132851DF">
                  <w:pPr>
                    <w:jc w:val="center"/>
                    <w:rPr>
                      <w:rFonts w:hint="eastAsia"/>
                      <w:color w:val="FF0000"/>
                    </w:rPr>
                  </w:pPr>
                  <w:r>
                    <w:rPr>
                      <w:rFonts w:hint="eastAsia"/>
                      <w:color w:val="FF0000"/>
                    </w:rPr>
                    <w:t>安徽鑫梁铝业科技有限公司西南侧</w:t>
                  </w:r>
                </w:p>
              </w:tc>
              <w:tc>
                <w:tcPr>
                  <w:tcW w:w="861" w:type="pct"/>
                  <w:vAlign w:val="center"/>
                </w:tcPr>
                <w:p w14:paraId="4C4B4501">
                  <w:pPr>
                    <w:jc w:val="center"/>
                    <w:rPr>
                      <w:rFonts w:hint="default"/>
                      <w:color w:val="FF0000"/>
                      <w:lang w:val="en-US" w:eastAsia="zh-CN"/>
                    </w:rPr>
                  </w:pPr>
                  <w:r>
                    <w:rPr>
                      <w:rFonts w:hint="eastAsia"/>
                      <w:color w:val="FF0000"/>
                      <w:lang w:val="en-US" w:eastAsia="zh-CN"/>
                    </w:rPr>
                    <w:t>SW</w:t>
                  </w:r>
                </w:p>
              </w:tc>
              <w:tc>
                <w:tcPr>
                  <w:tcW w:w="862" w:type="pct"/>
                  <w:vAlign w:val="center"/>
                </w:tcPr>
                <w:p w14:paraId="2C479989">
                  <w:pPr>
                    <w:jc w:val="center"/>
                    <w:rPr>
                      <w:rFonts w:hint="default"/>
                      <w:color w:val="FF0000"/>
                      <w:lang w:val="en-US" w:eastAsia="zh-CN"/>
                    </w:rPr>
                  </w:pPr>
                  <w:r>
                    <w:rPr>
                      <w:rFonts w:hint="eastAsia"/>
                      <w:color w:val="FF0000"/>
                      <w:lang w:val="en-US" w:eastAsia="zh-CN"/>
                    </w:rPr>
                    <w:t>3345</w:t>
                  </w:r>
                </w:p>
              </w:tc>
              <w:tc>
                <w:tcPr>
                  <w:tcW w:w="1438" w:type="pct"/>
                  <w:vAlign w:val="center"/>
                </w:tcPr>
                <w:p w14:paraId="1DCF8A30">
                  <w:pPr>
                    <w:jc w:val="center"/>
                    <w:rPr>
                      <w:rFonts w:hint="eastAsia"/>
                      <w:color w:val="FF0000"/>
                      <w:lang w:val="en-US" w:eastAsia="zh-CN"/>
                    </w:rPr>
                  </w:pPr>
                  <w:r>
                    <w:rPr>
                      <w:rFonts w:hint="eastAsia"/>
                      <w:color w:val="FF0000"/>
                    </w:rPr>
                    <w:t>T</w:t>
                  </w:r>
                  <w:r>
                    <w:rPr>
                      <w:color w:val="FF0000"/>
                    </w:rPr>
                    <w:t>SP</w:t>
                  </w:r>
                </w:p>
              </w:tc>
            </w:tr>
          </w:tbl>
          <w:p w14:paraId="7A173C13">
            <w:pPr>
              <w:pStyle w:val="51"/>
              <w:ind w:firstLine="480"/>
              <w:rPr>
                <w:rFonts w:hint="eastAsia"/>
              </w:rPr>
            </w:pPr>
          </w:p>
          <w:p w14:paraId="5BD2FDE9">
            <w:pPr>
              <w:pStyle w:val="51"/>
              <w:ind w:firstLine="480"/>
              <w:rPr>
                <w:rFonts w:hint="eastAsia"/>
              </w:rPr>
            </w:pPr>
          </w:p>
          <w:p w14:paraId="282B887C">
            <w:pPr>
              <w:pStyle w:val="51"/>
              <w:ind w:firstLine="480"/>
              <w:rPr>
                <w:rFonts w:hint="eastAsia"/>
              </w:rPr>
            </w:pPr>
          </w:p>
          <w:p w14:paraId="1D393E2B">
            <w:pPr>
              <w:pStyle w:val="51"/>
              <w:ind w:firstLine="480"/>
              <w:rPr>
                <w:rFonts w:hint="eastAsia"/>
              </w:rPr>
            </w:pPr>
          </w:p>
          <w:p w14:paraId="63A2925C">
            <w:pPr>
              <w:pStyle w:val="51"/>
              <w:ind w:firstLine="480"/>
              <w:rPr>
                <w:rFonts w:hint="eastAsia"/>
              </w:rPr>
            </w:pPr>
          </w:p>
          <w:p w14:paraId="2F170B04">
            <w:pPr>
              <w:pStyle w:val="51"/>
              <w:ind w:firstLine="480"/>
              <w:rPr>
                <w:rFonts w:hint="eastAsia"/>
              </w:rPr>
            </w:pPr>
          </w:p>
          <w:p w14:paraId="6DD7D3F7">
            <w:pPr>
              <w:pStyle w:val="51"/>
              <w:ind w:firstLine="480"/>
              <w:rPr>
                <w:rFonts w:hint="eastAsia"/>
              </w:rPr>
            </w:pPr>
          </w:p>
          <w:p w14:paraId="1B85FE29">
            <w:pPr>
              <w:pStyle w:val="51"/>
              <w:ind w:firstLine="480"/>
              <w:rPr>
                <w:rFonts w:hint="eastAsia"/>
              </w:rPr>
            </w:pPr>
          </w:p>
          <w:p w14:paraId="6286361E">
            <w:pPr>
              <w:pStyle w:val="51"/>
              <w:ind w:firstLine="480"/>
              <w:rPr>
                <w:rFonts w:hint="eastAsia"/>
              </w:rPr>
            </w:pPr>
          </w:p>
          <w:p w14:paraId="44383095">
            <w:pPr>
              <w:pStyle w:val="51"/>
              <w:ind w:firstLine="480"/>
              <w:rPr>
                <w:rFonts w:hint="eastAsia"/>
              </w:rPr>
            </w:pPr>
          </w:p>
          <w:p w14:paraId="27BCC7A7">
            <w:pPr>
              <w:pStyle w:val="51"/>
              <w:ind w:firstLine="480"/>
              <w:rPr>
                <w:rFonts w:hint="eastAsia"/>
              </w:rPr>
            </w:pPr>
          </w:p>
          <w:p w14:paraId="77E71DCE">
            <w:pPr>
              <w:pStyle w:val="51"/>
              <w:ind w:firstLine="480"/>
              <w:rPr>
                <w:rFonts w:hint="eastAsia"/>
              </w:rPr>
            </w:pPr>
          </w:p>
          <w:p w14:paraId="7FD10001">
            <w:pPr>
              <w:pStyle w:val="51"/>
              <w:ind w:firstLine="480"/>
              <w:rPr>
                <w:rFonts w:hint="eastAsia"/>
              </w:rPr>
            </w:pPr>
          </w:p>
          <w:p w14:paraId="42F340E1">
            <w:pPr>
              <w:pStyle w:val="51"/>
              <w:ind w:firstLine="480"/>
              <w:rPr>
                <w:rFonts w:hint="eastAsia"/>
              </w:rPr>
            </w:pPr>
          </w:p>
          <w:p w14:paraId="790F4357">
            <w:pPr>
              <w:pStyle w:val="51"/>
              <w:ind w:firstLine="480"/>
              <w:rPr>
                <w:rFonts w:hint="eastAsia"/>
              </w:rPr>
            </w:pPr>
          </w:p>
          <w:p w14:paraId="5C49F122">
            <w:pPr>
              <w:pStyle w:val="51"/>
              <w:ind w:firstLine="480"/>
              <w:rPr>
                <w:rFonts w:hint="eastAsia"/>
              </w:rPr>
            </w:pPr>
          </w:p>
          <w:p w14:paraId="1686E3F3">
            <w:pPr>
              <w:pStyle w:val="51"/>
              <w:ind w:firstLine="480"/>
              <w:rPr>
                <w:rFonts w:hint="eastAsia"/>
              </w:rPr>
            </w:pPr>
          </w:p>
          <w:p w14:paraId="7703EB57">
            <w:pPr>
              <w:pStyle w:val="51"/>
              <w:ind w:left="0" w:leftChars="0" w:firstLine="0" w:firstLineChars="0"/>
              <w:jc w:val="center"/>
              <w:rPr>
                <w:rFonts w:hint="eastAsia"/>
              </w:rPr>
            </w:pPr>
            <w:r>
              <w:drawing>
                <wp:inline distT="0" distB="0" distL="114300" distR="114300">
                  <wp:extent cx="4563110" cy="6151245"/>
                  <wp:effectExtent l="0" t="0" r="8890" b="8255"/>
                  <wp:docPr id="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pic:cNvPicPr>
                            <a:picLocks noChangeAspect="1"/>
                          </pic:cNvPicPr>
                        </pic:nvPicPr>
                        <pic:blipFill>
                          <a:blip r:embed="rId19"/>
                          <a:stretch>
                            <a:fillRect/>
                          </a:stretch>
                        </pic:blipFill>
                        <pic:spPr>
                          <a:xfrm>
                            <a:off x="0" y="0"/>
                            <a:ext cx="4563110" cy="6151245"/>
                          </a:xfrm>
                          <a:prstGeom prst="rect">
                            <a:avLst/>
                          </a:prstGeom>
                          <a:noFill/>
                          <a:ln>
                            <a:noFill/>
                          </a:ln>
                        </pic:spPr>
                      </pic:pic>
                    </a:graphicData>
                  </a:graphic>
                </wp:inline>
              </w:drawing>
            </w:r>
            <w:r>
              <w:rPr>
                <w:sz w:val="24"/>
              </w:rPr>
              <mc:AlternateContent>
                <mc:Choice Requires="wps">
                  <w:drawing>
                    <wp:anchor distT="0" distB="0" distL="114300" distR="114300" simplePos="0" relativeHeight="251664384" behindDoc="0" locked="0" layoutInCell="1" allowOverlap="1">
                      <wp:simplePos x="0" y="0"/>
                      <wp:positionH relativeFrom="column">
                        <wp:posOffset>1860550</wp:posOffset>
                      </wp:positionH>
                      <wp:positionV relativeFrom="paragraph">
                        <wp:posOffset>2205355</wp:posOffset>
                      </wp:positionV>
                      <wp:extent cx="567055" cy="252095"/>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567055" cy="2520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915D9A">
                                  <w:pPr>
                                    <w:rPr>
                                      <w:rFonts w:hint="default" w:eastAsia="宋体"/>
                                      <w:color w:val="FF0000"/>
                                      <w:lang w:val="en-US" w:eastAsia="zh-CN"/>
                                    </w:rPr>
                                  </w:pPr>
                                  <w:r>
                                    <w:rPr>
                                      <w:rFonts w:hint="eastAsia"/>
                                      <w:color w:val="FF0000"/>
                                      <w:lang w:val="en-US" w:eastAsia="zh-CN"/>
                                    </w:rPr>
                                    <w:t>3345m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6.5pt;margin-top:173.65pt;height:19.85pt;width:44.65pt;z-index:251664384;mso-width-relative:page;mso-height-relative:page;" filled="f" stroked="f" coordsize="21600,21600" o:gfxdata="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Lh30knbAAAACwEAAA8AAAAAAAAAAQAgAAAAIgAAAGRy&#10;cy9kb3ducmV2LnhtbFBLAQIUABQAAAAIAIdO4kAMXpGmOwIAAGcEAAAOAAAAAAAAAAEAIAAAACoB&#10;AABkcnMvZTJvRG9jLnhtbFBLBQYAAAAABgAGAFkBAADXBQAAAAA=&#10;">
                      <v:fill on="f" focussize="0,0"/>
                      <v:stroke on="f" weight="0.5pt"/>
                      <v:imagedata o:title=""/>
                      <o:lock v:ext="edit" aspectratio="f"/>
                      <v:textbox>
                        <w:txbxContent>
                          <w:p w14:paraId="60915D9A">
                            <w:pPr>
                              <w:rPr>
                                <w:rFonts w:hint="default" w:eastAsia="宋体"/>
                                <w:color w:val="FF0000"/>
                                <w:lang w:val="en-US" w:eastAsia="zh-CN"/>
                              </w:rPr>
                            </w:pPr>
                            <w:r>
                              <w:rPr>
                                <w:rFonts w:hint="eastAsia"/>
                                <w:color w:val="FF0000"/>
                                <w:lang w:val="en-US" w:eastAsia="zh-CN"/>
                              </w:rPr>
                              <w:t>3345m</w:t>
                            </w:r>
                          </w:p>
                        </w:txbxContent>
                      </v:textbox>
                    </v:shape>
                  </w:pict>
                </mc:Fallback>
              </mc:AlternateContent>
            </w:r>
            <w:r>
              <w:rPr>
                <w:sz w:val="24"/>
              </w:rPr>
              <mc:AlternateContent>
                <mc:Choice Requires="wps">
                  <w:drawing>
                    <wp:anchor distT="0" distB="0" distL="114300" distR="114300" simplePos="0" relativeHeight="251662336" behindDoc="0" locked="0" layoutInCell="1" allowOverlap="1">
                      <wp:simplePos x="0" y="0"/>
                      <wp:positionH relativeFrom="column">
                        <wp:posOffset>2519680</wp:posOffset>
                      </wp:positionH>
                      <wp:positionV relativeFrom="paragraph">
                        <wp:posOffset>953770</wp:posOffset>
                      </wp:positionV>
                      <wp:extent cx="567055" cy="252095"/>
                      <wp:effectExtent l="0" t="0" r="4445" b="1905"/>
                      <wp:wrapNone/>
                      <wp:docPr id="12" name="文本框 12"/>
                      <wp:cNvGraphicFramePr/>
                      <a:graphic xmlns:a="http://schemas.openxmlformats.org/drawingml/2006/main">
                        <a:graphicData uri="http://schemas.microsoft.com/office/word/2010/wordprocessingShape">
                          <wps:wsp>
                            <wps:cNvSpPr txBox="1"/>
                            <wps:spPr>
                              <a:xfrm>
                                <a:off x="3895090" y="1946910"/>
                                <a:ext cx="567055" cy="2520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171F00">
                                  <w:pPr>
                                    <w:rPr>
                                      <w:rFonts w:hint="default" w:eastAsia="宋体"/>
                                      <w:color w:val="FF0000"/>
                                      <w:lang w:val="en-US" w:eastAsia="zh-CN"/>
                                    </w:rPr>
                                  </w:pPr>
                                  <w:r>
                                    <w:rPr>
                                      <w:rFonts w:hint="eastAsia"/>
                                      <w:color w:val="FF0000"/>
                                      <w:lang w:val="en-US" w:eastAsia="zh-CN"/>
                                    </w:rPr>
                                    <w:t>569m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8.4pt;margin-top:75.1pt;height:19.85pt;width:44.65pt;z-index:251662336;mso-width-relative:page;mso-height-relative:page;" filled="f" stroked="f" coordsize="21600,21600" o:gfxdata="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LJ2SFHbAAAACwEAAA8AAAAAAAAA&#10;AQAgAAAAIgAAAGRycy9kb3ducmV2LnhtbFBLAQIUABQAAAAIAIdO4kB4tJgpRwIAAHMEAAAOAAAA&#10;AAAAAAEAIAAAACoBAABkcnMvZTJvRG9jLnhtbFBLBQYAAAAABgAGAFkBAADjBQAAAAA=&#10;">
                      <v:fill on="f" focussize="0,0"/>
                      <v:stroke on="f" weight="0.5pt"/>
                      <v:imagedata o:title=""/>
                      <o:lock v:ext="edit" aspectratio="f"/>
                      <v:textbox>
                        <w:txbxContent>
                          <w:p w14:paraId="65171F00">
                            <w:pPr>
                              <w:rPr>
                                <w:rFonts w:hint="default" w:eastAsia="宋体"/>
                                <w:color w:val="FF0000"/>
                                <w:lang w:val="en-US" w:eastAsia="zh-CN"/>
                              </w:rPr>
                            </w:pPr>
                            <w:r>
                              <w:rPr>
                                <w:rFonts w:hint="eastAsia"/>
                                <w:color w:val="FF0000"/>
                                <w:lang w:val="en-US" w:eastAsia="zh-CN"/>
                              </w:rPr>
                              <w:t>569m</w:t>
                            </w:r>
                          </w:p>
                        </w:txbxContent>
                      </v:textbox>
                    </v:shape>
                  </w:pict>
                </mc:Fallback>
              </mc:AlternateContent>
            </w:r>
            <w:r>
              <w:rPr>
                <w:sz w:val="24"/>
              </w:rPr>
              <mc:AlternateContent>
                <mc:Choice Requires="wps">
                  <w:drawing>
                    <wp:anchor distT="0" distB="0" distL="114300" distR="114300" simplePos="0" relativeHeight="251661312" behindDoc="0" locked="0" layoutInCell="1" allowOverlap="1">
                      <wp:simplePos x="0" y="0"/>
                      <wp:positionH relativeFrom="column">
                        <wp:posOffset>1725295</wp:posOffset>
                      </wp:positionH>
                      <wp:positionV relativeFrom="paragraph">
                        <wp:posOffset>1534795</wp:posOffset>
                      </wp:positionV>
                      <wp:extent cx="818515" cy="4127500"/>
                      <wp:effectExtent l="32385" t="1270" r="12700" b="11430"/>
                      <wp:wrapNone/>
                      <wp:docPr id="10" name="直接箭头连接符 10"/>
                      <wp:cNvGraphicFramePr/>
                      <a:graphic xmlns:a="http://schemas.openxmlformats.org/drawingml/2006/main">
                        <a:graphicData uri="http://schemas.microsoft.com/office/word/2010/wordprocessingShape">
                          <wps:wsp>
                            <wps:cNvCnPr/>
                            <wps:spPr>
                              <a:xfrm flipH="1">
                                <a:off x="3162300" y="2447925"/>
                                <a:ext cx="818515" cy="4127500"/>
                              </a:xfrm>
                              <a:prstGeom prst="straightConnector1">
                                <a:avLst/>
                              </a:prstGeom>
                              <a:ln>
                                <a:solidFill>
                                  <a:srgbClr val="FF0000"/>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x;margin-left:135.85pt;margin-top:120.85pt;height:325pt;width:64.45pt;z-index:251661312;mso-width-relative:page;mso-height-relative:page;" filled="f" stroked="t" coordsize="21600,21600" o:gfxdata="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AhyOWl1wAA&#10;AAsBAAAPAAAAAAAAAAEAIAAAACIAAABkcnMvZG93bnJldi54bWxQSwECFAAUAAAACACHTuJAEGRj&#10;cx8CAAD8AwAADgAAAAAAAAABACAAAAAmAQAAZHJzL2Uyb0RvYy54bWxQSwUGAAAAAAYABgBZAQAA&#10;twUAAAAA&#10;">
                      <v:fill on="f" focussize="0,0"/>
                      <v:stroke weight="1pt" color="#FF0000 [3204]" miterlimit="8" joinstyle="miter" endarrow="open"/>
                      <v:imagedata o:title=""/>
                      <o:lock v:ext="edit" aspectratio="f"/>
                    </v:shape>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2628900</wp:posOffset>
                      </wp:positionH>
                      <wp:positionV relativeFrom="paragraph">
                        <wp:posOffset>950595</wp:posOffset>
                      </wp:positionV>
                      <wp:extent cx="488950" cy="445770"/>
                      <wp:effectExtent l="4445" t="0" r="1905" b="11430"/>
                      <wp:wrapNone/>
                      <wp:docPr id="9" name="直接箭头连接符 9"/>
                      <wp:cNvGraphicFramePr/>
                      <a:graphic xmlns:a="http://schemas.openxmlformats.org/drawingml/2006/main">
                        <a:graphicData uri="http://schemas.microsoft.com/office/word/2010/wordprocessingShape">
                          <wps:wsp>
                            <wps:cNvCnPr/>
                            <wps:spPr>
                              <a:xfrm flipV="1">
                                <a:off x="4065905" y="1863725"/>
                                <a:ext cx="488950" cy="445770"/>
                              </a:xfrm>
                              <a:prstGeom prst="straightConnector1">
                                <a:avLst/>
                              </a:prstGeom>
                              <a:ln>
                                <a:solidFill>
                                  <a:srgbClr val="FF0000"/>
                                </a:solidFill>
                                <a:tailEnd type="arrow"/>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shape id="_x0000_s1026" o:spid="_x0000_s1026" o:spt="32" type="#_x0000_t32" style="position:absolute;left:0pt;flip:y;margin-left:207pt;margin-top:74.85pt;height:35.1pt;width:38.5pt;z-index:251660288;mso-width-relative:page;mso-height-relative:page;" filled="f" stroked="t" coordsize="21600,21600" o:gfxdata="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m7qVK2AAA&#10;AAsBAAAPAAAAAAAAAAEAIAAAACIAAABkcnMvZG93bnJldi54bWxQSwECFAAUAAAACACHTuJAiRZX&#10;wx4CAAD5AwAADgAAAAAAAAABACAAAAAnAQAAZHJzL2Uyb0RvYy54bWxQSwUGAAAAAAYABgBZAQAA&#10;twUAAAAA&#10;">
                      <v:fill on="f" focussize="0,0"/>
                      <v:stroke weight="1pt" color="#FF0000 [3204]" miterlimit="8" joinstyle="miter" endarrow="open"/>
                      <v:imagedata o:title=""/>
                      <o:lock v:ext="edit" aspectratio="f"/>
                    </v:shape>
                  </w:pict>
                </mc:Fallback>
              </mc:AlternateContent>
            </w:r>
          </w:p>
          <w:p w14:paraId="09099300">
            <w:pPr>
              <w:pStyle w:val="51"/>
              <w:ind w:left="0" w:leftChars="0" w:firstLine="0" w:firstLineChars="0"/>
              <w:jc w:val="center"/>
              <w:rPr>
                <w:rFonts w:hint="default" w:eastAsia="宋体"/>
                <w:lang w:val="en-US" w:eastAsia="zh-CN"/>
              </w:rPr>
            </w:pPr>
            <w:r>
              <w:rPr>
                <w:rFonts w:hint="eastAsia" w:ascii="Times New Roman" w:hAnsi="Times New Roman" w:eastAsia="宋体" w:cs="Times New Roman"/>
                <w:b/>
                <w:bCs/>
                <w:kern w:val="0"/>
                <w:sz w:val="21"/>
                <w:szCs w:val="21"/>
                <w:lang w:val="en-US" w:eastAsia="zh-CN" w:bidi="ar-SA"/>
              </w:rPr>
              <w:t>图3-1  项目监测点位图</w:t>
            </w:r>
          </w:p>
          <w:p w14:paraId="0A49A92D">
            <w:pPr>
              <w:pStyle w:val="51"/>
              <w:ind w:firstLine="480"/>
            </w:pPr>
            <w:r>
              <w:rPr>
                <w:rFonts w:hint="eastAsia"/>
              </w:rPr>
              <w:t>监测结果见下表。</w:t>
            </w:r>
          </w:p>
          <w:p w14:paraId="3EF60B1C">
            <w:pPr>
              <w:pStyle w:val="52"/>
              <w:rPr>
                <w:color w:val="FF0000"/>
              </w:rPr>
            </w:pPr>
            <w:r>
              <w:rPr>
                <w:rFonts w:hint="eastAsia"/>
                <w:color w:val="FF0000"/>
              </w:rPr>
              <w:t>表3-</w:t>
            </w:r>
            <w:r>
              <w:rPr>
                <w:color w:val="FF0000"/>
              </w:rPr>
              <w:t xml:space="preserve">3  </w:t>
            </w:r>
            <w:r>
              <w:rPr>
                <w:rFonts w:hint="eastAsia"/>
                <w:color w:val="FF0000"/>
              </w:rPr>
              <w:t>环境空气质量监测结果一览表</w:t>
            </w:r>
          </w:p>
          <w:tbl>
            <w:tblPr>
              <w:tblStyle w:val="23"/>
              <w:tblW w:w="8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1133"/>
              <w:gridCol w:w="1065"/>
              <w:gridCol w:w="1516"/>
              <w:gridCol w:w="1242"/>
              <w:gridCol w:w="1072"/>
              <w:gridCol w:w="987"/>
            </w:tblGrid>
            <w:tr w14:paraId="78B23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300" w:type="dxa"/>
                  <w:tcBorders>
                    <w:tl2br w:val="nil"/>
                    <w:tr2bl w:val="nil"/>
                  </w:tcBorders>
                  <w:vAlign w:val="center"/>
                </w:tcPr>
                <w:p w14:paraId="3B4BE49C">
                  <w:pPr>
                    <w:pStyle w:val="51"/>
                    <w:keepNext w:val="0"/>
                    <w:keepLines w:val="0"/>
                    <w:suppressLineNumbers w:val="0"/>
                    <w:spacing w:before="0" w:beforeAutospacing="0" w:after="0" w:afterAutospacing="0" w:line="240" w:lineRule="auto"/>
                    <w:ind w:left="0" w:right="0" w:firstLine="0" w:firstLineChars="0"/>
                    <w:jc w:val="center"/>
                    <w:rPr>
                      <w:rFonts w:hint="default"/>
                      <w:b/>
                      <w:bCs/>
                      <w:color w:val="FF0000"/>
                      <w:sz w:val="21"/>
                      <w:szCs w:val="21"/>
                    </w:rPr>
                  </w:pPr>
                  <w:r>
                    <w:rPr>
                      <w:rFonts w:hint="eastAsia"/>
                      <w:b/>
                      <w:bCs/>
                      <w:color w:val="FF0000"/>
                      <w:sz w:val="21"/>
                      <w:szCs w:val="21"/>
                    </w:rPr>
                    <w:t>污染物</w:t>
                  </w:r>
                </w:p>
              </w:tc>
              <w:tc>
                <w:tcPr>
                  <w:tcW w:w="1133" w:type="dxa"/>
                  <w:tcBorders>
                    <w:tl2br w:val="nil"/>
                    <w:tr2bl w:val="nil"/>
                  </w:tcBorders>
                  <w:vAlign w:val="center"/>
                </w:tcPr>
                <w:p w14:paraId="27A762C1">
                  <w:pPr>
                    <w:pStyle w:val="51"/>
                    <w:keepNext w:val="0"/>
                    <w:keepLines w:val="0"/>
                    <w:suppressLineNumbers w:val="0"/>
                    <w:spacing w:before="0" w:beforeAutospacing="0" w:after="0" w:afterAutospacing="0" w:line="240" w:lineRule="auto"/>
                    <w:ind w:left="0" w:right="0" w:firstLine="0" w:firstLineChars="0"/>
                    <w:jc w:val="center"/>
                    <w:rPr>
                      <w:rFonts w:hint="default"/>
                      <w:b/>
                      <w:bCs/>
                      <w:color w:val="FF0000"/>
                      <w:sz w:val="21"/>
                      <w:szCs w:val="21"/>
                    </w:rPr>
                  </w:pPr>
                  <w:r>
                    <w:rPr>
                      <w:rFonts w:hint="eastAsia"/>
                      <w:b/>
                      <w:bCs/>
                      <w:color w:val="FF0000"/>
                      <w:sz w:val="21"/>
                      <w:szCs w:val="21"/>
                    </w:rPr>
                    <w:t>评价指标</w:t>
                  </w:r>
                </w:p>
              </w:tc>
              <w:tc>
                <w:tcPr>
                  <w:tcW w:w="1065" w:type="dxa"/>
                  <w:tcBorders>
                    <w:tl2br w:val="nil"/>
                    <w:tr2bl w:val="nil"/>
                  </w:tcBorders>
                  <w:vAlign w:val="center"/>
                </w:tcPr>
                <w:p w14:paraId="3446072D">
                  <w:pPr>
                    <w:pStyle w:val="51"/>
                    <w:keepNext w:val="0"/>
                    <w:keepLines w:val="0"/>
                    <w:suppressLineNumbers w:val="0"/>
                    <w:spacing w:before="0" w:beforeAutospacing="0" w:after="0" w:afterAutospacing="0" w:line="240" w:lineRule="auto"/>
                    <w:ind w:left="0" w:right="0" w:firstLine="0" w:firstLineChars="0"/>
                    <w:jc w:val="center"/>
                    <w:rPr>
                      <w:rFonts w:hint="default"/>
                      <w:b/>
                      <w:bCs/>
                      <w:color w:val="FF0000"/>
                      <w:sz w:val="21"/>
                      <w:szCs w:val="21"/>
                    </w:rPr>
                  </w:pPr>
                  <w:r>
                    <w:rPr>
                      <w:rFonts w:hint="default"/>
                      <w:b/>
                      <w:bCs/>
                      <w:color w:val="FF0000"/>
                      <w:sz w:val="21"/>
                      <w:szCs w:val="21"/>
                    </w:rPr>
                    <w:t>评价标准</w:t>
                  </w:r>
                </w:p>
              </w:tc>
              <w:tc>
                <w:tcPr>
                  <w:tcW w:w="1516" w:type="dxa"/>
                  <w:tcBorders>
                    <w:tl2br w:val="nil"/>
                    <w:tr2bl w:val="nil"/>
                  </w:tcBorders>
                  <w:vAlign w:val="center"/>
                </w:tcPr>
                <w:p w14:paraId="681D8E3E">
                  <w:pPr>
                    <w:pStyle w:val="51"/>
                    <w:keepNext w:val="0"/>
                    <w:keepLines w:val="0"/>
                    <w:suppressLineNumbers w:val="0"/>
                    <w:spacing w:before="0" w:beforeAutospacing="0" w:after="0" w:afterAutospacing="0" w:line="240" w:lineRule="auto"/>
                    <w:ind w:left="0" w:right="0" w:firstLine="0" w:firstLineChars="0"/>
                    <w:jc w:val="center"/>
                    <w:rPr>
                      <w:rFonts w:hint="default"/>
                      <w:b/>
                      <w:bCs/>
                      <w:color w:val="FF0000"/>
                      <w:sz w:val="21"/>
                      <w:szCs w:val="21"/>
                    </w:rPr>
                  </w:pPr>
                  <w:r>
                    <w:rPr>
                      <w:rFonts w:hint="default"/>
                      <w:b/>
                      <w:bCs/>
                      <w:color w:val="FF0000"/>
                      <w:sz w:val="21"/>
                      <w:szCs w:val="21"/>
                    </w:rPr>
                    <w:t>监测浓度范围</w:t>
                  </w:r>
                </w:p>
              </w:tc>
              <w:tc>
                <w:tcPr>
                  <w:tcW w:w="1242" w:type="dxa"/>
                  <w:tcBorders>
                    <w:tl2br w:val="nil"/>
                    <w:tr2bl w:val="nil"/>
                  </w:tcBorders>
                  <w:vAlign w:val="center"/>
                </w:tcPr>
                <w:p w14:paraId="18037901">
                  <w:pPr>
                    <w:pStyle w:val="51"/>
                    <w:keepNext w:val="0"/>
                    <w:keepLines w:val="0"/>
                    <w:suppressLineNumbers w:val="0"/>
                    <w:spacing w:before="0" w:beforeAutospacing="0" w:after="0" w:afterAutospacing="0" w:line="240" w:lineRule="auto"/>
                    <w:ind w:left="0" w:right="0" w:firstLine="0" w:firstLineChars="0"/>
                    <w:jc w:val="center"/>
                    <w:rPr>
                      <w:rFonts w:hint="default"/>
                      <w:b/>
                      <w:bCs/>
                      <w:color w:val="FF0000"/>
                      <w:sz w:val="21"/>
                      <w:szCs w:val="21"/>
                    </w:rPr>
                  </w:pPr>
                  <w:r>
                    <w:rPr>
                      <w:rFonts w:hint="default"/>
                      <w:b/>
                      <w:bCs/>
                      <w:color w:val="FF0000"/>
                      <w:sz w:val="21"/>
                      <w:szCs w:val="21"/>
                    </w:rPr>
                    <w:t>最大浓度占标率</w:t>
                  </w:r>
                </w:p>
              </w:tc>
              <w:tc>
                <w:tcPr>
                  <w:tcW w:w="1072" w:type="dxa"/>
                  <w:tcBorders>
                    <w:tl2br w:val="nil"/>
                    <w:tr2bl w:val="nil"/>
                  </w:tcBorders>
                  <w:vAlign w:val="center"/>
                </w:tcPr>
                <w:p w14:paraId="0E444921">
                  <w:pPr>
                    <w:pStyle w:val="51"/>
                    <w:keepNext w:val="0"/>
                    <w:keepLines w:val="0"/>
                    <w:suppressLineNumbers w:val="0"/>
                    <w:spacing w:before="0" w:beforeAutospacing="0" w:after="0" w:afterAutospacing="0" w:line="240" w:lineRule="auto"/>
                    <w:ind w:left="0" w:right="0" w:firstLine="0" w:firstLineChars="0"/>
                    <w:jc w:val="center"/>
                    <w:rPr>
                      <w:rFonts w:hint="default"/>
                      <w:b/>
                      <w:bCs/>
                      <w:color w:val="FF0000"/>
                      <w:sz w:val="21"/>
                      <w:szCs w:val="21"/>
                    </w:rPr>
                  </w:pPr>
                  <w:r>
                    <w:rPr>
                      <w:rFonts w:hint="default"/>
                      <w:b/>
                      <w:bCs/>
                      <w:color w:val="FF0000"/>
                      <w:sz w:val="21"/>
                      <w:szCs w:val="21"/>
                    </w:rPr>
                    <w:t>超标率(%)</w:t>
                  </w:r>
                </w:p>
              </w:tc>
              <w:tc>
                <w:tcPr>
                  <w:tcW w:w="987" w:type="dxa"/>
                  <w:tcBorders>
                    <w:tl2br w:val="nil"/>
                    <w:tr2bl w:val="nil"/>
                  </w:tcBorders>
                  <w:vAlign w:val="center"/>
                </w:tcPr>
                <w:p w14:paraId="5ED1FA59">
                  <w:pPr>
                    <w:pStyle w:val="51"/>
                    <w:keepNext w:val="0"/>
                    <w:keepLines w:val="0"/>
                    <w:suppressLineNumbers w:val="0"/>
                    <w:spacing w:before="0" w:beforeAutospacing="0" w:after="0" w:afterAutospacing="0" w:line="240" w:lineRule="auto"/>
                    <w:ind w:left="0" w:right="0" w:firstLine="0" w:firstLineChars="0"/>
                    <w:jc w:val="center"/>
                    <w:rPr>
                      <w:rFonts w:hint="default"/>
                      <w:b/>
                      <w:bCs/>
                      <w:color w:val="FF0000"/>
                      <w:sz w:val="21"/>
                      <w:szCs w:val="21"/>
                    </w:rPr>
                  </w:pPr>
                  <w:r>
                    <w:rPr>
                      <w:rFonts w:hint="default"/>
                      <w:b/>
                      <w:bCs/>
                      <w:color w:val="FF0000"/>
                      <w:sz w:val="21"/>
                      <w:szCs w:val="21"/>
                    </w:rPr>
                    <w:t>达标情况</w:t>
                  </w:r>
                </w:p>
              </w:tc>
            </w:tr>
            <w:tr w14:paraId="028D4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0" w:type="dxa"/>
                  <w:vAlign w:val="center"/>
                </w:tcPr>
                <w:p w14:paraId="1F700050">
                  <w:pPr>
                    <w:pStyle w:val="51"/>
                    <w:keepNext w:val="0"/>
                    <w:keepLines w:val="0"/>
                    <w:suppressLineNumbers w:val="0"/>
                    <w:spacing w:before="0" w:beforeAutospacing="0" w:after="0" w:afterAutospacing="0" w:line="240" w:lineRule="auto"/>
                    <w:ind w:left="0" w:right="0" w:firstLine="0" w:firstLineChars="0"/>
                    <w:jc w:val="center"/>
                    <w:rPr>
                      <w:rFonts w:hint="default"/>
                      <w:color w:val="FF0000"/>
                      <w:sz w:val="21"/>
                      <w:szCs w:val="21"/>
                    </w:rPr>
                  </w:pPr>
                  <w:r>
                    <w:rPr>
                      <w:rFonts w:hint="eastAsia"/>
                      <w:color w:val="FF0000"/>
                      <w:sz w:val="21"/>
                      <w:szCs w:val="21"/>
                    </w:rPr>
                    <w:t>非甲烷总烃</w:t>
                  </w:r>
                </w:p>
              </w:tc>
              <w:tc>
                <w:tcPr>
                  <w:tcW w:w="1133" w:type="dxa"/>
                  <w:vAlign w:val="center"/>
                </w:tcPr>
                <w:p w14:paraId="20CB582B">
                  <w:pPr>
                    <w:pStyle w:val="51"/>
                    <w:keepNext w:val="0"/>
                    <w:keepLines w:val="0"/>
                    <w:suppressLineNumbers w:val="0"/>
                    <w:spacing w:before="0" w:beforeAutospacing="0" w:after="0" w:afterAutospacing="0" w:line="240" w:lineRule="auto"/>
                    <w:ind w:left="0" w:right="0" w:firstLine="0" w:firstLineChars="0"/>
                    <w:jc w:val="center"/>
                    <w:rPr>
                      <w:rFonts w:hint="default"/>
                      <w:color w:val="FF0000"/>
                      <w:sz w:val="21"/>
                      <w:szCs w:val="21"/>
                    </w:rPr>
                  </w:pPr>
                  <w:r>
                    <w:rPr>
                      <w:rFonts w:hint="default"/>
                      <w:color w:val="FF0000"/>
                      <w:sz w:val="21"/>
                      <w:szCs w:val="21"/>
                    </w:rPr>
                    <w:t>小时均值</w:t>
                  </w:r>
                </w:p>
              </w:tc>
              <w:tc>
                <w:tcPr>
                  <w:tcW w:w="1065" w:type="dxa"/>
                  <w:vAlign w:val="center"/>
                </w:tcPr>
                <w:p w14:paraId="62CD0A3D">
                  <w:pPr>
                    <w:pStyle w:val="51"/>
                    <w:keepNext w:val="0"/>
                    <w:keepLines w:val="0"/>
                    <w:suppressLineNumbers w:val="0"/>
                    <w:spacing w:before="0" w:beforeAutospacing="0" w:after="0" w:afterAutospacing="0" w:line="240" w:lineRule="auto"/>
                    <w:ind w:left="0" w:right="0" w:firstLine="0" w:firstLineChars="0"/>
                    <w:jc w:val="center"/>
                    <w:rPr>
                      <w:rFonts w:hint="default"/>
                      <w:color w:val="FF0000"/>
                      <w:sz w:val="21"/>
                      <w:szCs w:val="21"/>
                    </w:rPr>
                  </w:pPr>
                  <w:r>
                    <w:rPr>
                      <w:rFonts w:hint="eastAsia"/>
                      <w:color w:val="FF0000"/>
                      <w:sz w:val="21"/>
                      <w:szCs w:val="21"/>
                    </w:rPr>
                    <w:t>2</w:t>
                  </w:r>
                </w:p>
              </w:tc>
              <w:tc>
                <w:tcPr>
                  <w:tcW w:w="1516" w:type="dxa"/>
                  <w:vAlign w:val="center"/>
                </w:tcPr>
                <w:p w14:paraId="2513C5AD">
                  <w:pPr>
                    <w:pStyle w:val="51"/>
                    <w:keepNext w:val="0"/>
                    <w:keepLines w:val="0"/>
                    <w:suppressLineNumbers w:val="0"/>
                    <w:spacing w:before="0" w:beforeAutospacing="0" w:after="0" w:afterAutospacing="0" w:line="240" w:lineRule="auto"/>
                    <w:ind w:left="0" w:right="0" w:firstLine="0" w:firstLineChars="0"/>
                    <w:jc w:val="center"/>
                    <w:rPr>
                      <w:rFonts w:hint="default" w:eastAsia="宋体"/>
                      <w:color w:val="FF0000"/>
                      <w:sz w:val="21"/>
                      <w:szCs w:val="21"/>
                      <w:lang w:val="en-US" w:eastAsia="zh-CN"/>
                    </w:rPr>
                  </w:pPr>
                  <w:r>
                    <w:rPr>
                      <w:rFonts w:hint="eastAsia"/>
                      <w:color w:val="FF0000"/>
                      <w:sz w:val="21"/>
                      <w:szCs w:val="21"/>
                      <w:lang w:val="en-US" w:eastAsia="zh-CN"/>
                    </w:rPr>
                    <w:t>1.08</w:t>
                  </w:r>
                  <w:r>
                    <w:rPr>
                      <w:rFonts w:hint="eastAsia"/>
                      <w:color w:val="FF0000"/>
                      <w:sz w:val="21"/>
                      <w:szCs w:val="21"/>
                    </w:rPr>
                    <w:t>-0</w:t>
                  </w:r>
                  <w:r>
                    <w:rPr>
                      <w:rFonts w:hint="eastAsia"/>
                      <w:color w:val="FF0000"/>
                      <w:sz w:val="21"/>
                      <w:szCs w:val="21"/>
                      <w:lang w:val="en-US" w:eastAsia="zh-CN"/>
                    </w:rPr>
                    <w:t>1.88</w:t>
                  </w:r>
                </w:p>
              </w:tc>
              <w:tc>
                <w:tcPr>
                  <w:tcW w:w="1242" w:type="dxa"/>
                  <w:vAlign w:val="center"/>
                </w:tcPr>
                <w:p w14:paraId="7CE23B13">
                  <w:pPr>
                    <w:pStyle w:val="51"/>
                    <w:keepNext w:val="0"/>
                    <w:keepLines w:val="0"/>
                    <w:suppressLineNumbers w:val="0"/>
                    <w:spacing w:before="0" w:beforeAutospacing="0" w:after="0" w:afterAutospacing="0" w:line="240" w:lineRule="auto"/>
                    <w:ind w:left="0" w:right="0" w:firstLine="0" w:firstLineChars="0"/>
                    <w:jc w:val="center"/>
                    <w:rPr>
                      <w:rFonts w:hint="default"/>
                      <w:color w:val="FF0000"/>
                      <w:sz w:val="21"/>
                      <w:szCs w:val="21"/>
                    </w:rPr>
                  </w:pPr>
                  <w:r>
                    <w:rPr>
                      <w:rFonts w:hint="eastAsia"/>
                      <w:color w:val="FF0000"/>
                      <w:sz w:val="21"/>
                      <w:szCs w:val="21"/>
                      <w:lang w:val="en-US" w:eastAsia="zh-CN"/>
                    </w:rPr>
                    <w:t>95</w:t>
                  </w:r>
                  <w:r>
                    <w:rPr>
                      <w:rFonts w:hint="eastAsia"/>
                      <w:color w:val="FF0000"/>
                      <w:sz w:val="21"/>
                      <w:szCs w:val="21"/>
                    </w:rPr>
                    <w:t>%</w:t>
                  </w:r>
                </w:p>
              </w:tc>
              <w:tc>
                <w:tcPr>
                  <w:tcW w:w="1072" w:type="dxa"/>
                  <w:vAlign w:val="center"/>
                </w:tcPr>
                <w:p w14:paraId="5748F307">
                  <w:pPr>
                    <w:pStyle w:val="51"/>
                    <w:keepNext w:val="0"/>
                    <w:keepLines w:val="0"/>
                    <w:suppressLineNumbers w:val="0"/>
                    <w:spacing w:before="0" w:beforeAutospacing="0" w:after="0" w:afterAutospacing="0" w:line="240" w:lineRule="auto"/>
                    <w:ind w:left="0" w:right="0" w:firstLine="0" w:firstLineChars="0"/>
                    <w:jc w:val="center"/>
                    <w:rPr>
                      <w:rFonts w:hint="default"/>
                      <w:color w:val="FF0000"/>
                      <w:sz w:val="21"/>
                      <w:szCs w:val="21"/>
                    </w:rPr>
                  </w:pPr>
                  <w:r>
                    <w:rPr>
                      <w:rFonts w:hint="eastAsia"/>
                      <w:color w:val="FF0000"/>
                      <w:sz w:val="21"/>
                      <w:szCs w:val="21"/>
                    </w:rPr>
                    <w:t>0</w:t>
                  </w:r>
                </w:p>
              </w:tc>
              <w:tc>
                <w:tcPr>
                  <w:tcW w:w="987" w:type="dxa"/>
                  <w:vAlign w:val="center"/>
                </w:tcPr>
                <w:p w14:paraId="0726BAEE">
                  <w:pPr>
                    <w:pStyle w:val="51"/>
                    <w:keepNext w:val="0"/>
                    <w:keepLines w:val="0"/>
                    <w:suppressLineNumbers w:val="0"/>
                    <w:spacing w:before="0" w:beforeAutospacing="0" w:after="0" w:afterAutospacing="0" w:line="240" w:lineRule="auto"/>
                    <w:ind w:left="0" w:right="0" w:firstLine="0" w:firstLineChars="0"/>
                    <w:jc w:val="center"/>
                    <w:rPr>
                      <w:rFonts w:hint="default"/>
                      <w:color w:val="FF0000"/>
                      <w:sz w:val="21"/>
                      <w:szCs w:val="21"/>
                    </w:rPr>
                  </w:pPr>
                  <w:r>
                    <w:rPr>
                      <w:rFonts w:hint="default"/>
                      <w:color w:val="FF0000"/>
                      <w:sz w:val="21"/>
                      <w:szCs w:val="21"/>
                    </w:rPr>
                    <w:t>达标</w:t>
                  </w:r>
                </w:p>
              </w:tc>
            </w:tr>
            <w:tr w14:paraId="4E76E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00" w:type="dxa"/>
                  <w:vAlign w:val="center"/>
                </w:tcPr>
                <w:p w14:paraId="18E21806">
                  <w:pPr>
                    <w:pStyle w:val="51"/>
                    <w:keepNext w:val="0"/>
                    <w:keepLines w:val="0"/>
                    <w:suppressLineNumbers w:val="0"/>
                    <w:spacing w:before="0" w:beforeAutospacing="0" w:after="0" w:afterAutospacing="0" w:line="240" w:lineRule="auto"/>
                    <w:ind w:left="0" w:right="0" w:firstLine="0" w:firstLineChars="0"/>
                    <w:jc w:val="center"/>
                    <w:rPr>
                      <w:rFonts w:hint="default"/>
                      <w:color w:val="FF0000"/>
                      <w:sz w:val="21"/>
                      <w:szCs w:val="21"/>
                    </w:rPr>
                  </w:pPr>
                  <w:r>
                    <w:rPr>
                      <w:rFonts w:hint="eastAsia"/>
                      <w:color w:val="FF0000"/>
                      <w:sz w:val="21"/>
                      <w:szCs w:val="21"/>
                    </w:rPr>
                    <w:t>TSP</w:t>
                  </w:r>
                </w:p>
              </w:tc>
              <w:tc>
                <w:tcPr>
                  <w:tcW w:w="1133" w:type="dxa"/>
                  <w:vAlign w:val="center"/>
                </w:tcPr>
                <w:p w14:paraId="01206526">
                  <w:pPr>
                    <w:pStyle w:val="51"/>
                    <w:keepNext w:val="0"/>
                    <w:keepLines w:val="0"/>
                    <w:suppressLineNumbers w:val="0"/>
                    <w:spacing w:before="0" w:beforeAutospacing="0" w:after="0" w:afterAutospacing="0" w:line="240" w:lineRule="auto"/>
                    <w:ind w:left="0" w:right="0" w:firstLine="0" w:firstLineChars="0"/>
                    <w:jc w:val="center"/>
                    <w:rPr>
                      <w:rFonts w:hint="default"/>
                      <w:color w:val="FF0000"/>
                      <w:sz w:val="21"/>
                      <w:szCs w:val="21"/>
                    </w:rPr>
                  </w:pPr>
                  <w:r>
                    <w:rPr>
                      <w:rFonts w:hint="eastAsia"/>
                      <w:color w:val="FF0000"/>
                      <w:sz w:val="21"/>
                      <w:szCs w:val="21"/>
                    </w:rPr>
                    <w:t>日均值</w:t>
                  </w:r>
                </w:p>
              </w:tc>
              <w:tc>
                <w:tcPr>
                  <w:tcW w:w="1065" w:type="dxa"/>
                  <w:vAlign w:val="center"/>
                </w:tcPr>
                <w:p w14:paraId="59286DB2">
                  <w:pPr>
                    <w:pStyle w:val="51"/>
                    <w:keepNext w:val="0"/>
                    <w:keepLines w:val="0"/>
                    <w:suppressLineNumbers w:val="0"/>
                    <w:spacing w:before="0" w:beforeAutospacing="0" w:after="0" w:afterAutospacing="0" w:line="240" w:lineRule="auto"/>
                    <w:ind w:left="0" w:right="0" w:firstLine="0" w:firstLineChars="0"/>
                    <w:jc w:val="center"/>
                    <w:rPr>
                      <w:rFonts w:hint="default"/>
                      <w:color w:val="FF0000"/>
                      <w:sz w:val="21"/>
                      <w:szCs w:val="21"/>
                    </w:rPr>
                  </w:pPr>
                  <w:r>
                    <w:rPr>
                      <w:rFonts w:hint="eastAsia"/>
                      <w:color w:val="FF0000"/>
                      <w:sz w:val="21"/>
                      <w:szCs w:val="21"/>
                    </w:rPr>
                    <w:t>0.3</w:t>
                  </w:r>
                </w:p>
              </w:tc>
              <w:tc>
                <w:tcPr>
                  <w:tcW w:w="1516" w:type="dxa"/>
                  <w:vAlign w:val="center"/>
                </w:tcPr>
                <w:p w14:paraId="7200EC3E">
                  <w:pPr>
                    <w:pStyle w:val="51"/>
                    <w:keepNext w:val="0"/>
                    <w:keepLines w:val="0"/>
                    <w:suppressLineNumbers w:val="0"/>
                    <w:spacing w:before="0" w:beforeAutospacing="0" w:after="0" w:afterAutospacing="0" w:line="240" w:lineRule="auto"/>
                    <w:ind w:left="0" w:right="0" w:firstLine="0" w:firstLineChars="0"/>
                    <w:jc w:val="center"/>
                    <w:rPr>
                      <w:rFonts w:hint="default" w:eastAsia="宋体"/>
                      <w:color w:val="FF0000"/>
                      <w:sz w:val="21"/>
                      <w:szCs w:val="21"/>
                      <w:lang w:val="en-US" w:eastAsia="zh-CN"/>
                    </w:rPr>
                  </w:pPr>
                  <w:r>
                    <w:rPr>
                      <w:rFonts w:hint="eastAsia"/>
                      <w:color w:val="FF0000"/>
                      <w:sz w:val="21"/>
                      <w:szCs w:val="21"/>
                      <w:lang w:val="en-US" w:eastAsia="zh-CN"/>
                    </w:rPr>
                    <w:t>0.039</w:t>
                  </w:r>
                  <w:r>
                    <w:rPr>
                      <w:rFonts w:hint="eastAsia"/>
                      <w:color w:val="FF0000"/>
                      <w:sz w:val="21"/>
                      <w:szCs w:val="21"/>
                    </w:rPr>
                    <w:t>-0.</w:t>
                  </w:r>
                  <w:r>
                    <w:rPr>
                      <w:rFonts w:hint="eastAsia"/>
                      <w:color w:val="FF0000"/>
                      <w:sz w:val="21"/>
                      <w:szCs w:val="21"/>
                      <w:lang w:val="en-US" w:eastAsia="zh-CN"/>
                    </w:rPr>
                    <w:t>088</w:t>
                  </w:r>
                </w:p>
              </w:tc>
              <w:tc>
                <w:tcPr>
                  <w:tcW w:w="1242" w:type="dxa"/>
                  <w:vAlign w:val="center"/>
                </w:tcPr>
                <w:p w14:paraId="68259442">
                  <w:pPr>
                    <w:pStyle w:val="51"/>
                    <w:keepNext w:val="0"/>
                    <w:keepLines w:val="0"/>
                    <w:suppressLineNumbers w:val="0"/>
                    <w:spacing w:before="0" w:beforeAutospacing="0" w:after="0" w:afterAutospacing="0" w:line="240" w:lineRule="auto"/>
                    <w:ind w:left="0" w:right="0" w:firstLine="0" w:firstLineChars="0"/>
                    <w:jc w:val="center"/>
                    <w:rPr>
                      <w:rFonts w:hint="default"/>
                      <w:color w:val="FF0000"/>
                      <w:sz w:val="21"/>
                      <w:szCs w:val="21"/>
                    </w:rPr>
                  </w:pPr>
                  <w:r>
                    <w:rPr>
                      <w:rFonts w:hint="eastAsia"/>
                      <w:color w:val="FF0000"/>
                      <w:sz w:val="21"/>
                      <w:szCs w:val="21"/>
                      <w:lang w:val="en-US" w:eastAsia="zh-CN"/>
                    </w:rPr>
                    <w:t>29</w:t>
                  </w:r>
                  <w:r>
                    <w:rPr>
                      <w:rFonts w:hint="eastAsia"/>
                      <w:color w:val="FF0000"/>
                      <w:sz w:val="21"/>
                      <w:szCs w:val="21"/>
                    </w:rPr>
                    <w:t>%</w:t>
                  </w:r>
                </w:p>
              </w:tc>
              <w:tc>
                <w:tcPr>
                  <w:tcW w:w="1072" w:type="dxa"/>
                  <w:vAlign w:val="center"/>
                </w:tcPr>
                <w:p w14:paraId="2EE6BFE9">
                  <w:pPr>
                    <w:pStyle w:val="51"/>
                    <w:keepNext w:val="0"/>
                    <w:keepLines w:val="0"/>
                    <w:suppressLineNumbers w:val="0"/>
                    <w:spacing w:before="0" w:beforeAutospacing="0" w:after="0" w:afterAutospacing="0" w:line="240" w:lineRule="auto"/>
                    <w:ind w:left="0" w:right="0" w:firstLine="0" w:firstLineChars="0"/>
                    <w:jc w:val="center"/>
                    <w:rPr>
                      <w:rFonts w:hint="default"/>
                      <w:color w:val="FF0000"/>
                      <w:sz w:val="21"/>
                      <w:szCs w:val="21"/>
                    </w:rPr>
                  </w:pPr>
                  <w:r>
                    <w:rPr>
                      <w:rFonts w:hint="eastAsia"/>
                      <w:color w:val="FF0000"/>
                      <w:sz w:val="21"/>
                      <w:szCs w:val="21"/>
                    </w:rPr>
                    <w:t>0</w:t>
                  </w:r>
                </w:p>
              </w:tc>
              <w:tc>
                <w:tcPr>
                  <w:tcW w:w="987" w:type="dxa"/>
                  <w:vAlign w:val="center"/>
                </w:tcPr>
                <w:p w14:paraId="25F1D990">
                  <w:pPr>
                    <w:pStyle w:val="51"/>
                    <w:keepNext w:val="0"/>
                    <w:keepLines w:val="0"/>
                    <w:suppressLineNumbers w:val="0"/>
                    <w:spacing w:before="0" w:beforeAutospacing="0" w:after="0" w:afterAutospacing="0" w:line="240" w:lineRule="auto"/>
                    <w:ind w:left="0" w:right="0" w:firstLine="0" w:firstLineChars="0"/>
                    <w:jc w:val="center"/>
                    <w:rPr>
                      <w:rFonts w:hint="default"/>
                      <w:color w:val="FF0000"/>
                      <w:sz w:val="21"/>
                      <w:szCs w:val="21"/>
                    </w:rPr>
                  </w:pPr>
                  <w:r>
                    <w:rPr>
                      <w:rFonts w:hint="eastAsia"/>
                      <w:color w:val="FF0000"/>
                      <w:sz w:val="21"/>
                      <w:szCs w:val="21"/>
                    </w:rPr>
                    <w:t>达标</w:t>
                  </w:r>
                </w:p>
              </w:tc>
            </w:tr>
          </w:tbl>
          <w:p w14:paraId="009C5B10">
            <w:pPr>
              <w:pStyle w:val="51"/>
              <w:ind w:firstLine="480"/>
            </w:pPr>
            <w:r>
              <w:rPr>
                <w:rFonts w:hint="eastAsia"/>
              </w:rPr>
              <w:t>由上表可知，非甲烷总烃满足《大气污染物综合排放标准详解》中的限值要求，TSP监测结果满足《环境空气质量标准》（GB3095-2012）及修改单中二级标准。</w:t>
            </w:r>
          </w:p>
          <w:p w14:paraId="45AE9C7F">
            <w:pPr>
              <w:pStyle w:val="51"/>
              <w:ind w:firstLine="482"/>
              <w:rPr>
                <w:b/>
                <w:bCs/>
              </w:rPr>
            </w:pPr>
            <w:r>
              <w:rPr>
                <w:rFonts w:hint="eastAsia"/>
                <w:b/>
                <w:bCs/>
              </w:rPr>
              <w:t>2、地表水环境质量现状</w:t>
            </w:r>
          </w:p>
          <w:p w14:paraId="6DF2CB88">
            <w:pPr>
              <w:pStyle w:val="51"/>
              <w:ind w:firstLine="480"/>
              <w:rPr>
                <w:rFonts w:hint="eastAsia"/>
              </w:rPr>
            </w:pPr>
            <w:r>
              <w:rPr>
                <w:rFonts w:hint="eastAsia"/>
              </w:rPr>
              <w:t>根据《建设项目环境影响报告表编制技术指南（污染影响类）（试行）》，地表水环境可引用与建设项目距离近的有效数据，包括近3年的规划环境影响评价的监测数据，所在流域控制单元内国家、地方控制断面监测数据，生态环境主管部门发布的水环境质量数据或地表水达标情况结论。</w:t>
            </w:r>
          </w:p>
          <w:p w14:paraId="78A0FC0A">
            <w:pPr>
              <w:pStyle w:val="51"/>
              <w:ind w:firstLine="480"/>
            </w:pPr>
            <w:r>
              <w:rPr>
                <w:rFonts w:hint="eastAsia"/>
              </w:rPr>
              <w:t>根据池州市生态环境局发布的2025年池州市5月份地表水环境状况</w:t>
            </w:r>
            <w:r>
              <w:rPr>
                <w:rFonts w:hint="eastAsia"/>
                <w:lang w:eastAsia="zh-CN"/>
              </w:rPr>
              <w:t>（</w:t>
            </w:r>
            <w:r>
              <w:rPr>
                <w:rFonts w:hint="eastAsia"/>
              </w:rPr>
              <w:t>新版</w:t>
            </w:r>
            <w:r>
              <w:rPr>
                <w:rFonts w:hint="eastAsia"/>
                <w:lang w:eastAsia="zh-CN"/>
              </w:rPr>
              <w:t>）</w:t>
            </w:r>
            <w:r>
              <w:rPr>
                <w:rFonts w:hint="eastAsia"/>
              </w:rPr>
              <w:t>数据（https://sthjj.chizhou.gov.cn/OpennessContent/show/1658723.html），按照《地表水环境质量标准》（GB3838—2002）和《地表水环境质量评价办法（试行）》（2011年3月）进行评价，2025年5月份长江五步沟右岸断面、民生水厂右岸断面、江口水厂断面，各断面水质综合评价为Ⅱ类，长江水质满足《地表水环境质量标准》（GB3838-2002）中Ⅲ类标准要求，九华河梅垅断面水质综合评价为Ⅲ类，九华河青阳贵池县界水质综合评价为Ⅱ类，九华河水质满足《地表水环境质量标准》（GB3838-2002）中Ⅲ类标准要求。因此，评价区域地表水环境质量现状良好。</w:t>
            </w:r>
          </w:p>
          <w:p w14:paraId="28C4800E">
            <w:pPr>
              <w:pStyle w:val="51"/>
              <w:ind w:firstLine="482"/>
              <w:rPr>
                <w:b/>
                <w:bCs/>
              </w:rPr>
            </w:pPr>
            <w:r>
              <w:rPr>
                <w:b/>
                <w:bCs/>
              </w:rPr>
              <w:t>3、声环境质量现状</w:t>
            </w:r>
          </w:p>
          <w:p w14:paraId="45C477A6">
            <w:pPr>
              <w:pStyle w:val="51"/>
              <w:ind w:firstLine="480"/>
            </w:pPr>
            <w:r>
              <w:rPr>
                <w:rFonts w:hint="eastAsia"/>
              </w:rPr>
              <w:t>根据《建设项目环境影响报告表编制技术指南（污染影响类）（试行）》，本项目厂界外周边50米范围内不存在声环境保护目标，故无需进行声环境质量现状监测。</w:t>
            </w:r>
          </w:p>
          <w:p w14:paraId="2C7C9021">
            <w:pPr>
              <w:adjustRightInd w:val="0"/>
              <w:snapToGrid w:val="0"/>
              <w:spacing w:line="360" w:lineRule="auto"/>
              <w:ind w:left="420" w:leftChars="200"/>
              <w:jc w:val="left"/>
              <w:rPr>
                <w:b/>
                <w:bCs/>
                <w:sz w:val="24"/>
              </w:rPr>
            </w:pPr>
            <w:r>
              <w:rPr>
                <w:rFonts w:hint="eastAsia"/>
                <w:b/>
                <w:bCs/>
                <w:sz w:val="24"/>
              </w:rPr>
              <w:t>4、生态环境</w:t>
            </w:r>
          </w:p>
          <w:p w14:paraId="41B21CE0">
            <w:pPr>
              <w:adjustRightInd w:val="0"/>
              <w:snapToGrid w:val="0"/>
              <w:spacing w:line="360" w:lineRule="auto"/>
              <w:ind w:firstLine="480" w:firstLineChars="200"/>
              <w:jc w:val="left"/>
              <w:rPr>
                <w:sz w:val="24"/>
              </w:rPr>
            </w:pPr>
            <w:r>
              <w:rPr>
                <w:rFonts w:hint="eastAsia"/>
                <w:sz w:val="24"/>
              </w:rPr>
              <w:t>根据《建设项目环境影响报告表编制技术指南（污染影响类）（试行）》，本项目位于皖江江南新兴产业集中区众飞产业园，占地范围内无生态环境保护目标，无需进行生态现状调查。</w:t>
            </w:r>
          </w:p>
          <w:p w14:paraId="690AA3E0">
            <w:pPr>
              <w:adjustRightInd w:val="0"/>
              <w:snapToGrid w:val="0"/>
              <w:spacing w:line="360" w:lineRule="auto"/>
              <w:ind w:left="420" w:leftChars="200"/>
              <w:jc w:val="left"/>
              <w:rPr>
                <w:b/>
                <w:bCs/>
                <w:sz w:val="24"/>
              </w:rPr>
            </w:pPr>
            <w:r>
              <w:rPr>
                <w:rFonts w:hint="eastAsia"/>
                <w:b/>
                <w:bCs/>
                <w:sz w:val="24"/>
              </w:rPr>
              <w:t>5、地下水、土壤环境</w:t>
            </w:r>
          </w:p>
          <w:p w14:paraId="3638DB87">
            <w:pPr>
              <w:pStyle w:val="51"/>
              <w:ind w:firstLine="480"/>
            </w:pPr>
            <w:r>
              <w:rPr>
                <w:rFonts w:hint="eastAsia"/>
              </w:rPr>
              <w:t>本项目位于皖江江南新兴产业集中区众飞产业园内，周边无地下水、土壤敏感目标，项目危废暂存间采取重点防渗措施，其他厂房采取一般防渗措施，项目运营期间正常情况下对土壤、地下水无污染途径，根据《建设项目环境影响报告表编制技术指南（污染影响类）（试行）》，无需开展土壤、地下水环境质量现状调查。</w:t>
            </w:r>
          </w:p>
        </w:tc>
      </w:tr>
      <w:tr w14:paraId="4264B6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3" w:type="dxa"/>
            <w:vAlign w:val="center"/>
          </w:tcPr>
          <w:p w14:paraId="510DA04E">
            <w:pPr>
              <w:adjustRightInd w:val="0"/>
              <w:snapToGrid w:val="0"/>
              <w:jc w:val="center"/>
              <w:rPr>
                <w:rFonts w:hint="eastAsia" w:ascii="宋体" w:hAnsi="宋体" w:cs="宋体"/>
                <w:kern w:val="0"/>
                <w:szCs w:val="21"/>
              </w:rPr>
            </w:pPr>
            <w:r>
              <w:rPr>
                <w:rFonts w:hint="eastAsia" w:ascii="宋体" w:hAnsi="宋体" w:cs="宋体"/>
                <w:kern w:val="0"/>
                <w:szCs w:val="21"/>
              </w:rPr>
              <w:t>环境</w:t>
            </w:r>
          </w:p>
          <w:p w14:paraId="12CBC1DB">
            <w:pPr>
              <w:adjustRightInd w:val="0"/>
              <w:snapToGrid w:val="0"/>
              <w:jc w:val="center"/>
              <w:rPr>
                <w:rFonts w:hint="eastAsia" w:ascii="宋体" w:hAnsi="宋体" w:cs="宋体"/>
                <w:kern w:val="0"/>
                <w:szCs w:val="21"/>
              </w:rPr>
            </w:pPr>
            <w:r>
              <w:rPr>
                <w:rFonts w:hint="eastAsia" w:ascii="宋体" w:hAnsi="宋体" w:cs="宋体"/>
                <w:kern w:val="0"/>
                <w:szCs w:val="21"/>
              </w:rPr>
              <w:t>保护</w:t>
            </w:r>
          </w:p>
          <w:p w14:paraId="2DD8A927">
            <w:pPr>
              <w:adjustRightInd w:val="0"/>
              <w:snapToGrid w:val="0"/>
              <w:jc w:val="center"/>
              <w:rPr>
                <w:rFonts w:hint="eastAsia" w:ascii="宋体" w:hAnsi="宋体" w:cs="宋体"/>
                <w:kern w:val="0"/>
                <w:szCs w:val="21"/>
              </w:rPr>
            </w:pPr>
            <w:r>
              <w:rPr>
                <w:rFonts w:hint="eastAsia" w:ascii="宋体" w:hAnsi="宋体" w:cs="宋体"/>
                <w:kern w:val="0"/>
                <w:szCs w:val="21"/>
              </w:rPr>
              <w:t>目标</w:t>
            </w:r>
          </w:p>
        </w:tc>
        <w:tc>
          <w:tcPr>
            <w:tcW w:w="8420" w:type="dxa"/>
            <w:vAlign w:val="center"/>
          </w:tcPr>
          <w:p w14:paraId="4B103053">
            <w:pPr>
              <w:pStyle w:val="51"/>
              <w:ind w:firstLine="480"/>
              <w:rPr>
                <w:rFonts w:hint="eastAsia"/>
              </w:rPr>
            </w:pPr>
            <w:r>
              <w:rPr>
                <w:rFonts w:hint="eastAsia"/>
              </w:rPr>
              <w:t>本项目位于皖江江南新兴产业集中区众飞产业园内，</w:t>
            </w:r>
            <w:r>
              <w:rPr>
                <w:rFonts w:hint="eastAsia"/>
                <w:lang w:val="en-US" w:eastAsia="zh-CN"/>
              </w:rPr>
              <w:t>租赁</w:t>
            </w:r>
            <w:r>
              <w:rPr>
                <w:rFonts w:hint="eastAsia"/>
              </w:rPr>
              <w:t>众飞产业园已建厂房。企业厂界外500m范围内无自然保护区、风景名胜区、文化区，有居民区；无地下水集中式饮用水水源和热水、矿泉水、温泉等特殊地下水资源；厂界外50m范围内无声环境保护目标。</w:t>
            </w:r>
          </w:p>
          <w:p w14:paraId="4203E654">
            <w:pPr>
              <w:pStyle w:val="51"/>
              <w:ind w:firstLine="480"/>
              <w:rPr>
                <w:rFonts w:hint="eastAsia"/>
              </w:rPr>
            </w:pPr>
            <w:r>
              <w:rPr>
                <w:rFonts w:hint="eastAsia"/>
              </w:rPr>
              <w:t>主要保护目标及保护级别见下表。项目环境保护目标图见附图</w:t>
            </w:r>
            <w:r>
              <w:rPr>
                <w:rFonts w:hint="eastAsia"/>
                <w:lang w:val="en-US" w:eastAsia="zh-CN"/>
              </w:rPr>
              <w:t>3</w:t>
            </w:r>
            <w:r>
              <w:rPr>
                <w:rFonts w:hint="eastAsia"/>
              </w:rPr>
              <w:t>。</w:t>
            </w:r>
          </w:p>
          <w:p w14:paraId="516919EE">
            <w:pPr>
              <w:pStyle w:val="10"/>
              <w:keepNext w:val="0"/>
              <w:keepLines w:val="0"/>
              <w:suppressLineNumbers w:val="0"/>
              <w:spacing w:before="0" w:beforeAutospacing="0" w:afterAutospacing="0" w:line="240" w:lineRule="auto"/>
              <w:ind w:left="105" w:leftChars="27" w:right="105" w:rightChars="50" w:hanging="48" w:hangingChars="23"/>
              <w:jc w:val="center"/>
              <w:rPr>
                <w:rFonts w:hint="eastAsia" w:ascii="宋体" w:hAnsi="宋体"/>
                <w:b/>
                <w:szCs w:val="21"/>
              </w:rPr>
            </w:pPr>
            <w:r>
              <w:rPr>
                <w:rFonts w:hint="eastAsia"/>
                <w:b/>
                <w:bCs/>
                <w:kern w:val="0"/>
                <w:szCs w:val="21"/>
              </w:rPr>
              <w:t>表3-</w:t>
            </w:r>
            <w:r>
              <w:rPr>
                <w:rFonts w:hint="eastAsia"/>
                <w:b/>
                <w:bCs/>
                <w:kern w:val="0"/>
                <w:szCs w:val="21"/>
                <w:lang w:val="en-US" w:eastAsia="zh-CN"/>
              </w:rPr>
              <w:t>4</w:t>
            </w:r>
            <w:r>
              <w:rPr>
                <w:rFonts w:hint="eastAsia"/>
                <w:b/>
                <w:bCs/>
                <w:kern w:val="0"/>
                <w:szCs w:val="21"/>
              </w:rPr>
              <w:t xml:space="preserve">  项目环境保护目标一览表</w:t>
            </w:r>
            <w:r>
              <w:rPr>
                <w:rFonts w:hint="eastAsia"/>
                <w:b/>
                <w:sz w:val="24"/>
              </w:rPr>
              <w:t xml:space="preserve"> </w:t>
            </w:r>
          </w:p>
          <w:tbl>
            <w:tblPr>
              <w:tblStyle w:val="23"/>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1"/>
              <w:gridCol w:w="743"/>
              <w:gridCol w:w="2093"/>
              <w:gridCol w:w="877"/>
              <w:gridCol w:w="649"/>
              <w:gridCol w:w="1822"/>
              <w:gridCol w:w="703"/>
              <w:gridCol w:w="1002"/>
            </w:tblGrid>
            <w:tr w14:paraId="170AF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3" w:hRule="atLeast"/>
                <w:jc w:val="center"/>
              </w:trPr>
              <w:tc>
                <w:tcPr>
                  <w:tcW w:w="431" w:type="dxa"/>
                  <w:tcBorders>
                    <w:tl2br w:val="nil"/>
                    <w:tr2bl w:val="nil"/>
                  </w:tcBorders>
                  <w:vAlign w:val="center"/>
                </w:tcPr>
                <w:p w14:paraId="41D51A74">
                  <w:pPr>
                    <w:pStyle w:val="56"/>
                    <w:keepNext w:val="0"/>
                    <w:keepLines w:val="0"/>
                    <w:suppressLineNumbers w:val="0"/>
                    <w:kinsoku w:val="0"/>
                    <w:overflowPunct w:val="0"/>
                    <w:snapToGrid w:val="0"/>
                    <w:spacing w:before="0" w:beforeAutospacing="0" w:after="0" w:afterAutospacing="0"/>
                    <w:ind w:left="0" w:right="0"/>
                    <w:rPr>
                      <w:rFonts w:hint="eastAsia"/>
                      <w:b/>
                      <w:bCs/>
                      <w:color w:val="auto"/>
                      <w:sz w:val="21"/>
                      <w:szCs w:val="21"/>
                    </w:rPr>
                  </w:pPr>
                  <w:r>
                    <w:rPr>
                      <w:rFonts w:hint="eastAsia"/>
                      <w:b/>
                      <w:bCs/>
                      <w:color w:val="auto"/>
                      <w:sz w:val="21"/>
                      <w:szCs w:val="21"/>
                    </w:rPr>
                    <w:t>环境要素</w:t>
                  </w:r>
                </w:p>
              </w:tc>
              <w:tc>
                <w:tcPr>
                  <w:tcW w:w="743" w:type="dxa"/>
                  <w:tcBorders>
                    <w:tl2br w:val="nil"/>
                    <w:tr2bl w:val="nil"/>
                  </w:tcBorders>
                  <w:vAlign w:val="center"/>
                </w:tcPr>
                <w:p w14:paraId="07514CA8">
                  <w:pPr>
                    <w:pStyle w:val="56"/>
                    <w:keepNext w:val="0"/>
                    <w:keepLines w:val="0"/>
                    <w:suppressLineNumbers w:val="0"/>
                    <w:kinsoku w:val="0"/>
                    <w:overflowPunct w:val="0"/>
                    <w:snapToGrid w:val="0"/>
                    <w:spacing w:before="0" w:beforeAutospacing="0" w:after="0" w:afterAutospacing="0"/>
                    <w:ind w:left="0" w:right="0"/>
                    <w:rPr>
                      <w:rFonts w:hint="eastAsia"/>
                      <w:b/>
                      <w:bCs/>
                      <w:color w:val="auto"/>
                      <w:sz w:val="21"/>
                      <w:szCs w:val="21"/>
                    </w:rPr>
                  </w:pPr>
                  <w:r>
                    <w:rPr>
                      <w:rFonts w:hint="default"/>
                      <w:b/>
                      <w:bCs/>
                      <w:color w:val="auto"/>
                      <w:sz w:val="21"/>
                      <w:szCs w:val="21"/>
                    </w:rPr>
                    <w:t>名称</w:t>
                  </w:r>
                </w:p>
              </w:tc>
              <w:tc>
                <w:tcPr>
                  <w:tcW w:w="2093" w:type="dxa"/>
                  <w:tcBorders>
                    <w:tl2br w:val="nil"/>
                    <w:tr2bl w:val="nil"/>
                  </w:tcBorders>
                  <w:vAlign w:val="center"/>
                </w:tcPr>
                <w:p w14:paraId="3F42E09D">
                  <w:pPr>
                    <w:pStyle w:val="56"/>
                    <w:keepNext w:val="0"/>
                    <w:keepLines w:val="0"/>
                    <w:suppressLineNumbers w:val="0"/>
                    <w:kinsoku w:val="0"/>
                    <w:overflowPunct w:val="0"/>
                    <w:snapToGrid w:val="0"/>
                    <w:spacing w:before="0" w:beforeAutospacing="0" w:after="0" w:afterAutospacing="0"/>
                    <w:ind w:left="0" w:right="0"/>
                    <w:rPr>
                      <w:rFonts w:hint="eastAsia"/>
                      <w:b/>
                      <w:bCs/>
                      <w:color w:val="auto"/>
                      <w:sz w:val="21"/>
                      <w:szCs w:val="21"/>
                    </w:rPr>
                  </w:pPr>
                  <w:r>
                    <w:rPr>
                      <w:rFonts w:hint="eastAsia" w:ascii="Times New Roman" w:hAnsi="Times New Roman" w:cs="Times New Roman"/>
                      <w:b/>
                      <w:bCs/>
                      <w:color w:val="auto"/>
                      <w:kern w:val="2"/>
                      <w:sz w:val="21"/>
                      <w:szCs w:val="21"/>
                      <w:lang w:eastAsia="zh-CN"/>
                    </w:rPr>
                    <w:t>坐标</w:t>
                  </w:r>
                </w:p>
              </w:tc>
              <w:tc>
                <w:tcPr>
                  <w:tcW w:w="877" w:type="dxa"/>
                  <w:tcBorders>
                    <w:tl2br w:val="nil"/>
                    <w:tr2bl w:val="nil"/>
                  </w:tcBorders>
                  <w:vAlign w:val="center"/>
                </w:tcPr>
                <w:p w14:paraId="1D483281">
                  <w:pPr>
                    <w:pStyle w:val="56"/>
                    <w:keepNext w:val="0"/>
                    <w:keepLines w:val="0"/>
                    <w:suppressLineNumbers w:val="0"/>
                    <w:kinsoku w:val="0"/>
                    <w:overflowPunct w:val="0"/>
                    <w:snapToGrid w:val="0"/>
                    <w:spacing w:before="0" w:beforeAutospacing="0" w:after="0" w:afterAutospacing="0"/>
                    <w:ind w:left="0" w:right="0"/>
                    <w:rPr>
                      <w:rFonts w:hint="eastAsia"/>
                      <w:b/>
                      <w:bCs/>
                      <w:color w:val="auto"/>
                      <w:sz w:val="21"/>
                      <w:szCs w:val="21"/>
                    </w:rPr>
                  </w:pPr>
                  <w:r>
                    <w:rPr>
                      <w:rFonts w:hint="default"/>
                      <w:b/>
                      <w:bCs/>
                      <w:color w:val="auto"/>
                      <w:sz w:val="21"/>
                      <w:szCs w:val="21"/>
                    </w:rPr>
                    <w:t>保护</w:t>
                  </w:r>
                </w:p>
                <w:p w14:paraId="0E471C56">
                  <w:pPr>
                    <w:pStyle w:val="56"/>
                    <w:keepNext w:val="0"/>
                    <w:keepLines w:val="0"/>
                    <w:suppressLineNumbers w:val="0"/>
                    <w:kinsoku w:val="0"/>
                    <w:overflowPunct w:val="0"/>
                    <w:snapToGrid w:val="0"/>
                    <w:spacing w:before="0" w:beforeAutospacing="0" w:after="0" w:afterAutospacing="0"/>
                    <w:ind w:left="0" w:right="0"/>
                    <w:rPr>
                      <w:rFonts w:hint="eastAsia"/>
                      <w:b/>
                      <w:bCs/>
                      <w:color w:val="auto"/>
                      <w:sz w:val="21"/>
                      <w:szCs w:val="21"/>
                    </w:rPr>
                  </w:pPr>
                  <w:r>
                    <w:rPr>
                      <w:rFonts w:hint="default"/>
                      <w:b/>
                      <w:bCs/>
                      <w:color w:val="auto"/>
                      <w:sz w:val="21"/>
                      <w:szCs w:val="21"/>
                    </w:rPr>
                    <w:t>对象</w:t>
                  </w:r>
                </w:p>
              </w:tc>
              <w:tc>
                <w:tcPr>
                  <w:tcW w:w="649" w:type="dxa"/>
                  <w:tcBorders>
                    <w:tl2br w:val="nil"/>
                    <w:tr2bl w:val="nil"/>
                  </w:tcBorders>
                  <w:vAlign w:val="center"/>
                </w:tcPr>
                <w:p w14:paraId="0D24F92E">
                  <w:pPr>
                    <w:pStyle w:val="56"/>
                    <w:keepNext w:val="0"/>
                    <w:keepLines w:val="0"/>
                    <w:suppressLineNumbers w:val="0"/>
                    <w:kinsoku w:val="0"/>
                    <w:overflowPunct w:val="0"/>
                    <w:snapToGrid w:val="0"/>
                    <w:spacing w:before="0" w:beforeAutospacing="0" w:after="0" w:afterAutospacing="0"/>
                    <w:ind w:left="0" w:right="0"/>
                    <w:rPr>
                      <w:rFonts w:hint="eastAsia"/>
                      <w:b/>
                      <w:bCs/>
                      <w:color w:val="auto"/>
                      <w:sz w:val="21"/>
                      <w:szCs w:val="21"/>
                    </w:rPr>
                  </w:pPr>
                  <w:r>
                    <w:rPr>
                      <w:rFonts w:hint="default"/>
                      <w:b/>
                      <w:bCs/>
                      <w:color w:val="auto"/>
                      <w:sz w:val="21"/>
                      <w:szCs w:val="21"/>
                    </w:rPr>
                    <w:t>保护</w:t>
                  </w:r>
                </w:p>
                <w:p w14:paraId="4A442A22">
                  <w:pPr>
                    <w:pStyle w:val="56"/>
                    <w:keepNext w:val="0"/>
                    <w:keepLines w:val="0"/>
                    <w:suppressLineNumbers w:val="0"/>
                    <w:kinsoku w:val="0"/>
                    <w:overflowPunct w:val="0"/>
                    <w:snapToGrid w:val="0"/>
                    <w:spacing w:before="0" w:beforeAutospacing="0" w:after="0" w:afterAutospacing="0"/>
                    <w:ind w:left="0" w:right="0"/>
                    <w:rPr>
                      <w:rFonts w:hint="eastAsia"/>
                      <w:b/>
                      <w:bCs/>
                      <w:color w:val="auto"/>
                      <w:sz w:val="21"/>
                      <w:szCs w:val="21"/>
                    </w:rPr>
                  </w:pPr>
                  <w:r>
                    <w:rPr>
                      <w:rFonts w:hint="default"/>
                      <w:b/>
                      <w:bCs/>
                      <w:color w:val="auto"/>
                      <w:sz w:val="21"/>
                      <w:szCs w:val="21"/>
                    </w:rPr>
                    <w:t>内容</w:t>
                  </w:r>
                </w:p>
              </w:tc>
              <w:tc>
                <w:tcPr>
                  <w:tcW w:w="1822" w:type="dxa"/>
                  <w:tcBorders>
                    <w:tl2br w:val="nil"/>
                    <w:tr2bl w:val="nil"/>
                  </w:tcBorders>
                  <w:vAlign w:val="center"/>
                </w:tcPr>
                <w:p w14:paraId="0A9B0D94">
                  <w:pPr>
                    <w:pStyle w:val="56"/>
                    <w:keepNext w:val="0"/>
                    <w:keepLines w:val="0"/>
                    <w:suppressLineNumbers w:val="0"/>
                    <w:kinsoku w:val="0"/>
                    <w:overflowPunct w:val="0"/>
                    <w:snapToGrid w:val="0"/>
                    <w:spacing w:before="0" w:beforeAutospacing="0" w:after="0" w:afterAutospacing="0"/>
                    <w:ind w:left="0" w:right="0"/>
                    <w:rPr>
                      <w:rFonts w:hint="eastAsia"/>
                      <w:b/>
                      <w:bCs/>
                      <w:color w:val="auto"/>
                      <w:sz w:val="21"/>
                      <w:szCs w:val="21"/>
                    </w:rPr>
                  </w:pPr>
                  <w:r>
                    <w:rPr>
                      <w:rFonts w:hint="default"/>
                      <w:b/>
                      <w:bCs/>
                      <w:color w:val="auto"/>
                      <w:sz w:val="21"/>
                      <w:szCs w:val="21"/>
                    </w:rPr>
                    <w:t>环境</w:t>
                  </w:r>
                </w:p>
                <w:p w14:paraId="2D51FC33">
                  <w:pPr>
                    <w:pStyle w:val="56"/>
                    <w:keepNext w:val="0"/>
                    <w:keepLines w:val="0"/>
                    <w:suppressLineNumbers w:val="0"/>
                    <w:kinsoku w:val="0"/>
                    <w:overflowPunct w:val="0"/>
                    <w:snapToGrid w:val="0"/>
                    <w:spacing w:before="0" w:beforeAutospacing="0" w:after="0" w:afterAutospacing="0"/>
                    <w:ind w:left="0" w:right="0"/>
                    <w:rPr>
                      <w:rFonts w:hint="eastAsia"/>
                      <w:b/>
                      <w:bCs/>
                      <w:color w:val="auto"/>
                      <w:sz w:val="21"/>
                      <w:szCs w:val="21"/>
                    </w:rPr>
                  </w:pPr>
                  <w:r>
                    <w:rPr>
                      <w:rFonts w:hint="default"/>
                      <w:b/>
                      <w:bCs/>
                      <w:color w:val="auto"/>
                      <w:sz w:val="21"/>
                      <w:szCs w:val="21"/>
                    </w:rPr>
                    <w:t>功能区</w:t>
                  </w:r>
                </w:p>
              </w:tc>
              <w:tc>
                <w:tcPr>
                  <w:tcW w:w="703" w:type="dxa"/>
                  <w:tcBorders>
                    <w:tl2br w:val="nil"/>
                    <w:tr2bl w:val="nil"/>
                  </w:tcBorders>
                  <w:vAlign w:val="center"/>
                </w:tcPr>
                <w:p w14:paraId="6BCDF3FC">
                  <w:pPr>
                    <w:pStyle w:val="56"/>
                    <w:keepNext w:val="0"/>
                    <w:keepLines w:val="0"/>
                    <w:suppressLineNumbers w:val="0"/>
                    <w:kinsoku w:val="0"/>
                    <w:overflowPunct w:val="0"/>
                    <w:snapToGrid w:val="0"/>
                    <w:spacing w:before="0" w:beforeAutospacing="0" w:after="0" w:afterAutospacing="0"/>
                    <w:ind w:left="0" w:right="0"/>
                    <w:rPr>
                      <w:rFonts w:hint="eastAsia"/>
                      <w:b/>
                      <w:bCs/>
                      <w:color w:val="auto"/>
                      <w:sz w:val="21"/>
                      <w:szCs w:val="21"/>
                    </w:rPr>
                  </w:pPr>
                  <w:r>
                    <w:rPr>
                      <w:rFonts w:hint="default"/>
                      <w:b/>
                      <w:bCs/>
                      <w:color w:val="auto"/>
                      <w:sz w:val="21"/>
                      <w:szCs w:val="21"/>
                    </w:rPr>
                    <w:t>相对厂</w:t>
                  </w:r>
                </w:p>
                <w:p w14:paraId="7229098C">
                  <w:pPr>
                    <w:pStyle w:val="56"/>
                    <w:keepNext w:val="0"/>
                    <w:keepLines w:val="0"/>
                    <w:suppressLineNumbers w:val="0"/>
                    <w:kinsoku w:val="0"/>
                    <w:overflowPunct w:val="0"/>
                    <w:snapToGrid w:val="0"/>
                    <w:spacing w:before="0" w:beforeAutospacing="0" w:after="0" w:afterAutospacing="0"/>
                    <w:ind w:left="0" w:right="0"/>
                    <w:rPr>
                      <w:rFonts w:hint="eastAsia"/>
                      <w:b/>
                      <w:bCs/>
                      <w:color w:val="auto"/>
                      <w:sz w:val="21"/>
                      <w:szCs w:val="21"/>
                    </w:rPr>
                  </w:pPr>
                  <w:r>
                    <w:rPr>
                      <w:rFonts w:hint="default"/>
                      <w:b/>
                      <w:bCs/>
                      <w:color w:val="auto"/>
                      <w:sz w:val="21"/>
                      <w:szCs w:val="21"/>
                    </w:rPr>
                    <w:t>址方位</w:t>
                  </w:r>
                </w:p>
              </w:tc>
              <w:tc>
                <w:tcPr>
                  <w:tcW w:w="1002" w:type="dxa"/>
                  <w:tcBorders>
                    <w:tl2br w:val="nil"/>
                    <w:tr2bl w:val="nil"/>
                  </w:tcBorders>
                  <w:vAlign w:val="center"/>
                </w:tcPr>
                <w:p w14:paraId="42DEE93F">
                  <w:pPr>
                    <w:pStyle w:val="56"/>
                    <w:keepNext w:val="0"/>
                    <w:keepLines w:val="0"/>
                    <w:suppressLineNumbers w:val="0"/>
                    <w:kinsoku w:val="0"/>
                    <w:overflowPunct w:val="0"/>
                    <w:snapToGrid w:val="0"/>
                    <w:spacing w:before="0" w:beforeAutospacing="0" w:after="0" w:afterAutospacing="0"/>
                    <w:ind w:left="0" w:right="0"/>
                    <w:rPr>
                      <w:rFonts w:hint="eastAsia"/>
                      <w:b/>
                      <w:bCs/>
                      <w:color w:val="auto"/>
                      <w:sz w:val="21"/>
                      <w:szCs w:val="21"/>
                      <w:lang w:eastAsia="zh-CN"/>
                    </w:rPr>
                  </w:pPr>
                  <w:r>
                    <w:rPr>
                      <w:rFonts w:hint="default"/>
                      <w:b/>
                      <w:bCs/>
                      <w:color w:val="auto"/>
                      <w:sz w:val="21"/>
                      <w:szCs w:val="21"/>
                      <w:lang w:eastAsia="zh-CN"/>
                    </w:rPr>
                    <w:t>相对厂</w:t>
                  </w:r>
                  <w:r>
                    <w:rPr>
                      <w:rFonts w:hint="eastAsia"/>
                      <w:b/>
                      <w:bCs/>
                      <w:color w:val="auto"/>
                      <w:sz w:val="21"/>
                      <w:szCs w:val="21"/>
                      <w:lang w:eastAsia="zh-CN"/>
                    </w:rPr>
                    <w:t>界最近</w:t>
                  </w:r>
                  <w:r>
                    <w:rPr>
                      <w:rFonts w:hint="default"/>
                      <w:b/>
                      <w:bCs/>
                      <w:color w:val="auto"/>
                      <w:sz w:val="21"/>
                      <w:szCs w:val="21"/>
                      <w:lang w:eastAsia="zh-CN"/>
                    </w:rPr>
                    <w:t>距离（m）</w:t>
                  </w:r>
                </w:p>
              </w:tc>
            </w:tr>
            <w:tr w14:paraId="7BC8C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44" w:hRule="atLeast"/>
                <w:jc w:val="center"/>
              </w:trPr>
              <w:tc>
                <w:tcPr>
                  <w:tcW w:w="431" w:type="dxa"/>
                  <w:tcBorders>
                    <w:tl2br w:val="nil"/>
                    <w:tr2bl w:val="nil"/>
                  </w:tcBorders>
                  <w:vAlign w:val="center"/>
                </w:tcPr>
                <w:p w14:paraId="19E09B49">
                  <w:pPr>
                    <w:keepNext w:val="0"/>
                    <w:keepLines w:val="0"/>
                    <w:suppressLineNumbers w:val="0"/>
                    <w:snapToGrid w:val="0"/>
                    <w:spacing w:before="0" w:beforeAutospacing="0" w:after="0" w:afterAutospacing="0"/>
                    <w:ind w:left="0" w:right="0"/>
                    <w:jc w:val="center"/>
                    <w:rPr>
                      <w:rFonts w:hint="default"/>
                      <w:color w:val="auto"/>
                      <w:szCs w:val="21"/>
                    </w:rPr>
                  </w:pPr>
                  <w:bookmarkStart w:id="6" w:name="_Hlk21781857"/>
                  <w:r>
                    <w:rPr>
                      <w:rFonts w:hint="eastAsia"/>
                      <w:color w:val="auto"/>
                      <w:szCs w:val="21"/>
                    </w:rPr>
                    <w:t>大气环境</w:t>
                  </w:r>
                </w:p>
              </w:tc>
              <w:tc>
                <w:tcPr>
                  <w:tcW w:w="743" w:type="dxa"/>
                  <w:tcBorders>
                    <w:tl2br w:val="nil"/>
                    <w:tr2bl w:val="nil"/>
                  </w:tcBorders>
                  <w:vAlign w:val="center"/>
                </w:tcPr>
                <w:p w14:paraId="473A3B1B">
                  <w:pPr>
                    <w:keepNext w:val="0"/>
                    <w:keepLines w:val="0"/>
                    <w:suppressLineNumbers w:val="0"/>
                    <w:spacing w:before="0" w:beforeAutospacing="0" w:after="0" w:afterAutospacing="0"/>
                    <w:ind w:left="0" w:right="0"/>
                    <w:jc w:val="center"/>
                    <w:rPr>
                      <w:rFonts w:hint="default" w:eastAsia="宋体"/>
                      <w:bCs/>
                      <w:color w:val="auto"/>
                      <w:szCs w:val="21"/>
                      <w:lang w:val="en-US" w:eastAsia="zh-CN"/>
                    </w:rPr>
                  </w:pPr>
                  <w:r>
                    <w:rPr>
                      <w:rFonts w:hint="eastAsia" w:eastAsia="宋体"/>
                      <w:bCs/>
                      <w:color w:val="auto"/>
                      <w:szCs w:val="21"/>
                      <w:lang w:val="en-US" w:eastAsia="zh-CN"/>
                    </w:rPr>
                    <w:t>兴锋产业园宿舍</w:t>
                  </w:r>
                </w:p>
              </w:tc>
              <w:tc>
                <w:tcPr>
                  <w:tcW w:w="2093" w:type="dxa"/>
                  <w:tcBorders>
                    <w:tl2br w:val="nil"/>
                    <w:tr2bl w:val="nil"/>
                  </w:tcBorders>
                  <w:vAlign w:val="center"/>
                </w:tcPr>
                <w:p w14:paraId="1753ED78">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经度：117</w:t>
                  </w:r>
                  <w:r>
                    <w:rPr>
                      <w:rFonts w:hint="default"/>
                      <w:color w:val="auto"/>
                      <w:szCs w:val="21"/>
                    </w:rPr>
                    <w:t>°</w:t>
                  </w:r>
                  <w:r>
                    <w:rPr>
                      <w:rFonts w:hint="eastAsia"/>
                      <w:color w:val="auto"/>
                      <w:szCs w:val="21"/>
                      <w:lang w:val="en-US" w:eastAsia="zh-CN"/>
                    </w:rPr>
                    <w:t>38</w:t>
                  </w:r>
                  <w:r>
                    <w:rPr>
                      <w:rFonts w:hint="eastAsia"/>
                      <w:color w:val="auto"/>
                      <w:szCs w:val="21"/>
                    </w:rPr>
                    <w:t>'</w:t>
                  </w:r>
                  <w:r>
                    <w:rPr>
                      <w:rFonts w:hint="eastAsia"/>
                      <w:color w:val="auto"/>
                      <w:szCs w:val="21"/>
                      <w:lang w:val="en-US" w:eastAsia="zh-CN"/>
                    </w:rPr>
                    <w:t>43.549</w:t>
                  </w:r>
                  <w:r>
                    <w:rPr>
                      <w:rFonts w:hint="eastAsia"/>
                      <w:color w:val="auto"/>
                      <w:szCs w:val="21"/>
                    </w:rPr>
                    <w:t>"</w:t>
                  </w:r>
                </w:p>
                <w:p w14:paraId="5F1CFEF5">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纬度：</w:t>
                  </w:r>
                  <w:r>
                    <w:rPr>
                      <w:rFonts w:hint="eastAsia"/>
                      <w:color w:val="auto"/>
                      <w:szCs w:val="21"/>
                      <w:lang w:val="en-US" w:eastAsia="zh-CN"/>
                    </w:rPr>
                    <w:t>30</w:t>
                  </w:r>
                  <w:r>
                    <w:rPr>
                      <w:rFonts w:hint="default"/>
                      <w:color w:val="auto"/>
                      <w:szCs w:val="21"/>
                    </w:rPr>
                    <w:t>°</w:t>
                  </w:r>
                  <w:r>
                    <w:rPr>
                      <w:rFonts w:hint="eastAsia"/>
                      <w:color w:val="auto"/>
                      <w:szCs w:val="21"/>
                    </w:rPr>
                    <w:t>4</w:t>
                  </w:r>
                  <w:r>
                    <w:rPr>
                      <w:rFonts w:hint="eastAsia"/>
                      <w:color w:val="auto"/>
                      <w:szCs w:val="21"/>
                      <w:lang w:val="en-US" w:eastAsia="zh-CN"/>
                    </w:rPr>
                    <w:t>4</w:t>
                  </w:r>
                  <w:r>
                    <w:rPr>
                      <w:rFonts w:hint="default"/>
                      <w:color w:val="auto"/>
                      <w:szCs w:val="21"/>
                    </w:rPr>
                    <w:t>′</w:t>
                  </w:r>
                  <w:r>
                    <w:rPr>
                      <w:rFonts w:hint="eastAsia"/>
                      <w:color w:val="auto"/>
                      <w:szCs w:val="21"/>
                      <w:lang w:val="en-US" w:eastAsia="zh-CN"/>
                    </w:rPr>
                    <w:t>43.374</w:t>
                  </w:r>
                  <w:r>
                    <w:rPr>
                      <w:rFonts w:hint="default"/>
                      <w:color w:val="auto"/>
                      <w:szCs w:val="21"/>
                    </w:rPr>
                    <w:t>″</w:t>
                  </w:r>
                </w:p>
              </w:tc>
              <w:tc>
                <w:tcPr>
                  <w:tcW w:w="877" w:type="dxa"/>
                  <w:tcBorders>
                    <w:tl2br w:val="nil"/>
                    <w:tr2bl w:val="nil"/>
                  </w:tcBorders>
                  <w:vAlign w:val="center"/>
                </w:tcPr>
                <w:p w14:paraId="78BFB032">
                  <w:pPr>
                    <w:keepNext w:val="0"/>
                    <w:keepLines w:val="0"/>
                    <w:suppressLineNumbers w:val="0"/>
                    <w:snapToGrid w:val="0"/>
                    <w:spacing w:before="0" w:beforeAutospacing="0" w:after="0" w:afterAutospacing="0"/>
                    <w:ind w:left="0" w:right="0"/>
                    <w:jc w:val="center"/>
                    <w:rPr>
                      <w:rFonts w:hint="default"/>
                      <w:color w:val="auto"/>
                      <w:szCs w:val="21"/>
                    </w:rPr>
                  </w:pPr>
                  <w:r>
                    <w:rPr>
                      <w:rFonts w:hint="default"/>
                      <w:color w:val="auto"/>
                      <w:szCs w:val="21"/>
                    </w:rPr>
                    <w:t>居民</w:t>
                  </w:r>
                </w:p>
              </w:tc>
              <w:tc>
                <w:tcPr>
                  <w:tcW w:w="649" w:type="dxa"/>
                  <w:tcBorders>
                    <w:tl2br w:val="nil"/>
                    <w:tr2bl w:val="nil"/>
                  </w:tcBorders>
                  <w:vAlign w:val="center"/>
                </w:tcPr>
                <w:p w14:paraId="44B43EC4">
                  <w:pPr>
                    <w:keepNext w:val="0"/>
                    <w:keepLines w:val="0"/>
                    <w:suppressLineNumbers w:val="0"/>
                    <w:snapToGrid w:val="0"/>
                    <w:spacing w:before="0" w:beforeAutospacing="0" w:after="0" w:afterAutospacing="0"/>
                    <w:ind w:left="0" w:right="0"/>
                    <w:jc w:val="center"/>
                    <w:rPr>
                      <w:rFonts w:hint="default"/>
                      <w:color w:val="auto"/>
                      <w:szCs w:val="21"/>
                    </w:rPr>
                  </w:pPr>
                  <w:r>
                    <w:rPr>
                      <w:rFonts w:hint="eastAsia"/>
                      <w:color w:val="auto"/>
                      <w:szCs w:val="21"/>
                    </w:rPr>
                    <w:t>100人</w:t>
                  </w:r>
                </w:p>
              </w:tc>
              <w:tc>
                <w:tcPr>
                  <w:tcW w:w="1822" w:type="dxa"/>
                  <w:tcBorders>
                    <w:tl2br w:val="nil"/>
                    <w:tr2bl w:val="nil"/>
                  </w:tcBorders>
                  <w:vAlign w:val="center"/>
                </w:tcPr>
                <w:p w14:paraId="2AD3120D">
                  <w:pPr>
                    <w:keepNext w:val="0"/>
                    <w:keepLines w:val="0"/>
                    <w:suppressLineNumbers w:val="0"/>
                    <w:snapToGrid w:val="0"/>
                    <w:spacing w:before="0" w:beforeAutospacing="0" w:after="0" w:afterAutospacing="0"/>
                    <w:ind w:left="107" w:leftChars="51" w:right="80" w:rightChars="38"/>
                    <w:jc w:val="center"/>
                    <w:rPr>
                      <w:rFonts w:hint="default"/>
                      <w:color w:val="auto"/>
                      <w:szCs w:val="21"/>
                    </w:rPr>
                  </w:pPr>
                  <w:r>
                    <w:rPr>
                      <w:rFonts w:hint="default"/>
                      <w:color w:val="auto"/>
                      <w:szCs w:val="21"/>
                    </w:rPr>
                    <w:t>《环境空气质量标准》（GB3095-2012）</w:t>
                  </w:r>
                  <w:r>
                    <w:rPr>
                      <w:rFonts w:hint="eastAsia"/>
                      <w:color w:val="auto"/>
                      <w:szCs w:val="21"/>
                    </w:rPr>
                    <w:t>二类区</w:t>
                  </w:r>
                </w:p>
              </w:tc>
              <w:tc>
                <w:tcPr>
                  <w:tcW w:w="703" w:type="dxa"/>
                  <w:tcBorders>
                    <w:tl2br w:val="nil"/>
                    <w:tr2bl w:val="nil"/>
                  </w:tcBorders>
                  <w:vAlign w:val="center"/>
                </w:tcPr>
                <w:p w14:paraId="0A388300">
                  <w:pPr>
                    <w:keepNext w:val="0"/>
                    <w:keepLines w:val="0"/>
                    <w:suppressLineNumbers w:val="0"/>
                    <w:snapToGrid w:val="0"/>
                    <w:spacing w:before="0" w:beforeAutospacing="0" w:after="0" w:afterAutospacing="0"/>
                    <w:ind w:left="0" w:right="0"/>
                    <w:jc w:val="center"/>
                    <w:rPr>
                      <w:rFonts w:hint="eastAsia" w:eastAsia="宋体"/>
                      <w:color w:val="auto"/>
                      <w:szCs w:val="21"/>
                      <w:lang w:val="en-US" w:eastAsia="zh-CN"/>
                    </w:rPr>
                  </w:pPr>
                  <w:r>
                    <w:rPr>
                      <w:rFonts w:hint="eastAsia"/>
                      <w:color w:val="auto"/>
                      <w:szCs w:val="21"/>
                    </w:rPr>
                    <w:t>N</w:t>
                  </w:r>
                  <w:r>
                    <w:rPr>
                      <w:rFonts w:hint="eastAsia"/>
                      <w:color w:val="auto"/>
                      <w:szCs w:val="21"/>
                      <w:lang w:val="en-US" w:eastAsia="zh-CN"/>
                    </w:rPr>
                    <w:t>W</w:t>
                  </w:r>
                </w:p>
              </w:tc>
              <w:tc>
                <w:tcPr>
                  <w:tcW w:w="1002" w:type="dxa"/>
                  <w:tcBorders>
                    <w:tl2br w:val="nil"/>
                    <w:tr2bl w:val="nil"/>
                  </w:tcBorders>
                  <w:vAlign w:val="center"/>
                </w:tcPr>
                <w:p w14:paraId="2C94FF6A">
                  <w:pPr>
                    <w:keepNext w:val="0"/>
                    <w:keepLines w:val="0"/>
                    <w:suppressLineNumbers w:val="0"/>
                    <w:spacing w:before="0" w:beforeAutospacing="0" w:after="0" w:afterAutospacing="0"/>
                    <w:ind w:left="0" w:right="0"/>
                    <w:jc w:val="center"/>
                    <w:rPr>
                      <w:rFonts w:hint="default" w:eastAsia="宋体"/>
                      <w:color w:val="auto"/>
                      <w:szCs w:val="21"/>
                      <w:lang w:val="en-US" w:eastAsia="zh-CN"/>
                    </w:rPr>
                  </w:pPr>
                  <w:r>
                    <w:rPr>
                      <w:rFonts w:hint="eastAsia" w:eastAsia="宋体"/>
                      <w:color w:val="auto"/>
                      <w:szCs w:val="21"/>
                      <w:lang w:val="en-US" w:eastAsia="zh-CN"/>
                    </w:rPr>
                    <w:t>337</w:t>
                  </w:r>
                </w:p>
              </w:tc>
            </w:tr>
            <w:tr w14:paraId="3B70E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31" w:type="dxa"/>
                  <w:vMerge w:val="restart"/>
                  <w:tcBorders>
                    <w:tl2br w:val="nil"/>
                    <w:tr2bl w:val="nil"/>
                  </w:tcBorders>
                  <w:vAlign w:val="center"/>
                </w:tcPr>
                <w:p w14:paraId="255756F2">
                  <w:pPr>
                    <w:keepNext w:val="0"/>
                    <w:keepLines w:val="0"/>
                    <w:suppressLineNumbers w:val="0"/>
                    <w:snapToGrid w:val="0"/>
                    <w:spacing w:before="0" w:beforeAutospacing="0" w:after="0" w:afterAutospacing="0"/>
                    <w:ind w:left="0" w:right="0"/>
                    <w:jc w:val="center"/>
                    <w:rPr>
                      <w:rFonts w:hint="default"/>
                      <w:color w:val="auto"/>
                      <w:szCs w:val="21"/>
                    </w:rPr>
                  </w:pPr>
                  <w:r>
                    <w:rPr>
                      <w:rFonts w:hint="eastAsia"/>
                      <w:color w:val="auto"/>
                      <w:szCs w:val="21"/>
                    </w:rPr>
                    <w:t>地表水</w:t>
                  </w:r>
                </w:p>
              </w:tc>
              <w:tc>
                <w:tcPr>
                  <w:tcW w:w="743" w:type="dxa"/>
                  <w:tcBorders>
                    <w:tl2br w:val="nil"/>
                    <w:tr2bl w:val="nil"/>
                  </w:tcBorders>
                  <w:vAlign w:val="center"/>
                </w:tcPr>
                <w:p w14:paraId="1368D729">
                  <w:pPr>
                    <w:keepNext w:val="0"/>
                    <w:keepLines w:val="0"/>
                    <w:suppressLineNumbers w:val="0"/>
                    <w:spacing w:before="0" w:beforeAutospacing="0" w:after="0" w:afterAutospacing="0"/>
                    <w:ind w:left="0" w:right="0"/>
                    <w:jc w:val="center"/>
                    <w:rPr>
                      <w:rFonts w:hint="eastAsia" w:eastAsia="宋体"/>
                      <w:bCs/>
                      <w:color w:val="auto"/>
                      <w:szCs w:val="21"/>
                      <w:lang w:eastAsia="zh-CN"/>
                    </w:rPr>
                  </w:pPr>
                  <w:r>
                    <w:rPr>
                      <w:rFonts w:hint="eastAsia"/>
                      <w:bCs/>
                      <w:color w:val="auto"/>
                      <w:szCs w:val="21"/>
                      <w:lang w:val="en-US" w:eastAsia="zh-CN"/>
                    </w:rPr>
                    <w:t>长江</w:t>
                  </w:r>
                </w:p>
              </w:tc>
              <w:tc>
                <w:tcPr>
                  <w:tcW w:w="2093" w:type="dxa"/>
                  <w:tcBorders>
                    <w:tl2br w:val="nil"/>
                    <w:tr2bl w:val="nil"/>
                  </w:tcBorders>
                  <w:vAlign w:val="center"/>
                </w:tcPr>
                <w:p w14:paraId="5E8962F7">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w:t>
                  </w:r>
                </w:p>
              </w:tc>
              <w:tc>
                <w:tcPr>
                  <w:tcW w:w="877" w:type="dxa"/>
                  <w:tcBorders>
                    <w:tl2br w:val="nil"/>
                    <w:tr2bl w:val="nil"/>
                  </w:tcBorders>
                  <w:vAlign w:val="center"/>
                </w:tcPr>
                <w:p w14:paraId="2DE08E99">
                  <w:pPr>
                    <w:keepNext w:val="0"/>
                    <w:keepLines w:val="0"/>
                    <w:suppressLineNumbers w:val="0"/>
                    <w:snapToGrid w:val="0"/>
                    <w:spacing w:before="0" w:beforeAutospacing="0" w:after="0" w:afterAutospacing="0"/>
                    <w:ind w:left="0" w:right="0"/>
                    <w:jc w:val="center"/>
                    <w:rPr>
                      <w:rFonts w:hint="eastAsia" w:eastAsia="宋体"/>
                      <w:color w:val="auto"/>
                      <w:szCs w:val="21"/>
                      <w:lang w:val="en-US" w:eastAsia="zh-CN"/>
                    </w:rPr>
                  </w:pPr>
                  <w:r>
                    <w:rPr>
                      <w:rFonts w:hint="eastAsia"/>
                      <w:color w:val="auto"/>
                      <w:szCs w:val="21"/>
                      <w:lang w:val="en-US" w:eastAsia="zh-CN"/>
                    </w:rPr>
                    <w:t>大</w:t>
                  </w:r>
                  <w:r>
                    <w:rPr>
                      <w:rFonts w:hint="eastAsia"/>
                      <w:color w:val="auto"/>
                      <w:szCs w:val="21"/>
                    </w:rPr>
                    <w:t>型</w:t>
                  </w:r>
                  <w:r>
                    <w:rPr>
                      <w:rFonts w:hint="eastAsia"/>
                      <w:color w:val="auto"/>
                      <w:szCs w:val="21"/>
                      <w:lang w:val="en-US" w:eastAsia="zh-CN"/>
                    </w:rPr>
                    <w:t>河流</w:t>
                  </w:r>
                </w:p>
              </w:tc>
              <w:tc>
                <w:tcPr>
                  <w:tcW w:w="649" w:type="dxa"/>
                  <w:tcBorders>
                    <w:tl2br w:val="nil"/>
                    <w:tr2bl w:val="nil"/>
                  </w:tcBorders>
                  <w:vAlign w:val="center"/>
                </w:tcPr>
                <w:p w14:paraId="6B0C71D6">
                  <w:pPr>
                    <w:keepNext w:val="0"/>
                    <w:keepLines w:val="0"/>
                    <w:suppressLineNumbers w:val="0"/>
                    <w:snapToGrid w:val="0"/>
                    <w:spacing w:before="0" w:beforeAutospacing="0" w:after="0" w:afterAutospacing="0"/>
                    <w:ind w:left="0" w:right="0"/>
                    <w:jc w:val="center"/>
                    <w:rPr>
                      <w:rFonts w:hint="default"/>
                      <w:color w:val="auto"/>
                      <w:szCs w:val="21"/>
                    </w:rPr>
                  </w:pPr>
                  <w:r>
                    <w:rPr>
                      <w:rFonts w:hint="eastAsia"/>
                      <w:color w:val="auto"/>
                      <w:szCs w:val="21"/>
                    </w:rPr>
                    <w:t>地表水</w:t>
                  </w:r>
                </w:p>
              </w:tc>
              <w:tc>
                <w:tcPr>
                  <w:tcW w:w="1822" w:type="dxa"/>
                  <w:vMerge w:val="restart"/>
                  <w:tcBorders>
                    <w:tl2br w:val="nil"/>
                    <w:tr2bl w:val="nil"/>
                  </w:tcBorders>
                  <w:vAlign w:val="center"/>
                </w:tcPr>
                <w:p w14:paraId="223A3F65">
                  <w:pPr>
                    <w:keepNext w:val="0"/>
                    <w:keepLines w:val="0"/>
                    <w:suppressLineNumbers w:val="0"/>
                    <w:snapToGrid w:val="0"/>
                    <w:spacing w:before="0" w:beforeAutospacing="0" w:after="0" w:afterAutospacing="0"/>
                    <w:ind w:left="107" w:leftChars="51" w:right="80" w:rightChars="38"/>
                    <w:jc w:val="center"/>
                    <w:rPr>
                      <w:rFonts w:hint="default"/>
                      <w:color w:val="auto"/>
                      <w:szCs w:val="21"/>
                    </w:rPr>
                  </w:pPr>
                  <w:r>
                    <w:rPr>
                      <w:rFonts w:hint="eastAsia"/>
                      <w:color w:val="auto"/>
                      <w:szCs w:val="21"/>
                    </w:rPr>
                    <w:t>《地表水环境质量标准》（GB3838-2002）</w:t>
                  </w:r>
                  <w:r>
                    <w:rPr>
                      <w:rFonts w:hint="default"/>
                      <w:color w:val="auto"/>
                      <w:szCs w:val="21"/>
                    </w:rPr>
                    <w:t>Ⅲ</w:t>
                  </w:r>
                  <w:r>
                    <w:rPr>
                      <w:rFonts w:hint="eastAsia"/>
                      <w:color w:val="auto"/>
                      <w:szCs w:val="21"/>
                    </w:rPr>
                    <w:t>类标准</w:t>
                  </w:r>
                </w:p>
              </w:tc>
              <w:tc>
                <w:tcPr>
                  <w:tcW w:w="703" w:type="dxa"/>
                  <w:tcBorders>
                    <w:tl2br w:val="nil"/>
                    <w:tr2bl w:val="nil"/>
                  </w:tcBorders>
                  <w:vAlign w:val="center"/>
                </w:tcPr>
                <w:p w14:paraId="2B42EBA7">
                  <w:pPr>
                    <w:keepNext w:val="0"/>
                    <w:keepLines w:val="0"/>
                    <w:suppressLineNumbers w:val="0"/>
                    <w:snapToGrid w:val="0"/>
                    <w:spacing w:before="0" w:beforeAutospacing="0" w:after="0" w:afterAutospacing="0"/>
                    <w:ind w:left="0" w:right="0"/>
                    <w:jc w:val="center"/>
                    <w:rPr>
                      <w:rFonts w:hint="eastAsia" w:eastAsia="宋体"/>
                      <w:color w:val="auto"/>
                      <w:szCs w:val="21"/>
                      <w:lang w:val="en-US" w:eastAsia="zh-CN"/>
                    </w:rPr>
                  </w:pPr>
                  <w:r>
                    <w:rPr>
                      <w:rFonts w:hint="eastAsia" w:eastAsia="宋体"/>
                      <w:color w:val="auto"/>
                      <w:szCs w:val="21"/>
                      <w:lang w:val="en-US" w:eastAsia="zh-CN"/>
                    </w:rPr>
                    <w:t>N</w:t>
                  </w:r>
                </w:p>
              </w:tc>
              <w:tc>
                <w:tcPr>
                  <w:tcW w:w="1002" w:type="dxa"/>
                  <w:tcBorders>
                    <w:tl2br w:val="nil"/>
                    <w:tr2bl w:val="nil"/>
                  </w:tcBorders>
                  <w:vAlign w:val="center"/>
                </w:tcPr>
                <w:p w14:paraId="7009B8AF">
                  <w:pPr>
                    <w:keepNext w:val="0"/>
                    <w:keepLines w:val="0"/>
                    <w:suppressLineNumbers w:val="0"/>
                    <w:spacing w:before="0" w:beforeAutospacing="0" w:after="0" w:afterAutospacing="0"/>
                    <w:ind w:left="0" w:right="0"/>
                    <w:jc w:val="center"/>
                    <w:rPr>
                      <w:rFonts w:hint="default"/>
                      <w:color w:val="auto"/>
                      <w:szCs w:val="21"/>
                      <w:lang w:val="en-US"/>
                    </w:rPr>
                  </w:pPr>
                  <w:r>
                    <w:rPr>
                      <w:rFonts w:hint="eastAsia"/>
                      <w:color w:val="auto"/>
                      <w:szCs w:val="21"/>
                      <w:lang w:val="en-US" w:eastAsia="zh-CN"/>
                    </w:rPr>
                    <w:t>2578</w:t>
                  </w:r>
                </w:p>
              </w:tc>
            </w:tr>
            <w:tr w14:paraId="47BC0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31" w:type="dxa"/>
                  <w:vMerge w:val="continue"/>
                  <w:tcBorders>
                    <w:tl2br w:val="nil"/>
                    <w:tr2bl w:val="nil"/>
                  </w:tcBorders>
                  <w:vAlign w:val="center"/>
                </w:tcPr>
                <w:p w14:paraId="36DA9228">
                  <w:pPr>
                    <w:keepNext w:val="0"/>
                    <w:keepLines w:val="0"/>
                    <w:suppressLineNumbers w:val="0"/>
                    <w:snapToGrid w:val="0"/>
                    <w:spacing w:before="0" w:beforeAutospacing="0" w:after="0" w:afterAutospacing="0"/>
                    <w:ind w:left="0" w:right="0"/>
                    <w:jc w:val="center"/>
                    <w:rPr>
                      <w:rFonts w:hint="eastAsia"/>
                      <w:color w:val="auto"/>
                      <w:szCs w:val="21"/>
                    </w:rPr>
                  </w:pPr>
                </w:p>
              </w:tc>
              <w:tc>
                <w:tcPr>
                  <w:tcW w:w="743" w:type="dxa"/>
                  <w:tcBorders>
                    <w:tl2br w:val="nil"/>
                    <w:tr2bl w:val="nil"/>
                  </w:tcBorders>
                  <w:vAlign w:val="center"/>
                </w:tcPr>
                <w:p w14:paraId="4C3AEDD4">
                  <w:pPr>
                    <w:keepNext w:val="0"/>
                    <w:keepLines w:val="0"/>
                    <w:suppressLineNumbers w:val="0"/>
                    <w:spacing w:before="0" w:beforeAutospacing="0" w:after="0" w:afterAutospacing="0"/>
                    <w:ind w:left="0" w:right="0"/>
                    <w:jc w:val="center"/>
                    <w:rPr>
                      <w:rFonts w:hint="default"/>
                      <w:bCs/>
                      <w:color w:val="auto"/>
                      <w:szCs w:val="21"/>
                      <w:lang w:val="en-US" w:eastAsia="zh-CN"/>
                    </w:rPr>
                  </w:pPr>
                  <w:r>
                    <w:rPr>
                      <w:rFonts w:hint="eastAsia"/>
                      <w:bCs/>
                      <w:color w:val="auto"/>
                      <w:szCs w:val="21"/>
                      <w:lang w:val="en-US" w:eastAsia="zh-CN"/>
                    </w:rPr>
                    <w:t>九华河</w:t>
                  </w:r>
                </w:p>
              </w:tc>
              <w:tc>
                <w:tcPr>
                  <w:tcW w:w="2093" w:type="dxa"/>
                  <w:tcBorders>
                    <w:tl2br w:val="nil"/>
                    <w:tr2bl w:val="nil"/>
                  </w:tcBorders>
                  <w:vAlign w:val="center"/>
                </w:tcPr>
                <w:p w14:paraId="5DF3A12D">
                  <w:pPr>
                    <w:keepNext w:val="0"/>
                    <w:keepLines w:val="0"/>
                    <w:suppressLineNumbers w:val="0"/>
                    <w:spacing w:before="0" w:beforeAutospacing="0" w:after="0" w:afterAutospacing="0"/>
                    <w:ind w:left="0" w:right="0"/>
                    <w:jc w:val="center"/>
                    <w:rPr>
                      <w:rFonts w:hint="eastAsia" w:eastAsia="宋体"/>
                      <w:color w:val="auto"/>
                      <w:szCs w:val="21"/>
                      <w:lang w:val="en-US" w:eastAsia="zh-CN"/>
                    </w:rPr>
                  </w:pPr>
                  <w:r>
                    <w:rPr>
                      <w:rFonts w:hint="eastAsia"/>
                      <w:color w:val="auto"/>
                      <w:szCs w:val="21"/>
                      <w:lang w:val="en-US" w:eastAsia="zh-CN"/>
                    </w:rPr>
                    <w:t>/</w:t>
                  </w:r>
                </w:p>
              </w:tc>
              <w:tc>
                <w:tcPr>
                  <w:tcW w:w="877" w:type="dxa"/>
                  <w:tcBorders>
                    <w:tl2br w:val="nil"/>
                    <w:tr2bl w:val="nil"/>
                  </w:tcBorders>
                  <w:vAlign w:val="center"/>
                </w:tcPr>
                <w:p w14:paraId="23D7476B">
                  <w:pPr>
                    <w:keepNext w:val="0"/>
                    <w:keepLines w:val="0"/>
                    <w:suppressLineNumbers w:val="0"/>
                    <w:snapToGrid w:val="0"/>
                    <w:spacing w:before="0" w:beforeAutospacing="0" w:after="0" w:afterAutospacing="0"/>
                    <w:ind w:left="0" w:right="0"/>
                    <w:jc w:val="center"/>
                    <w:rPr>
                      <w:rFonts w:hint="default"/>
                      <w:color w:val="auto"/>
                      <w:szCs w:val="21"/>
                      <w:lang w:val="en-US" w:eastAsia="zh-CN"/>
                    </w:rPr>
                  </w:pPr>
                  <w:r>
                    <w:rPr>
                      <w:rFonts w:hint="eastAsia"/>
                      <w:color w:val="auto"/>
                      <w:szCs w:val="21"/>
                      <w:lang w:val="en-US" w:eastAsia="zh-CN"/>
                    </w:rPr>
                    <w:t>小型河流</w:t>
                  </w:r>
                </w:p>
              </w:tc>
              <w:tc>
                <w:tcPr>
                  <w:tcW w:w="649" w:type="dxa"/>
                  <w:tcBorders>
                    <w:tl2br w:val="nil"/>
                    <w:tr2bl w:val="nil"/>
                  </w:tcBorders>
                  <w:vAlign w:val="center"/>
                </w:tcPr>
                <w:p w14:paraId="79422737">
                  <w:pPr>
                    <w:keepNext w:val="0"/>
                    <w:keepLines w:val="0"/>
                    <w:suppressLineNumbers w:val="0"/>
                    <w:snapToGrid w:val="0"/>
                    <w:spacing w:before="0" w:beforeAutospacing="0" w:after="0" w:afterAutospacing="0"/>
                    <w:ind w:left="0" w:right="0"/>
                    <w:jc w:val="center"/>
                    <w:rPr>
                      <w:rFonts w:hint="eastAsia" w:eastAsia="宋体"/>
                      <w:color w:val="auto"/>
                      <w:szCs w:val="21"/>
                      <w:lang w:val="en-US" w:eastAsia="zh-CN"/>
                    </w:rPr>
                  </w:pPr>
                  <w:r>
                    <w:rPr>
                      <w:rFonts w:hint="eastAsia"/>
                      <w:color w:val="auto"/>
                      <w:szCs w:val="21"/>
                      <w:lang w:val="en-US" w:eastAsia="zh-CN"/>
                    </w:rPr>
                    <w:t>地表水</w:t>
                  </w:r>
                </w:p>
              </w:tc>
              <w:tc>
                <w:tcPr>
                  <w:tcW w:w="1822" w:type="dxa"/>
                  <w:vMerge w:val="continue"/>
                  <w:tcBorders>
                    <w:tl2br w:val="nil"/>
                    <w:tr2bl w:val="nil"/>
                  </w:tcBorders>
                  <w:vAlign w:val="center"/>
                </w:tcPr>
                <w:p w14:paraId="6E7192D3">
                  <w:pPr>
                    <w:keepNext w:val="0"/>
                    <w:keepLines w:val="0"/>
                    <w:suppressLineNumbers w:val="0"/>
                    <w:snapToGrid w:val="0"/>
                    <w:spacing w:before="0" w:beforeAutospacing="0" w:after="0" w:afterAutospacing="0"/>
                    <w:ind w:left="107" w:leftChars="51" w:right="80" w:rightChars="38"/>
                    <w:jc w:val="center"/>
                    <w:rPr>
                      <w:rFonts w:hint="eastAsia"/>
                      <w:color w:val="auto"/>
                      <w:szCs w:val="21"/>
                    </w:rPr>
                  </w:pPr>
                </w:p>
              </w:tc>
              <w:tc>
                <w:tcPr>
                  <w:tcW w:w="703" w:type="dxa"/>
                  <w:tcBorders>
                    <w:tl2br w:val="nil"/>
                    <w:tr2bl w:val="nil"/>
                  </w:tcBorders>
                  <w:vAlign w:val="center"/>
                </w:tcPr>
                <w:p w14:paraId="428C7A74">
                  <w:pPr>
                    <w:keepNext w:val="0"/>
                    <w:keepLines w:val="0"/>
                    <w:suppressLineNumbers w:val="0"/>
                    <w:snapToGrid w:val="0"/>
                    <w:spacing w:before="0" w:beforeAutospacing="0" w:after="0" w:afterAutospacing="0"/>
                    <w:ind w:left="0" w:right="0"/>
                    <w:jc w:val="center"/>
                    <w:rPr>
                      <w:rFonts w:hint="eastAsia" w:eastAsia="宋体"/>
                      <w:color w:val="auto"/>
                      <w:szCs w:val="21"/>
                      <w:lang w:val="en-US" w:eastAsia="zh-CN"/>
                    </w:rPr>
                  </w:pPr>
                  <w:r>
                    <w:rPr>
                      <w:rFonts w:hint="eastAsia"/>
                      <w:color w:val="auto"/>
                      <w:szCs w:val="21"/>
                      <w:lang w:val="en-US" w:eastAsia="zh-CN"/>
                    </w:rPr>
                    <w:t>W</w:t>
                  </w:r>
                </w:p>
              </w:tc>
              <w:tc>
                <w:tcPr>
                  <w:tcW w:w="1002" w:type="dxa"/>
                  <w:tcBorders>
                    <w:tl2br w:val="nil"/>
                    <w:tr2bl w:val="nil"/>
                  </w:tcBorders>
                  <w:vAlign w:val="center"/>
                </w:tcPr>
                <w:p w14:paraId="182DF696">
                  <w:pPr>
                    <w:keepNext w:val="0"/>
                    <w:keepLines w:val="0"/>
                    <w:suppressLineNumbers w:val="0"/>
                    <w:spacing w:before="0" w:beforeAutospacing="0" w:after="0" w:afterAutospacing="0"/>
                    <w:ind w:left="0" w:right="0"/>
                    <w:jc w:val="center"/>
                    <w:rPr>
                      <w:rFonts w:hint="default"/>
                      <w:color w:val="auto"/>
                      <w:szCs w:val="21"/>
                      <w:lang w:val="en-US" w:eastAsia="zh-CN"/>
                    </w:rPr>
                  </w:pPr>
                  <w:r>
                    <w:rPr>
                      <w:rFonts w:hint="eastAsia"/>
                      <w:color w:val="auto"/>
                      <w:szCs w:val="21"/>
                      <w:lang w:val="en-US" w:eastAsia="zh-CN"/>
                    </w:rPr>
                    <w:t>1112</w:t>
                  </w:r>
                </w:p>
              </w:tc>
            </w:tr>
            <w:bookmarkEnd w:id="6"/>
          </w:tbl>
          <w:p w14:paraId="1BDDF0BF">
            <w:pPr>
              <w:pStyle w:val="51"/>
              <w:ind w:firstLine="480"/>
            </w:pPr>
          </w:p>
          <w:p w14:paraId="7491F01D">
            <w:pPr>
              <w:pStyle w:val="51"/>
              <w:ind w:firstLine="480"/>
            </w:pPr>
          </w:p>
          <w:p w14:paraId="6BDE18A7">
            <w:pPr>
              <w:pStyle w:val="51"/>
              <w:ind w:firstLine="480"/>
            </w:pPr>
            <w:r>
              <w:rPr>
                <w:rFonts w:hint="eastAsia"/>
              </w:rPr>
              <w:t xml:space="preserve"> </w:t>
            </w:r>
          </w:p>
        </w:tc>
      </w:tr>
      <w:tr w14:paraId="7DCEAC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3" w:type="dxa"/>
            <w:tcMar>
              <w:left w:w="28" w:type="dxa"/>
              <w:right w:w="28" w:type="dxa"/>
            </w:tcMar>
            <w:vAlign w:val="center"/>
          </w:tcPr>
          <w:p w14:paraId="2CBC310A">
            <w:pPr>
              <w:adjustRightInd w:val="0"/>
              <w:snapToGrid w:val="0"/>
              <w:jc w:val="center"/>
              <w:rPr>
                <w:rFonts w:hint="eastAsia" w:ascii="宋体" w:hAnsi="宋体" w:cs="宋体"/>
                <w:kern w:val="0"/>
                <w:sz w:val="24"/>
              </w:rPr>
            </w:pPr>
            <w:r>
              <w:rPr>
                <w:rFonts w:hint="eastAsia" w:ascii="宋体" w:hAnsi="宋体" w:cs="宋体"/>
                <w:kern w:val="0"/>
                <w:sz w:val="24"/>
              </w:rPr>
              <w:t>污染</w:t>
            </w:r>
          </w:p>
          <w:p w14:paraId="4AB2231A">
            <w:pPr>
              <w:adjustRightInd w:val="0"/>
              <w:snapToGrid w:val="0"/>
              <w:jc w:val="center"/>
              <w:rPr>
                <w:rFonts w:hint="eastAsia" w:ascii="宋体" w:hAnsi="宋体" w:cs="宋体"/>
                <w:kern w:val="0"/>
                <w:sz w:val="24"/>
              </w:rPr>
            </w:pPr>
            <w:r>
              <w:rPr>
                <w:rFonts w:hint="eastAsia" w:ascii="宋体" w:hAnsi="宋体" w:cs="宋体"/>
                <w:kern w:val="0"/>
                <w:sz w:val="24"/>
              </w:rPr>
              <w:t>物排</w:t>
            </w:r>
          </w:p>
          <w:p w14:paraId="2EF96773">
            <w:pPr>
              <w:adjustRightInd w:val="0"/>
              <w:snapToGrid w:val="0"/>
              <w:jc w:val="center"/>
              <w:rPr>
                <w:rFonts w:hint="eastAsia" w:ascii="宋体" w:hAnsi="宋体" w:cs="宋体"/>
                <w:kern w:val="0"/>
                <w:sz w:val="24"/>
              </w:rPr>
            </w:pPr>
            <w:r>
              <w:rPr>
                <w:rFonts w:hint="eastAsia" w:ascii="宋体" w:hAnsi="宋体" w:cs="宋体"/>
                <w:kern w:val="0"/>
                <w:sz w:val="24"/>
              </w:rPr>
              <w:t>放控</w:t>
            </w:r>
          </w:p>
          <w:p w14:paraId="310279CD">
            <w:pPr>
              <w:adjustRightInd w:val="0"/>
              <w:snapToGrid w:val="0"/>
              <w:jc w:val="center"/>
              <w:rPr>
                <w:rFonts w:hint="eastAsia" w:ascii="宋体" w:hAnsi="宋体" w:cs="宋体"/>
                <w:kern w:val="0"/>
                <w:sz w:val="24"/>
              </w:rPr>
            </w:pPr>
            <w:r>
              <w:rPr>
                <w:rFonts w:hint="eastAsia" w:ascii="宋体" w:hAnsi="宋体" w:cs="宋体"/>
                <w:kern w:val="0"/>
                <w:sz w:val="24"/>
              </w:rPr>
              <w:t>制标</w:t>
            </w:r>
          </w:p>
          <w:p w14:paraId="47076AD7">
            <w:pPr>
              <w:adjustRightInd w:val="0"/>
              <w:snapToGrid w:val="0"/>
              <w:jc w:val="center"/>
              <w:rPr>
                <w:rFonts w:hint="eastAsia" w:ascii="宋体" w:hAnsi="宋体" w:cs="宋体"/>
                <w:kern w:val="0"/>
                <w:szCs w:val="21"/>
              </w:rPr>
            </w:pPr>
            <w:r>
              <w:rPr>
                <w:rFonts w:hint="eastAsia" w:ascii="宋体" w:hAnsi="宋体" w:cs="宋体"/>
                <w:kern w:val="0"/>
                <w:sz w:val="24"/>
              </w:rPr>
              <w:t>准</w:t>
            </w:r>
          </w:p>
        </w:tc>
        <w:tc>
          <w:tcPr>
            <w:tcW w:w="8420" w:type="dxa"/>
            <w:vAlign w:val="center"/>
          </w:tcPr>
          <w:p w14:paraId="1389ED52">
            <w:pPr>
              <w:pStyle w:val="51"/>
              <w:ind w:firstLine="482"/>
              <w:rPr>
                <w:b/>
                <w:bCs/>
              </w:rPr>
            </w:pPr>
            <w:r>
              <w:rPr>
                <w:rFonts w:hint="eastAsia"/>
                <w:b/>
                <w:bCs/>
              </w:rPr>
              <w:t>1、废气污染物排放标准</w:t>
            </w:r>
          </w:p>
          <w:p w14:paraId="754128F1">
            <w:pPr>
              <w:pStyle w:val="51"/>
              <w:ind w:firstLine="482"/>
              <w:rPr>
                <w:b/>
                <w:bCs/>
              </w:rPr>
            </w:pPr>
            <w:r>
              <w:rPr>
                <w:rFonts w:hint="eastAsia"/>
                <w:b/>
                <w:bCs/>
              </w:rPr>
              <w:t>1）有组织</w:t>
            </w:r>
          </w:p>
          <w:p w14:paraId="75D983E3">
            <w:pPr>
              <w:pStyle w:val="51"/>
              <w:ind w:firstLine="480"/>
            </w:pPr>
            <w:r>
              <w:rPr>
                <w:rFonts w:hint="eastAsia"/>
              </w:rPr>
              <w:t>非甲烷总烃排放执行安徽省地方标准《固定源挥发性有机物综合排放标准 第5部分：电子工业》（DB34/4812.5-2024）表1中</w:t>
            </w:r>
            <w:r>
              <w:rPr>
                <w:rFonts w:hint="eastAsia"/>
                <w:lang w:val="en-US" w:eastAsia="zh-CN"/>
              </w:rPr>
              <w:t>显示器件及光电子器件</w:t>
            </w:r>
            <w:r>
              <w:rPr>
                <w:rFonts w:hint="eastAsia"/>
              </w:rPr>
              <w:t>非甲烷总烃的排放限值，锡及其化合物、颗粒物排放执行《大气污染物综合排放标准》（GB16297-1996）表2中的二级标准。</w:t>
            </w:r>
          </w:p>
          <w:p w14:paraId="33E33810">
            <w:pPr>
              <w:pStyle w:val="51"/>
              <w:ind w:firstLine="482"/>
              <w:rPr>
                <w:b/>
                <w:bCs/>
              </w:rPr>
            </w:pPr>
            <w:r>
              <w:rPr>
                <w:rFonts w:hint="eastAsia"/>
                <w:b/>
                <w:bCs/>
              </w:rPr>
              <w:t>2）无组织</w:t>
            </w:r>
          </w:p>
          <w:p w14:paraId="4FC6D4AA">
            <w:pPr>
              <w:pStyle w:val="51"/>
              <w:ind w:firstLine="480"/>
            </w:pPr>
            <w:r>
              <w:rPr>
                <w:rFonts w:hint="eastAsia"/>
              </w:rPr>
              <w:t>厂界非甲烷总烃、锡及其化合物、颗粒物无组织排放执行《大气污染物综合排放标准》（GB16297-1996）表2中的无组织排放监控浓度限值，厂区内无组织非甲烷总烃执行《固定源挥发性有机物综合排放标准第5部分：电子工业》（DB34/4812.5-2024）表3中厂区内VOCs无组织排放限值，具体数值见下表。</w:t>
            </w:r>
          </w:p>
          <w:p w14:paraId="22839969">
            <w:pPr>
              <w:pStyle w:val="52"/>
              <w:keepNext w:val="0"/>
              <w:keepLines w:val="0"/>
              <w:suppressLineNumbers w:val="0"/>
              <w:spacing w:before="0" w:beforeLines="0" w:beforeAutospacing="0" w:after="0" w:afterAutospacing="0"/>
              <w:ind w:left="0" w:right="0"/>
              <w:rPr>
                <w:rFonts w:hint="default"/>
              </w:rPr>
            </w:pPr>
            <w:r>
              <w:rPr>
                <w:rFonts w:hint="eastAsia"/>
              </w:rPr>
              <w:t>表3</w:t>
            </w:r>
            <w:r>
              <w:rPr>
                <w:rFonts w:hint="default"/>
              </w:rPr>
              <w:t>-</w:t>
            </w:r>
            <w:r>
              <w:rPr>
                <w:rFonts w:hint="eastAsia"/>
                <w:lang w:val="en-US" w:eastAsia="zh-CN"/>
              </w:rPr>
              <w:t>5</w:t>
            </w:r>
            <w:r>
              <w:rPr>
                <w:rFonts w:hint="default"/>
              </w:rPr>
              <w:t xml:space="preserve">  </w:t>
            </w:r>
            <w:r>
              <w:rPr>
                <w:rFonts w:hint="eastAsia"/>
              </w:rPr>
              <w:t>项目有组织废气排放标准</w:t>
            </w:r>
          </w:p>
          <w:tbl>
            <w:tblPr>
              <w:tblStyle w:val="23"/>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4"/>
              <w:gridCol w:w="1222"/>
              <w:gridCol w:w="1325"/>
              <w:gridCol w:w="1328"/>
              <w:gridCol w:w="3411"/>
            </w:tblGrid>
            <w:tr w14:paraId="6C09E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4" w:type="dxa"/>
                  <w:vMerge w:val="restart"/>
                  <w:shd w:val="clear" w:color="auto" w:fill="auto"/>
                  <w:vAlign w:val="center"/>
                </w:tcPr>
                <w:p w14:paraId="7BEF38A1">
                  <w:pPr>
                    <w:keepNext w:val="0"/>
                    <w:keepLines w:val="0"/>
                    <w:suppressLineNumbers w:val="0"/>
                    <w:spacing w:before="0" w:beforeAutospacing="0" w:after="0" w:afterAutospacing="0"/>
                    <w:ind w:left="0" w:right="0"/>
                    <w:jc w:val="center"/>
                    <w:rPr>
                      <w:rFonts w:hint="default"/>
                      <w:b/>
                      <w:bCs/>
                      <w:color w:val="auto"/>
                      <w:szCs w:val="21"/>
                    </w:rPr>
                  </w:pPr>
                  <w:r>
                    <w:rPr>
                      <w:rFonts w:hint="default"/>
                      <w:b/>
                      <w:bCs/>
                      <w:color w:val="auto"/>
                      <w:szCs w:val="21"/>
                    </w:rPr>
                    <w:t>污染物</w:t>
                  </w:r>
                </w:p>
              </w:tc>
              <w:tc>
                <w:tcPr>
                  <w:tcW w:w="1222" w:type="dxa"/>
                  <w:vMerge w:val="restart"/>
                  <w:shd w:val="clear" w:color="auto" w:fill="auto"/>
                  <w:vAlign w:val="center"/>
                </w:tcPr>
                <w:p w14:paraId="6BC01A4C">
                  <w:pPr>
                    <w:keepNext w:val="0"/>
                    <w:keepLines w:val="0"/>
                    <w:suppressLineNumbers w:val="0"/>
                    <w:spacing w:before="0" w:beforeAutospacing="0" w:after="0" w:afterAutospacing="0"/>
                    <w:ind w:left="0" w:right="0"/>
                    <w:jc w:val="center"/>
                    <w:rPr>
                      <w:rFonts w:hint="default"/>
                      <w:b/>
                      <w:bCs/>
                      <w:color w:val="auto"/>
                      <w:szCs w:val="21"/>
                    </w:rPr>
                  </w:pPr>
                  <w:r>
                    <w:rPr>
                      <w:rFonts w:hint="default"/>
                      <w:b/>
                      <w:bCs/>
                      <w:color w:val="auto"/>
                      <w:szCs w:val="21"/>
                    </w:rPr>
                    <w:t>最高允许排放浓度（mg/m</w:t>
                  </w:r>
                  <w:r>
                    <w:rPr>
                      <w:rFonts w:hint="default"/>
                      <w:b/>
                      <w:bCs/>
                      <w:color w:val="auto"/>
                      <w:szCs w:val="21"/>
                      <w:vertAlign w:val="superscript"/>
                    </w:rPr>
                    <w:t>3</w:t>
                  </w:r>
                  <w:r>
                    <w:rPr>
                      <w:rFonts w:hint="default"/>
                      <w:b/>
                      <w:bCs/>
                      <w:color w:val="auto"/>
                      <w:szCs w:val="21"/>
                    </w:rPr>
                    <w:t>）</w:t>
                  </w:r>
                </w:p>
              </w:tc>
              <w:tc>
                <w:tcPr>
                  <w:tcW w:w="2653" w:type="dxa"/>
                  <w:gridSpan w:val="2"/>
                  <w:vAlign w:val="center"/>
                </w:tcPr>
                <w:p w14:paraId="41C19CA5">
                  <w:pPr>
                    <w:keepNext w:val="0"/>
                    <w:keepLines w:val="0"/>
                    <w:suppressLineNumbers w:val="0"/>
                    <w:spacing w:before="0" w:beforeAutospacing="0" w:after="0" w:afterAutospacing="0"/>
                    <w:ind w:left="0" w:right="0"/>
                    <w:jc w:val="center"/>
                    <w:rPr>
                      <w:rFonts w:hint="default"/>
                      <w:b/>
                      <w:bCs/>
                      <w:color w:val="auto"/>
                      <w:szCs w:val="21"/>
                    </w:rPr>
                  </w:pPr>
                  <w:r>
                    <w:rPr>
                      <w:rFonts w:hint="default"/>
                      <w:b/>
                      <w:bCs/>
                      <w:color w:val="auto"/>
                      <w:szCs w:val="21"/>
                    </w:rPr>
                    <w:t>最高允许排放速率</w:t>
                  </w:r>
                </w:p>
              </w:tc>
              <w:tc>
                <w:tcPr>
                  <w:tcW w:w="3411" w:type="dxa"/>
                  <w:vMerge w:val="restart"/>
                  <w:vAlign w:val="center"/>
                </w:tcPr>
                <w:p w14:paraId="1F5083A8">
                  <w:pPr>
                    <w:keepNext w:val="0"/>
                    <w:keepLines w:val="0"/>
                    <w:suppressLineNumbers w:val="0"/>
                    <w:spacing w:before="0" w:beforeAutospacing="0" w:after="0" w:afterAutospacing="0"/>
                    <w:ind w:left="0" w:right="0"/>
                    <w:jc w:val="center"/>
                    <w:rPr>
                      <w:rFonts w:hint="default"/>
                      <w:b/>
                      <w:bCs/>
                      <w:color w:val="auto"/>
                      <w:szCs w:val="21"/>
                    </w:rPr>
                  </w:pPr>
                  <w:r>
                    <w:rPr>
                      <w:rFonts w:hint="eastAsia"/>
                      <w:b/>
                      <w:bCs/>
                      <w:color w:val="auto"/>
                      <w:szCs w:val="21"/>
                    </w:rPr>
                    <w:t>执行标准</w:t>
                  </w:r>
                </w:p>
              </w:tc>
            </w:tr>
            <w:tr w14:paraId="75ED0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4" w:type="dxa"/>
                  <w:vMerge w:val="continue"/>
                  <w:shd w:val="clear" w:color="auto" w:fill="auto"/>
                  <w:vAlign w:val="center"/>
                </w:tcPr>
                <w:p w14:paraId="4F39919F">
                  <w:pPr>
                    <w:keepNext w:val="0"/>
                    <w:keepLines w:val="0"/>
                    <w:suppressLineNumbers w:val="0"/>
                    <w:spacing w:before="0" w:beforeAutospacing="0" w:after="0" w:afterAutospacing="0"/>
                    <w:ind w:left="0" w:right="0"/>
                    <w:jc w:val="center"/>
                    <w:rPr>
                      <w:rFonts w:hint="default"/>
                      <w:b/>
                      <w:bCs/>
                      <w:color w:val="auto"/>
                      <w:szCs w:val="21"/>
                    </w:rPr>
                  </w:pPr>
                </w:p>
              </w:tc>
              <w:tc>
                <w:tcPr>
                  <w:tcW w:w="1222" w:type="dxa"/>
                  <w:vMerge w:val="continue"/>
                  <w:shd w:val="clear" w:color="auto" w:fill="auto"/>
                  <w:vAlign w:val="center"/>
                </w:tcPr>
                <w:p w14:paraId="34ECB600">
                  <w:pPr>
                    <w:keepNext w:val="0"/>
                    <w:keepLines w:val="0"/>
                    <w:suppressLineNumbers w:val="0"/>
                    <w:spacing w:before="0" w:beforeAutospacing="0" w:after="0" w:afterAutospacing="0"/>
                    <w:ind w:left="0" w:right="0"/>
                    <w:jc w:val="center"/>
                    <w:rPr>
                      <w:rFonts w:hint="default"/>
                      <w:b/>
                      <w:bCs/>
                      <w:color w:val="auto"/>
                      <w:szCs w:val="21"/>
                    </w:rPr>
                  </w:pPr>
                </w:p>
              </w:tc>
              <w:tc>
                <w:tcPr>
                  <w:tcW w:w="1325" w:type="dxa"/>
                  <w:vAlign w:val="center"/>
                </w:tcPr>
                <w:p w14:paraId="7262D833">
                  <w:pPr>
                    <w:keepNext w:val="0"/>
                    <w:keepLines w:val="0"/>
                    <w:suppressLineNumbers w:val="0"/>
                    <w:spacing w:before="0" w:beforeAutospacing="0" w:after="0" w:afterAutospacing="0"/>
                    <w:ind w:left="0" w:right="0"/>
                    <w:jc w:val="center"/>
                    <w:rPr>
                      <w:rFonts w:hint="default"/>
                      <w:b/>
                      <w:bCs/>
                      <w:color w:val="auto"/>
                      <w:szCs w:val="21"/>
                    </w:rPr>
                  </w:pPr>
                  <w:r>
                    <w:rPr>
                      <w:rFonts w:hint="eastAsia"/>
                      <w:b/>
                      <w:bCs/>
                      <w:color w:val="auto"/>
                      <w:szCs w:val="21"/>
                    </w:rPr>
                    <w:t>排气筒高度</w:t>
                  </w:r>
                </w:p>
                <w:p w14:paraId="4E2BE28D">
                  <w:pPr>
                    <w:keepNext w:val="0"/>
                    <w:keepLines w:val="0"/>
                    <w:suppressLineNumbers w:val="0"/>
                    <w:spacing w:before="0" w:beforeAutospacing="0" w:after="0" w:afterAutospacing="0"/>
                    <w:ind w:left="0" w:right="0"/>
                    <w:jc w:val="center"/>
                    <w:rPr>
                      <w:rFonts w:hint="default"/>
                      <w:b/>
                      <w:bCs/>
                      <w:color w:val="auto"/>
                      <w:szCs w:val="21"/>
                    </w:rPr>
                  </w:pPr>
                  <w:r>
                    <w:rPr>
                      <w:rFonts w:hint="eastAsia"/>
                      <w:b/>
                      <w:bCs/>
                      <w:color w:val="auto"/>
                      <w:szCs w:val="21"/>
                    </w:rPr>
                    <w:t>（m）</w:t>
                  </w:r>
                </w:p>
              </w:tc>
              <w:tc>
                <w:tcPr>
                  <w:tcW w:w="1328" w:type="dxa"/>
                  <w:shd w:val="clear" w:color="auto" w:fill="auto"/>
                  <w:vAlign w:val="center"/>
                </w:tcPr>
                <w:p w14:paraId="5ECC26A0">
                  <w:pPr>
                    <w:keepNext w:val="0"/>
                    <w:keepLines w:val="0"/>
                    <w:suppressLineNumbers w:val="0"/>
                    <w:spacing w:before="0" w:beforeAutospacing="0" w:after="0" w:afterAutospacing="0"/>
                    <w:ind w:left="0" w:right="0"/>
                    <w:jc w:val="center"/>
                    <w:rPr>
                      <w:rFonts w:hint="default"/>
                      <w:b/>
                      <w:bCs/>
                      <w:color w:val="auto"/>
                      <w:szCs w:val="21"/>
                    </w:rPr>
                  </w:pPr>
                  <w:r>
                    <w:rPr>
                      <w:rFonts w:hint="default"/>
                      <w:b/>
                      <w:bCs/>
                      <w:color w:val="auto"/>
                      <w:szCs w:val="21"/>
                    </w:rPr>
                    <w:t>速率（kg/h）</w:t>
                  </w:r>
                </w:p>
              </w:tc>
              <w:tc>
                <w:tcPr>
                  <w:tcW w:w="3411" w:type="dxa"/>
                  <w:vMerge w:val="continue"/>
                  <w:vAlign w:val="center"/>
                </w:tcPr>
                <w:p w14:paraId="4111D242">
                  <w:pPr>
                    <w:keepNext w:val="0"/>
                    <w:keepLines w:val="0"/>
                    <w:suppressLineNumbers w:val="0"/>
                    <w:spacing w:before="0" w:beforeAutospacing="0" w:after="0" w:afterAutospacing="0"/>
                    <w:ind w:left="0" w:right="0"/>
                    <w:jc w:val="center"/>
                    <w:rPr>
                      <w:rFonts w:hint="default"/>
                      <w:b/>
                      <w:bCs/>
                      <w:color w:val="auto"/>
                      <w:szCs w:val="21"/>
                    </w:rPr>
                  </w:pPr>
                </w:p>
              </w:tc>
            </w:tr>
            <w:tr w14:paraId="60241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4" w:type="dxa"/>
                  <w:shd w:val="clear" w:color="auto" w:fill="auto"/>
                  <w:vAlign w:val="center"/>
                </w:tcPr>
                <w:p w14:paraId="7A640BC2">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非甲烷总烃</w:t>
                  </w:r>
                </w:p>
              </w:tc>
              <w:tc>
                <w:tcPr>
                  <w:tcW w:w="1222" w:type="dxa"/>
                  <w:shd w:val="clear" w:color="auto" w:fill="auto"/>
                  <w:vAlign w:val="center"/>
                </w:tcPr>
                <w:p w14:paraId="7AE1F862">
                  <w:pPr>
                    <w:keepNext w:val="0"/>
                    <w:keepLines w:val="0"/>
                    <w:suppressLineNumbers w:val="0"/>
                    <w:spacing w:before="0" w:beforeAutospacing="0" w:after="0" w:afterAutospacing="0"/>
                    <w:ind w:left="0" w:right="0"/>
                    <w:jc w:val="center"/>
                    <w:rPr>
                      <w:rFonts w:hint="default" w:eastAsia="宋体"/>
                      <w:color w:val="auto"/>
                      <w:szCs w:val="21"/>
                      <w:lang w:val="en-US" w:eastAsia="zh-CN"/>
                    </w:rPr>
                  </w:pPr>
                  <w:r>
                    <w:rPr>
                      <w:rFonts w:hint="eastAsia"/>
                      <w:color w:val="auto"/>
                      <w:szCs w:val="21"/>
                      <w:lang w:val="en-US" w:eastAsia="zh-CN"/>
                    </w:rPr>
                    <w:t>50</w:t>
                  </w:r>
                </w:p>
              </w:tc>
              <w:tc>
                <w:tcPr>
                  <w:tcW w:w="1325" w:type="dxa"/>
                  <w:vMerge w:val="restart"/>
                  <w:vAlign w:val="center"/>
                </w:tcPr>
                <w:p w14:paraId="7D0C468B">
                  <w:pPr>
                    <w:keepNext w:val="0"/>
                    <w:keepLines w:val="0"/>
                    <w:suppressLineNumbers w:val="0"/>
                    <w:spacing w:before="0" w:beforeAutospacing="0" w:after="0" w:afterAutospacing="0"/>
                    <w:ind w:left="0" w:right="0"/>
                    <w:jc w:val="center"/>
                    <w:rPr>
                      <w:rFonts w:hint="default" w:eastAsia="宋体"/>
                      <w:color w:val="auto"/>
                      <w:szCs w:val="21"/>
                      <w:lang w:val="en-US" w:eastAsia="zh-CN"/>
                    </w:rPr>
                  </w:pPr>
                  <w:r>
                    <w:rPr>
                      <w:rFonts w:hint="eastAsia"/>
                      <w:color w:val="auto"/>
                      <w:szCs w:val="21"/>
                      <w:lang w:val="en-US" w:eastAsia="zh-CN"/>
                    </w:rPr>
                    <w:t>25</w:t>
                  </w:r>
                </w:p>
              </w:tc>
              <w:tc>
                <w:tcPr>
                  <w:tcW w:w="1328" w:type="dxa"/>
                  <w:shd w:val="clear" w:color="auto" w:fill="auto"/>
                  <w:vAlign w:val="center"/>
                </w:tcPr>
                <w:p w14:paraId="7DFDF627">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lang w:val="en-US" w:eastAsia="zh-CN"/>
                    </w:rPr>
                    <w:t>5</w:t>
                  </w:r>
                  <w:r>
                    <w:rPr>
                      <w:rFonts w:hint="eastAsia"/>
                      <w:color w:val="auto"/>
                      <w:szCs w:val="21"/>
                    </w:rPr>
                    <w:t>.0</w:t>
                  </w:r>
                </w:p>
              </w:tc>
              <w:tc>
                <w:tcPr>
                  <w:tcW w:w="3411" w:type="dxa"/>
                  <w:shd w:val="clear" w:color="auto" w:fill="auto"/>
                  <w:vAlign w:val="center"/>
                </w:tcPr>
                <w:p w14:paraId="15728447">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《固定源挥发性有机物综合排放标准第5部分：电子工业》（DB34/4812.5-2024）</w:t>
                  </w:r>
                </w:p>
              </w:tc>
            </w:tr>
            <w:tr w14:paraId="0530B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034" w:type="dxa"/>
                  <w:shd w:val="clear" w:color="auto" w:fill="auto"/>
                  <w:vAlign w:val="center"/>
                </w:tcPr>
                <w:p w14:paraId="6A1C4638">
                  <w:pPr>
                    <w:keepNext w:val="0"/>
                    <w:keepLines w:val="0"/>
                    <w:suppressLineNumbers w:val="0"/>
                    <w:spacing w:before="0" w:beforeAutospacing="0" w:after="0" w:afterAutospacing="0"/>
                    <w:ind w:left="0" w:right="0"/>
                    <w:jc w:val="center"/>
                    <w:rPr>
                      <w:rFonts w:hint="default"/>
                      <w:color w:val="auto"/>
                      <w:szCs w:val="21"/>
                      <w:lang w:val="en-US" w:eastAsia="zh-CN"/>
                    </w:rPr>
                  </w:pPr>
                  <w:r>
                    <w:rPr>
                      <w:rFonts w:hint="eastAsia"/>
                      <w:color w:val="auto"/>
                      <w:szCs w:val="21"/>
                    </w:rPr>
                    <w:t>锡及其化合物</w:t>
                  </w:r>
                </w:p>
              </w:tc>
              <w:tc>
                <w:tcPr>
                  <w:tcW w:w="1222" w:type="dxa"/>
                  <w:shd w:val="clear" w:color="auto" w:fill="auto"/>
                  <w:vAlign w:val="center"/>
                </w:tcPr>
                <w:p w14:paraId="0E319CDC">
                  <w:pPr>
                    <w:keepNext w:val="0"/>
                    <w:keepLines w:val="0"/>
                    <w:suppressLineNumbers w:val="0"/>
                    <w:spacing w:before="0" w:beforeAutospacing="0" w:after="0" w:afterAutospacing="0"/>
                    <w:ind w:left="0" w:right="0"/>
                    <w:jc w:val="center"/>
                    <w:rPr>
                      <w:rFonts w:hint="default"/>
                      <w:color w:val="auto"/>
                      <w:szCs w:val="21"/>
                      <w:lang w:val="en-US" w:eastAsia="zh-CN"/>
                    </w:rPr>
                  </w:pPr>
                  <w:r>
                    <w:rPr>
                      <w:rFonts w:hint="eastAsia"/>
                      <w:color w:val="auto"/>
                      <w:szCs w:val="21"/>
                      <w:lang w:val="en-US" w:eastAsia="zh-CN"/>
                    </w:rPr>
                    <w:t>8.5</w:t>
                  </w:r>
                </w:p>
              </w:tc>
              <w:tc>
                <w:tcPr>
                  <w:tcW w:w="1325" w:type="dxa"/>
                  <w:vMerge w:val="continue"/>
                  <w:vAlign w:val="center"/>
                </w:tcPr>
                <w:p w14:paraId="7AAE3F68">
                  <w:pPr>
                    <w:keepNext w:val="0"/>
                    <w:keepLines w:val="0"/>
                    <w:suppressLineNumbers w:val="0"/>
                    <w:spacing w:before="0" w:beforeAutospacing="0" w:after="0" w:afterAutospacing="0"/>
                    <w:ind w:left="0" w:right="0"/>
                    <w:jc w:val="center"/>
                    <w:rPr>
                      <w:rFonts w:hint="eastAsia"/>
                      <w:color w:val="auto"/>
                      <w:szCs w:val="21"/>
                    </w:rPr>
                  </w:pPr>
                </w:p>
              </w:tc>
              <w:tc>
                <w:tcPr>
                  <w:tcW w:w="1328" w:type="dxa"/>
                  <w:shd w:val="clear" w:color="auto" w:fill="auto"/>
                  <w:vAlign w:val="center"/>
                </w:tcPr>
                <w:p w14:paraId="667BB812">
                  <w:pPr>
                    <w:keepNext w:val="0"/>
                    <w:keepLines w:val="0"/>
                    <w:suppressLineNumbers w:val="0"/>
                    <w:spacing w:before="0" w:beforeAutospacing="0" w:after="0" w:afterAutospacing="0"/>
                    <w:ind w:left="0" w:right="0"/>
                    <w:jc w:val="center"/>
                    <w:rPr>
                      <w:rFonts w:hint="default"/>
                      <w:color w:val="auto"/>
                      <w:szCs w:val="21"/>
                      <w:lang w:val="en-US" w:eastAsia="zh-CN"/>
                    </w:rPr>
                  </w:pPr>
                  <w:r>
                    <w:rPr>
                      <w:rFonts w:hint="eastAsia"/>
                      <w:lang w:val="en-US" w:eastAsia="zh-CN"/>
                    </w:rPr>
                    <w:t>0.58</w:t>
                  </w:r>
                  <w:r>
                    <w:rPr>
                      <w:rFonts w:hint="eastAsia"/>
                      <w:vertAlign w:val="superscript"/>
                    </w:rPr>
                    <w:t>①</w:t>
                  </w:r>
                </w:p>
              </w:tc>
              <w:tc>
                <w:tcPr>
                  <w:tcW w:w="3411" w:type="dxa"/>
                  <w:vMerge w:val="restart"/>
                  <w:shd w:val="clear" w:color="auto" w:fill="auto"/>
                  <w:vAlign w:val="center"/>
                </w:tcPr>
                <w:p w14:paraId="4C3DC711">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《大气污染物综合排放标准》（GB16297-1996）</w:t>
                  </w:r>
                </w:p>
              </w:tc>
            </w:tr>
            <w:tr w14:paraId="40C21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034" w:type="dxa"/>
                  <w:shd w:val="clear" w:color="auto" w:fill="auto"/>
                  <w:vAlign w:val="center"/>
                </w:tcPr>
                <w:p w14:paraId="18B3EDA6">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颗粒物</w:t>
                  </w:r>
                </w:p>
              </w:tc>
              <w:tc>
                <w:tcPr>
                  <w:tcW w:w="1222" w:type="dxa"/>
                  <w:shd w:val="clear" w:color="auto" w:fill="auto"/>
                  <w:vAlign w:val="center"/>
                </w:tcPr>
                <w:p w14:paraId="047D3956">
                  <w:pPr>
                    <w:keepNext w:val="0"/>
                    <w:keepLines w:val="0"/>
                    <w:suppressLineNumbers w:val="0"/>
                    <w:spacing w:before="0" w:beforeAutospacing="0" w:after="0" w:afterAutospacing="0"/>
                    <w:ind w:left="0" w:right="0"/>
                    <w:jc w:val="center"/>
                    <w:rPr>
                      <w:rFonts w:hint="default" w:eastAsia="宋体"/>
                      <w:color w:val="auto"/>
                      <w:szCs w:val="21"/>
                      <w:lang w:val="en-US" w:eastAsia="zh-CN"/>
                    </w:rPr>
                  </w:pPr>
                  <w:r>
                    <w:rPr>
                      <w:rFonts w:hint="eastAsia"/>
                      <w:color w:val="auto"/>
                      <w:szCs w:val="21"/>
                      <w:lang w:val="en-US" w:eastAsia="zh-CN"/>
                    </w:rPr>
                    <w:t>120</w:t>
                  </w:r>
                </w:p>
              </w:tc>
              <w:tc>
                <w:tcPr>
                  <w:tcW w:w="1325" w:type="dxa"/>
                  <w:vMerge w:val="continue"/>
                  <w:vAlign w:val="center"/>
                </w:tcPr>
                <w:p w14:paraId="336AE888">
                  <w:pPr>
                    <w:keepNext w:val="0"/>
                    <w:keepLines w:val="0"/>
                    <w:suppressLineNumbers w:val="0"/>
                    <w:spacing w:before="0" w:beforeAutospacing="0" w:after="0" w:afterAutospacing="0"/>
                    <w:ind w:left="0" w:right="0"/>
                    <w:jc w:val="center"/>
                    <w:rPr>
                      <w:rFonts w:hint="default"/>
                      <w:color w:val="auto"/>
                      <w:szCs w:val="21"/>
                    </w:rPr>
                  </w:pPr>
                </w:p>
              </w:tc>
              <w:tc>
                <w:tcPr>
                  <w:tcW w:w="1328" w:type="dxa"/>
                  <w:shd w:val="clear" w:color="auto" w:fill="auto"/>
                  <w:vAlign w:val="center"/>
                </w:tcPr>
                <w:p w14:paraId="2F631AFC">
                  <w:pPr>
                    <w:keepNext w:val="0"/>
                    <w:keepLines w:val="0"/>
                    <w:suppressLineNumbers w:val="0"/>
                    <w:spacing w:before="0" w:beforeAutospacing="0" w:after="0" w:afterAutospacing="0"/>
                    <w:ind w:left="0" w:right="0"/>
                    <w:jc w:val="center"/>
                    <w:rPr>
                      <w:rFonts w:hint="default" w:eastAsia="宋体"/>
                      <w:color w:val="auto"/>
                      <w:szCs w:val="21"/>
                      <w:lang w:val="en-US" w:eastAsia="zh-CN"/>
                    </w:rPr>
                  </w:pPr>
                  <w:r>
                    <w:rPr>
                      <w:rFonts w:hint="eastAsia"/>
                      <w:lang w:val="en-US" w:eastAsia="zh-CN"/>
                    </w:rPr>
                    <w:t>7.225</w:t>
                  </w:r>
                  <w:r>
                    <w:rPr>
                      <w:rFonts w:hint="eastAsia"/>
                      <w:vertAlign w:val="superscript"/>
                    </w:rPr>
                    <w:t>①</w:t>
                  </w:r>
                </w:p>
              </w:tc>
              <w:tc>
                <w:tcPr>
                  <w:tcW w:w="3411" w:type="dxa"/>
                  <w:vMerge w:val="continue"/>
                  <w:shd w:val="clear" w:color="auto" w:fill="auto"/>
                  <w:vAlign w:val="center"/>
                </w:tcPr>
                <w:p w14:paraId="069A7F8E">
                  <w:pPr>
                    <w:keepNext w:val="0"/>
                    <w:keepLines w:val="0"/>
                    <w:suppressLineNumbers w:val="0"/>
                    <w:spacing w:before="0" w:beforeAutospacing="0" w:after="0" w:afterAutospacing="0"/>
                    <w:ind w:left="0" w:right="0"/>
                    <w:jc w:val="center"/>
                    <w:rPr>
                      <w:rFonts w:hint="default"/>
                      <w:color w:val="auto"/>
                      <w:szCs w:val="21"/>
                    </w:rPr>
                  </w:pPr>
                </w:p>
              </w:tc>
            </w:tr>
          </w:tbl>
          <w:p w14:paraId="31A54EF5">
            <w:pPr>
              <w:pStyle w:val="52"/>
              <w:keepNext w:val="0"/>
              <w:keepLines w:val="0"/>
              <w:suppressLineNumbers w:val="0"/>
              <w:spacing w:beforeAutospacing="0" w:after="0" w:afterAutospacing="0"/>
              <w:ind w:left="0" w:right="0"/>
              <w:jc w:val="both"/>
              <w:rPr>
                <w:rFonts w:hint="eastAsia"/>
              </w:rPr>
            </w:pPr>
            <w:r>
              <w:rPr>
                <w:rFonts w:hint="eastAsia"/>
              </w:rPr>
              <w:t>注：根据GB16297-1996 要求，排气筒高度无法高出周围200m半径范围的建筑5m以上，应按其高度对应的表列排放速率标准值严格50%执行；标“①”数据已据此要求严格 50%。</w:t>
            </w:r>
          </w:p>
          <w:p w14:paraId="4A47B342">
            <w:pPr>
              <w:pStyle w:val="52"/>
              <w:keepNext w:val="0"/>
              <w:keepLines w:val="0"/>
              <w:suppressLineNumbers w:val="0"/>
              <w:spacing w:beforeAutospacing="0" w:after="0" w:afterAutospacing="0"/>
              <w:ind w:left="0" w:right="0"/>
              <w:rPr>
                <w:rFonts w:hint="default"/>
              </w:rPr>
            </w:pPr>
            <w:r>
              <w:rPr>
                <w:rFonts w:hint="eastAsia"/>
              </w:rPr>
              <w:t>表3</w:t>
            </w:r>
            <w:r>
              <w:rPr>
                <w:rFonts w:hint="default"/>
              </w:rPr>
              <w:t>-</w:t>
            </w:r>
            <w:r>
              <w:rPr>
                <w:rFonts w:hint="eastAsia"/>
                <w:lang w:val="en-US" w:eastAsia="zh-CN"/>
              </w:rPr>
              <w:t>6</w:t>
            </w:r>
            <w:r>
              <w:rPr>
                <w:rFonts w:hint="default"/>
              </w:rPr>
              <w:t xml:space="preserve">  </w:t>
            </w:r>
            <w:r>
              <w:rPr>
                <w:rFonts w:hint="eastAsia"/>
              </w:rPr>
              <w:t>项目厂界无组织废气排放标准</w:t>
            </w:r>
          </w:p>
          <w:tbl>
            <w:tblPr>
              <w:tblStyle w:val="23"/>
              <w:tblW w:w="8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3"/>
              <w:gridCol w:w="1165"/>
              <w:gridCol w:w="1578"/>
              <w:gridCol w:w="4064"/>
            </w:tblGrid>
            <w:tr w14:paraId="6D5C9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1513" w:type="dxa"/>
                  <w:shd w:val="clear" w:color="auto" w:fill="auto"/>
                  <w:vAlign w:val="center"/>
                </w:tcPr>
                <w:p w14:paraId="38A234A3">
                  <w:pPr>
                    <w:keepNext w:val="0"/>
                    <w:keepLines w:val="0"/>
                    <w:suppressLineNumbers w:val="0"/>
                    <w:spacing w:before="0" w:beforeAutospacing="0" w:after="0" w:afterAutospacing="0" w:line="240" w:lineRule="auto"/>
                    <w:ind w:left="0" w:right="0"/>
                    <w:jc w:val="center"/>
                    <w:rPr>
                      <w:rFonts w:hint="default"/>
                      <w:b/>
                      <w:bCs/>
                      <w:color w:val="auto"/>
                      <w:szCs w:val="21"/>
                    </w:rPr>
                  </w:pPr>
                  <w:r>
                    <w:rPr>
                      <w:rFonts w:hint="default"/>
                      <w:b/>
                      <w:bCs/>
                      <w:color w:val="auto"/>
                      <w:szCs w:val="21"/>
                    </w:rPr>
                    <w:t>污染物</w:t>
                  </w:r>
                </w:p>
              </w:tc>
              <w:tc>
                <w:tcPr>
                  <w:tcW w:w="1165" w:type="dxa"/>
                  <w:shd w:val="clear" w:color="auto" w:fill="auto"/>
                  <w:vAlign w:val="center"/>
                </w:tcPr>
                <w:p w14:paraId="48C894A1">
                  <w:pPr>
                    <w:keepNext w:val="0"/>
                    <w:keepLines w:val="0"/>
                    <w:suppressLineNumbers w:val="0"/>
                    <w:spacing w:before="0" w:beforeAutospacing="0" w:after="0" w:afterAutospacing="0" w:line="240" w:lineRule="auto"/>
                    <w:ind w:left="0" w:right="0"/>
                    <w:jc w:val="center"/>
                    <w:rPr>
                      <w:rFonts w:hint="default"/>
                      <w:b/>
                      <w:bCs/>
                      <w:color w:val="auto"/>
                      <w:szCs w:val="21"/>
                    </w:rPr>
                  </w:pPr>
                  <w:r>
                    <w:rPr>
                      <w:rFonts w:hint="eastAsia"/>
                      <w:b/>
                      <w:bCs/>
                      <w:color w:val="auto"/>
                      <w:szCs w:val="21"/>
                    </w:rPr>
                    <w:t>监测点</w:t>
                  </w:r>
                </w:p>
              </w:tc>
              <w:tc>
                <w:tcPr>
                  <w:tcW w:w="1578" w:type="dxa"/>
                  <w:vAlign w:val="center"/>
                </w:tcPr>
                <w:p w14:paraId="02393D92">
                  <w:pPr>
                    <w:keepNext w:val="0"/>
                    <w:keepLines w:val="0"/>
                    <w:suppressLineNumbers w:val="0"/>
                    <w:spacing w:before="0" w:beforeAutospacing="0" w:after="0" w:afterAutospacing="0" w:line="240" w:lineRule="auto"/>
                    <w:ind w:left="0" w:right="0"/>
                    <w:jc w:val="center"/>
                    <w:rPr>
                      <w:rFonts w:hint="default"/>
                      <w:b/>
                      <w:bCs/>
                      <w:color w:val="auto"/>
                      <w:szCs w:val="21"/>
                    </w:rPr>
                  </w:pPr>
                  <w:r>
                    <w:rPr>
                      <w:rFonts w:hint="eastAsia"/>
                      <w:b/>
                      <w:bCs/>
                      <w:color w:val="auto"/>
                      <w:szCs w:val="21"/>
                    </w:rPr>
                    <w:t>浓度</w:t>
                  </w:r>
                  <w:r>
                    <w:rPr>
                      <w:rFonts w:hint="default"/>
                      <w:b/>
                      <w:bCs/>
                      <w:color w:val="auto"/>
                      <w:szCs w:val="21"/>
                    </w:rPr>
                    <w:t>（mg/m</w:t>
                  </w:r>
                  <w:r>
                    <w:rPr>
                      <w:rFonts w:hint="default"/>
                      <w:b/>
                      <w:bCs/>
                      <w:color w:val="auto"/>
                      <w:szCs w:val="21"/>
                      <w:vertAlign w:val="superscript"/>
                    </w:rPr>
                    <w:t>3</w:t>
                  </w:r>
                  <w:r>
                    <w:rPr>
                      <w:rFonts w:hint="default"/>
                      <w:b/>
                      <w:bCs/>
                      <w:color w:val="auto"/>
                      <w:szCs w:val="21"/>
                    </w:rPr>
                    <w:t>）</w:t>
                  </w:r>
                </w:p>
              </w:tc>
              <w:tc>
                <w:tcPr>
                  <w:tcW w:w="4064" w:type="dxa"/>
                  <w:vAlign w:val="center"/>
                </w:tcPr>
                <w:p w14:paraId="69D09773">
                  <w:pPr>
                    <w:keepNext w:val="0"/>
                    <w:keepLines w:val="0"/>
                    <w:suppressLineNumbers w:val="0"/>
                    <w:spacing w:before="0" w:beforeAutospacing="0" w:after="0" w:afterAutospacing="0" w:line="240" w:lineRule="auto"/>
                    <w:ind w:left="0" w:right="0"/>
                    <w:jc w:val="center"/>
                    <w:rPr>
                      <w:rFonts w:hint="default"/>
                      <w:b/>
                      <w:bCs/>
                      <w:color w:val="auto"/>
                      <w:szCs w:val="21"/>
                    </w:rPr>
                  </w:pPr>
                  <w:r>
                    <w:rPr>
                      <w:rFonts w:hint="eastAsia"/>
                      <w:b/>
                      <w:bCs/>
                      <w:color w:val="auto"/>
                      <w:szCs w:val="21"/>
                    </w:rPr>
                    <w:t>执行标准</w:t>
                  </w:r>
                </w:p>
              </w:tc>
            </w:tr>
            <w:tr w14:paraId="107C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513" w:type="dxa"/>
                  <w:shd w:val="clear" w:color="auto" w:fill="auto"/>
                  <w:vAlign w:val="center"/>
                </w:tcPr>
                <w:p w14:paraId="3DC2016E">
                  <w:pPr>
                    <w:keepNext w:val="0"/>
                    <w:keepLines w:val="0"/>
                    <w:suppressLineNumbers w:val="0"/>
                    <w:spacing w:before="0" w:beforeAutospacing="0" w:after="0" w:afterAutospacing="0" w:line="240" w:lineRule="auto"/>
                    <w:ind w:left="0" w:right="0"/>
                    <w:jc w:val="center"/>
                    <w:rPr>
                      <w:rFonts w:hint="default"/>
                      <w:color w:val="auto"/>
                      <w:szCs w:val="21"/>
                    </w:rPr>
                  </w:pPr>
                  <w:r>
                    <w:rPr>
                      <w:rFonts w:hint="eastAsia"/>
                      <w:color w:val="auto"/>
                      <w:szCs w:val="21"/>
                    </w:rPr>
                    <w:t>非甲烷总烃</w:t>
                  </w:r>
                </w:p>
              </w:tc>
              <w:tc>
                <w:tcPr>
                  <w:tcW w:w="1165" w:type="dxa"/>
                  <w:vMerge w:val="restart"/>
                  <w:shd w:val="clear" w:color="auto" w:fill="auto"/>
                  <w:vAlign w:val="center"/>
                </w:tcPr>
                <w:p w14:paraId="753B3131">
                  <w:pPr>
                    <w:keepNext w:val="0"/>
                    <w:keepLines w:val="0"/>
                    <w:suppressLineNumbers w:val="0"/>
                    <w:spacing w:before="0" w:beforeAutospacing="0" w:after="0" w:afterAutospacing="0" w:line="240" w:lineRule="auto"/>
                    <w:ind w:left="0" w:right="0"/>
                    <w:jc w:val="center"/>
                    <w:rPr>
                      <w:rFonts w:hint="default"/>
                      <w:color w:val="auto"/>
                      <w:szCs w:val="21"/>
                    </w:rPr>
                  </w:pPr>
                  <w:r>
                    <w:rPr>
                      <w:rFonts w:hint="eastAsia"/>
                      <w:color w:val="auto"/>
                      <w:szCs w:val="21"/>
                    </w:rPr>
                    <w:t>周界外浓度最高点</w:t>
                  </w:r>
                </w:p>
              </w:tc>
              <w:tc>
                <w:tcPr>
                  <w:tcW w:w="1578" w:type="dxa"/>
                  <w:shd w:val="clear" w:color="auto" w:fill="auto"/>
                  <w:vAlign w:val="center"/>
                </w:tcPr>
                <w:p w14:paraId="5AC11CDD">
                  <w:pPr>
                    <w:keepNext w:val="0"/>
                    <w:keepLines w:val="0"/>
                    <w:suppressLineNumbers w:val="0"/>
                    <w:spacing w:before="0" w:beforeAutospacing="0" w:after="0" w:afterAutospacing="0" w:line="240" w:lineRule="auto"/>
                    <w:ind w:left="0" w:right="0"/>
                    <w:jc w:val="center"/>
                    <w:rPr>
                      <w:rFonts w:hint="default"/>
                      <w:color w:val="auto"/>
                      <w:szCs w:val="21"/>
                    </w:rPr>
                  </w:pPr>
                  <w:r>
                    <w:rPr>
                      <w:rFonts w:hint="eastAsia"/>
                      <w:color w:val="auto"/>
                      <w:szCs w:val="21"/>
                    </w:rPr>
                    <w:t>4.0</w:t>
                  </w:r>
                </w:p>
              </w:tc>
              <w:tc>
                <w:tcPr>
                  <w:tcW w:w="4064" w:type="dxa"/>
                  <w:vMerge w:val="restart"/>
                  <w:shd w:val="clear" w:color="auto" w:fill="auto"/>
                  <w:vAlign w:val="center"/>
                </w:tcPr>
                <w:p w14:paraId="01E270B6">
                  <w:pPr>
                    <w:keepNext w:val="0"/>
                    <w:keepLines w:val="0"/>
                    <w:suppressLineNumbers w:val="0"/>
                    <w:spacing w:before="0" w:beforeAutospacing="0" w:after="0" w:afterAutospacing="0" w:line="240" w:lineRule="auto"/>
                    <w:ind w:left="0" w:right="0"/>
                    <w:jc w:val="center"/>
                    <w:rPr>
                      <w:rFonts w:hint="default"/>
                      <w:color w:val="auto"/>
                      <w:szCs w:val="21"/>
                    </w:rPr>
                  </w:pPr>
                  <w:r>
                    <w:rPr>
                      <w:rFonts w:hint="eastAsia"/>
                      <w:color w:val="auto"/>
                      <w:szCs w:val="21"/>
                    </w:rPr>
                    <w:t>《大气污染物综合排放标准》（GB16297-1996）</w:t>
                  </w:r>
                </w:p>
              </w:tc>
            </w:tr>
            <w:tr w14:paraId="19337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513" w:type="dxa"/>
                  <w:shd w:val="clear" w:color="auto" w:fill="auto"/>
                  <w:vAlign w:val="center"/>
                </w:tcPr>
                <w:p w14:paraId="622A84AC">
                  <w:pPr>
                    <w:keepNext w:val="0"/>
                    <w:keepLines w:val="0"/>
                    <w:suppressLineNumbers w:val="0"/>
                    <w:spacing w:before="0" w:beforeAutospacing="0" w:after="0" w:afterAutospacing="0" w:line="240" w:lineRule="auto"/>
                    <w:ind w:left="0" w:right="0"/>
                    <w:jc w:val="center"/>
                    <w:rPr>
                      <w:rFonts w:hint="default"/>
                      <w:color w:val="auto"/>
                      <w:szCs w:val="21"/>
                    </w:rPr>
                  </w:pPr>
                  <w:r>
                    <w:rPr>
                      <w:rFonts w:hint="eastAsia"/>
                      <w:color w:val="auto"/>
                      <w:szCs w:val="21"/>
                    </w:rPr>
                    <w:t>锡及其化合物</w:t>
                  </w:r>
                </w:p>
              </w:tc>
              <w:tc>
                <w:tcPr>
                  <w:tcW w:w="1165" w:type="dxa"/>
                  <w:vMerge w:val="continue"/>
                  <w:shd w:val="clear" w:color="auto" w:fill="auto"/>
                  <w:vAlign w:val="center"/>
                </w:tcPr>
                <w:p w14:paraId="040F1AB4">
                  <w:pPr>
                    <w:keepNext w:val="0"/>
                    <w:keepLines w:val="0"/>
                    <w:suppressLineNumbers w:val="0"/>
                    <w:spacing w:before="0" w:beforeAutospacing="0" w:after="0" w:afterAutospacing="0" w:line="240" w:lineRule="auto"/>
                    <w:ind w:left="0" w:right="0"/>
                    <w:jc w:val="center"/>
                    <w:rPr>
                      <w:rFonts w:hint="default"/>
                      <w:color w:val="auto"/>
                      <w:szCs w:val="21"/>
                    </w:rPr>
                  </w:pPr>
                </w:p>
              </w:tc>
              <w:tc>
                <w:tcPr>
                  <w:tcW w:w="1578" w:type="dxa"/>
                  <w:shd w:val="clear" w:color="auto" w:fill="auto"/>
                  <w:vAlign w:val="center"/>
                </w:tcPr>
                <w:p w14:paraId="4372DDC4">
                  <w:pPr>
                    <w:keepNext w:val="0"/>
                    <w:keepLines w:val="0"/>
                    <w:suppressLineNumbers w:val="0"/>
                    <w:spacing w:before="0" w:beforeAutospacing="0" w:after="0" w:afterAutospacing="0" w:line="240" w:lineRule="auto"/>
                    <w:ind w:left="0" w:right="0"/>
                    <w:jc w:val="center"/>
                    <w:rPr>
                      <w:rFonts w:hint="default" w:eastAsia="宋体"/>
                      <w:color w:val="auto"/>
                      <w:szCs w:val="21"/>
                      <w:lang w:val="en-US" w:eastAsia="zh-CN"/>
                    </w:rPr>
                  </w:pPr>
                  <w:r>
                    <w:rPr>
                      <w:rFonts w:hint="eastAsia"/>
                      <w:color w:val="auto"/>
                      <w:szCs w:val="21"/>
                      <w:lang w:val="en-US" w:eastAsia="zh-CN"/>
                    </w:rPr>
                    <w:t>0.24</w:t>
                  </w:r>
                </w:p>
              </w:tc>
              <w:tc>
                <w:tcPr>
                  <w:tcW w:w="4064" w:type="dxa"/>
                  <w:vMerge w:val="continue"/>
                  <w:shd w:val="clear" w:color="auto" w:fill="auto"/>
                  <w:vAlign w:val="center"/>
                </w:tcPr>
                <w:p w14:paraId="55A338D5">
                  <w:pPr>
                    <w:keepNext w:val="0"/>
                    <w:keepLines w:val="0"/>
                    <w:suppressLineNumbers w:val="0"/>
                    <w:spacing w:before="0" w:beforeAutospacing="0" w:after="0" w:afterAutospacing="0" w:line="240" w:lineRule="auto"/>
                    <w:ind w:left="0" w:right="0"/>
                    <w:jc w:val="center"/>
                    <w:rPr>
                      <w:rFonts w:hint="default"/>
                      <w:color w:val="auto"/>
                      <w:szCs w:val="21"/>
                    </w:rPr>
                  </w:pPr>
                </w:p>
              </w:tc>
            </w:tr>
            <w:tr w14:paraId="73B5C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513" w:type="dxa"/>
                  <w:shd w:val="clear" w:color="auto" w:fill="auto"/>
                  <w:vAlign w:val="center"/>
                </w:tcPr>
                <w:p w14:paraId="2D6DA0F5">
                  <w:pPr>
                    <w:keepNext w:val="0"/>
                    <w:keepLines w:val="0"/>
                    <w:suppressLineNumbers w:val="0"/>
                    <w:spacing w:before="0" w:beforeAutospacing="0" w:after="0" w:afterAutospacing="0" w:line="240" w:lineRule="auto"/>
                    <w:ind w:left="0" w:right="0"/>
                    <w:jc w:val="center"/>
                    <w:rPr>
                      <w:rFonts w:hint="default"/>
                      <w:color w:val="auto"/>
                      <w:szCs w:val="21"/>
                    </w:rPr>
                  </w:pPr>
                  <w:r>
                    <w:rPr>
                      <w:rFonts w:hint="eastAsia"/>
                      <w:color w:val="auto"/>
                      <w:szCs w:val="21"/>
                    </w:rPr>
                    <w:t>颗粒物</w:t>
                  </w:r>
                </w:p>
              </w:tc>
              <w:tc>
                <w:tcPr>
                  <w:tcW w:w="1165" w:type="dxa"/>
                  <w:vMerge w:val="continue"/>
                  <w:shd w:val="clear" w:color="auto" w:fill="auto"/>
                  <w:vAlign w:val="center"/>
                </w:tcPr>
                <w:p w14:paraId="00E6BC09">
                  <w:pPr>
                    <w:keepNext w:val="0"/>
                    <w:keepLines w:val="0"/>
                    <w:suppressLineNumbers w:val="0"/>
                    <w:spacing w:before="0" w:beforeAutospacing="0" w:after="0" w:afterAutospacing="0" w:line="240" w:lineRule="auto"/>
                    <w:ind w:left="0" w:right="0"/>
                    <w:jc w:val="center"/>
                    <w:rPr>
                      <w:rFonts w:hint="default"/>
                      <w:color w:val="auto"/>
                      <w:szCs w:val="21"/>
                    </w:rPr>
                  </w:pPr>
                </w:p>
              </w:tc>
              <w:tc>
                <w:tcPr>
                  <w:tcW w:w="1578" w:type="dxa"/>
                  <w:shd w:val="clear" w:color="auto" w:fill="auto"/>
                  <w:vAlign w:val="center"/>
                </w:tcPr>
                <w:p w14:paraId="7F952371">
                  <w:pPr>
                    <w:keepNext w:val="0"/>
                    <w:keepLines w:val="0"/>
                    <w:suppressLineNumbers w:val="0"/>
                    <w:spacing w:before="0" w:beforeAutospacing="0" w:after="0" w:afterAutospacing="0" w:line="240" w:lineRule="auto"/>
                    <w:ind w:left="0" w:right="0"/>
                    <w:jc w:val="center"/>
                    <w:rPr>
                      <w:rFonts w:hint="default" w:eastAsia="宋体"/>
                      <w:color w:val="auto"/>
                      <w:szCs w:val="21"/>
                      <w:lang w:val="en-US" w:eastAsia="zh-CN"/>
                    </w:rPr>
                  </w:pPr>
                  <w:r>
                    <w:rPr>
                      <w:rFonts w:hint="eastAsia"/>
                      <w:color w:val="auto"/>
                      <w:szCs w:val="21"/>
                      <w:lang w:val="en-US" w:eastAsia="zh-CN"/>
                    </w:rPr>
                    <w:t>1.0</w:t>
                  </w:r>
                </w:p>
              </w:tc>
              <w:tc>
                <w:tcPr>
                  <w:tcW w:w="4064" w:type="dxa"/>
                  <w:vMerge w:val="continue"/>
                  <w:shd w:val="clear" w:color="auto" w:fill="auto"/>
                  <w:vAlign w:val="center"/>
                </w:tcPr>
                <w:p w14:paraId="34D9F081">
                  <w:pPr>
                    <w:keepNext w:val="0"/>
                    <w:keepLines w:val="0"/>
                    <w:suppressLineNumbers w:val="0"/>
                    <w:spacing w:before="0" w:beforeAutospacing="0" w:after="0" w:afterAutospacing="0" w:line="240" w:lineRule="auto"/>
                    <w:ind w:left="0" w:right="0"/>
                    <w:jc w:val="center"/>
                    <w:rPr>
                      <w:rFonts w:hint="default"/>
                      <w:color w:val="auto"/>
                      <w:szCs w:val="21"/>
                    </w:rPr>
                  </w:pPr>
                </w:p>
              </w:tc>
            </w:tr>
          </w:tbl>
          <w:p w14:paraId="09DCF1F3">
            <w:pPr>
              <w:pStyle w:val="52"/>
              <w:spacing w:before="0" w:beforeLines="0"/>
              <w:rPr>
                <w:rFonts w:hint="eastAsia"/>
              </w:rPr>
            </w:pPr>
          </w:p>
          <w:p w14:paraId="1A96581B">
            <w:pPr>
              <w:pStyle w:val="52"/>
              <w:rPr>
                <w:color w:val="auto"/>
              </w:rPr>
            </w:pPr>
            <w:r>
              <w:rPr>
                <w:color w:val="auto"/>
              </w:rPr>
              <w:t>表</w:t>
            </w:r>
            <w:r>
              <w:rPr>
                <w:rFonts w:hint="eastAsia"/>
                <w:color w:val="auto"/>
              </w:rPr>
              <w:t>3</w:t>
            </w:r>
            <w:r>
              <w:rPr>
                <w:color w:val="auto"/>
              </w:rPr>
              <w:t>-</w:t>
            </w:r>
            <w:r>
              <w:rPr>
                <w:rFonts w:hint="eastAsia"/>
                <w:color w:val="auto"/>
                <w:lang w:val="en-US" w:eastAsia="zh-CN"/>
              </w:rPr>
              <w:t>7</w:t>
            </w:r>
            <w:r>
              <w:rPr>
                <w:color w:val="auto"/>
              </w:rPr>
              <w:t xml:space="preserve"> </w:t>
            </w:r>
            <w:r>
              <w:rPr>
                <w:rFonts w:hint="eastAsia"/>
                <w:color w:val="auto"/>
              </w:rPr>
              <w:t>厂区内VOCs无组织排放限值  单位mg/m</w:t>
            </w:r>
            <w:r>
              <w:rPr>
                <w:rFonts w:hint="eastAsia"/>
                <w:color w:val="auto"/>
                <w:vertAlign w:val="superscript"/>
              </w:rPr>
              <w:t>3</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6"/>
              <w:gridCol w:w="1625"/>
              <w:gridCol w:w="2789"/>
              <w:gridCol w:w="2444"/>
            </w:tblGrid>
            <w:tr w14:paraId="1C583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15" w:type="pct"/>
                  <w:shd w:val="clear" w:color="auto" w:fill="auto"/>
                  <w:vAlign w:val="center"/>
                </w:tcPr>
                <w:p w14:paraId="14BEC12E">
                  <w:pPr>
                    <w:jc w:val="center"/>
                    <w:rPr>
                      <w:b/>
                      <w:bCs/>
                      <w:color w:val="auto"/>
                      <w:szCs w:val="21"/>
                    </w:rPr>
                  </w:pPr>
                  <w:r>
                    <w:rPr>
                      <w:b/>
                      <w:bCs/>
                      <w:color w:val="auto"/>
                      <w:szCs w:val="21"/>
                    </w:rPr>
                    <w:t>污染项目</w:t>
                  </w:r>
                </w:p>
              </w:tc>
              <w:tc>
                <w:tcPr>
                  <w:tcW w:w="991" w:type="pct"/>
                  <w:shd w:val="clear" w:color="auto" w:fill="auto"/>
                  <w:vAlign w:val="center"/>
                </w:tcPr>
                <w:p w14:paraId="7505AC1E">
                  <w:pPr>
                    <w:jc w:val="center"/>
                    <w:rPr>
                      <w:b/>
                      <w:bCs/>
                      <w:color w:val="auto"/>
                      <w:szCs w:val="21"/>
                    </w:rPr>
                  </w:pPr>
                  <w:r>
                    <w:rPr>
                      <w:rFonts w:hint="eastAsia"/>
                      <w:b/>
                      <w:bCs/>
                      <w:color w:val="auto"/>
                      <w:szCs w:val="21"/>
                    </w:rPr>
                    <w:t>最高允许排放浓度（mg/m</w:t>
                  </w:r>
                  <w:r>
                    <w:rPr>
                      <w:rFonts w:hint="eastAsia"/>
                      <w:b/>
                      <w:bCs/>
                      <w:color w:val="auto"/>
                      <w:szCs w:val="21"/>
                      <w:vertAlign w:val="superscript"/>
                    </w:rPr>
                    <w:t>3</w:t>
                  </w:r>
                  <w:r>
                    <w:rPr>
                      <w:rFonts w:hint="eastAsia"/>
                      <w:b/>
                      <w:bCs/>
                      <w:color w:val="auto"/>
                      <w:szCs w:val="21"/>
                    </w:rPr>
                    <w:t>）</w:t>
                  </w:r>
                </w:p>
              </w:tc>
              <w:tc>
                <w:tcPr>
                  <w:tcW w:w="1701" w:type="pct"/>
                  <w:shd w:val="clear" w:color="auto" w:fill="auto"/>
                  <w:vAlign w:val="center"/>
                </w:tcPr>
                <w:p w14:paraId="75A8F3C1">
                  <w:pPr>
                    <w:jc w:val="center"/>
                    <w:rPr>
                      <w:b/>
                      <w:bCs/>
                      <w:color w:val="auto"/>
                      <w:szCs w:val="21"/>
                    </w:rPr>
                  </w:pPr>
                  <w:r>
                    <w:rPr>
                      <w:b/>
                      <w:bCs/>
                      <w:color w:val="auto"/>
                      <w:szCs w:val="21"/>
                    </w:rPr>
                    <w:t>限值含义</w:t>
                  </w:r>
                </w:p>
              </w:tc>
              <w:tc>
                <w:tcPr>
                  <w:tcW w:w="1491" w:type="pct"/>
                  <w:shd w:val="clear" w:color="auto" w:fill="auto"/>
                  <w:vAlign w:val="center"/>
                </w:tcPr>
                <w:p w14:paraId="6D9C32DD">
                  <w:pPr>
                    <w:jc w:val="center"/>
                    <w:rPr>
                      <w:b/>
                      <w:bCs/>
                      <w:color w:val="auto"/>
                      <w:szCs w:val="21"/>
                    </w:rPr>
                  </w:pPr>
                  <w:r>
                    <w:rPr>
                      <w:b/>
                      <w:bCs/>
                      <w:color w:val="auto"/>
                      <w:szCs w:val="21"/>
                    </w:rPr>
                    <w:t>无组织排放监控位置</w:t>
                  </w:r>
                </w:p>
              </w:tc>
            </w:tr>
            <w:tr w14:paraId="6D903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15" w:type="pct"/>
                  <w:vMerge w:val="restart"/>
                  <w:shd w:val="clear" w:color="auto" w:fill="auto"/>
                  <w:vAlign w:val="center"/>
                </w:tcPr>
                <w:p w14:paraId="00270914">
                  <w:pPr>
                    <w:jc w:val="center"/>
                    <w:rPr>
                      <w:color w:val="auto"/>
                      <w:szCs w:val="21"/>
                    </w:rPr>
                  </w:pPr>
                  <w:r>
                    <w:rPr>
                      <w:rFonts w:hint="eastAsia"/>
                      <w:color w:val="auto"/>
                      <w:szCs w:val="21"/>
                    </w:rPr>
                    <w:t>NMHC</w:t>
                  </w:r>
                </w:p>
              </w:tc>
              <w:tc>
                <w:tcPr>
                  <w:tcW w:w="991" w:type="pct"/>
                  <w:shd w:val="clear" w:color="auto" w:fill="auto"/>
                  <w:vAlign w:val="center"/>
                </w:tcPr>
                <w:p w14:paraId="7493ECB9">
                  <w:pPr>
                    <w:jc w:val="center"/>
                    <w:rPr>
                      <w:color w:val="auto"/>
                      <w:szCs w:val="21"/>
                    </w:rPr>
                  </w:pPr>
                  <w:r>
                    <w:rPr>
                      <w:rFonts w:hint="eastAsia"/>
                      <w:color w:val="auto"/>
                      <w:szCs w:val="21"/>
                    </w:rPr>
                    <w:t>6</w:t>
                  </w:r>
                </w:p>
              </w:tc>
              <w:tc>
                <w:tcPr>
                  <w:tcW w:w="1701" w:type="pct"/>
                  <w:shd w:val="clear" w:color="auto" w:fill="auto"/>
                  <w:vAlign w:val="center"/>
                </w:tcPr>
                <w:p w14:paraId="69ED78B5">
                  <w:pPr>
                    <w:jc w:val="center"/>
                    <w:rPr>
                      <w:color w:val="auto"/>
                      <w:szCs w:val="21"/>
                    </w:rPr>
                  </w:pPr>
                  <w:r>
                    <w:rPr>
                      <w:rFonts w:hint="eastAsia"/>
                      <w:color w:val="auto"/>
                      <w:szCs w:val="21"/>
                    </w:rPr>
                    <w:t>监控点处1小时监控浓度</w:t>
                  </w:r>
                </w:p>
              </w:tc>
              <w:tc>
                <w:tcPr>
                  <w:tcW w:w="1491" w:type="pct"/>
                  <w:vMerge w:val="restart"/>
                  <w:shd w:val="clear" w:color="auto" w:fill="auto"/>
                  <w:vAlign w:val="center"/>
                </w:tcPr>
                <w:p w14:paraId="563C9796">
                  <w:pPr>
                    <w:jc w:val="center"/>
                    <w:rPr>
                      <w:color w:val="auto"/>
                      <w:szCs w:val="21"/>
                    </w:rPr>
                  </w:pPr>
                  <w:r>
                    <w:rPr>
                      <w:rFonts w:hint="eastAsia"/>
                      <w:color w:val="auto"/>
                      <w:szCs w:val="21"/>
                    </w:rPr>
                    <w:t>在厂房外设置监控点</w:t>
                  </w:r>
                </w:p>
              </w:tc>
            </w:tr>
            <w:tr w14:paraId="0BC91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815" w:type="pct"/>
                  <w:vMerge w:val="continue"/>
                  <w:shd w:val="clear" w:color="auto" w:fill="auto"/>
                  <w:vAlign w:val="center"/>
                </w:tcPr>
                <w:p w14:paraId="51492C78">
                  <w:pPr>
                    <w:pStyle w:val="65"/>
                    <w:jc w:val="center"/>
                    <w:rPr>
                      <w:rFonts w:ascii="Times New Roman" w:cs="Times New Roman"/>
                      <w:color w:val="auto"/>
                      <w:sz w:val="21"/>
                      <w:szCs w:val="21"/>
                    </w:rPr>
                  </w:pPr>
                </w:p>
              </w:tc>
              <w:tc>
                <w:tcPr>
                  <w:tcW w:w="991" w:type="pct"/>
                  <w:shd w:val="clear" w:color="auto" w:fill="auto"/>
                  <w:vAlign w:val="center"/>
                </w:tcPr>
                <w:p w14:paraId="7F3BE3DD">
                  <w:pPr>
                    <w:jc w:val="center"/>
                    <w:rPr>
                      <w:color w:val="auto"/>
                      <w:szCs w:val="21"/>
                    </w:rPr>
                  </w:pPr>
                  <w:r>
                    <w:rPr>
                      <w:rFonts w:hint="eastAsia"/>
                      <w:color w:val="auto"/>
                      <w:szCs w:val="21"/>
                    </w:rPr>
                    <w:t>20</w:t>
                  </w:r>
                </w:p>
              </w:tc>
              <w:tc>
                <w:tcPr>
                  <w:tcW w:w="1701" w:type="pct"/>
                  <w:shd w:val="clear" w:color="auto" w:fill="auto"/>
                  <w:vAlign w:val="center"/>
                </w:tcPr>
                <w:p w14:paraId="37A1812F">
                  <w:pPr>
                    <w:jc w:val="center"/>
                    <w:rPr>
                      <w:color w:val="auto"/>
                      <w:szCs w:val="21"/>
                    </w:rPr>
                  </w:pPr>
                  <w:r>
                    <w:rPr>
                      <w:rFonts w:hint="eastAsia"/>
                      <w:color w:val="auto"/>
                      <w:szCs w:val="21"/>
                    </w:rPr>
                    <w:t>监控点处任意一次浓度值</w:t>
                  </w:r>
                </w:p>
              </w:tc>
              <w:tc>
                <w:tcPr>
                  <w:tcW w:w="1491" w:type="pct"/>
                  <w:vMerge w:val="continue"/>
                  <w:shd w:val="clear" w:color="auto" w:fill="auto"/>
                  <w:vAlign w:val="center"/>
                </w:tcPr>
                <w:p w14:paraId="49E5B121">
                  <w:pPr>
                    <w:pStyle w:val="65"/>
                    <w:jc w:val="center"/>
                    <w:rPr>
                      <w:rFonts w:ascii="Times New Roman" w:cs="Times New Roman"/>
                      <w:color w:val="auto"/>
                      <w:sz w:val="21"/>
                      <w:szCs w:val="21"/>
                    </w:rPr>
                  </w:pPr>
                </w:p>
              </w:tc>
            </w:tr>
          </w:tbl>
          <w:p w14:paraId="4FE7E27F">
            <w:pPr>
              <w:pStyle w:val="52"/>
              <w:spacing w:before="0" w:beforeLines="0"/>
              <w:rPr>
                <w:rFonts w:hint="eastAsia"/>
              </w:rPr>
            </w:pPr>
          </w:p>
          <w:p w14:paraId="6028D7AE">
            <w:pPr>
              <w:pStyle w:val="51"/>
              <w:ind w:firstLine="482"/>
              <w:rPr>
                <w:b/>
                <w:bCs/>
              </w:rPr>
            </w:pPr>
            <w:r>
              <w:rPr>
                <w:rFonts w:hint="eastAsia"/>
                <w:b/>
                <w:bCs/>
              </w:rPr>
              <w:t>2、废水污染物排放标准</w:t>
            </w:r>
          </w:p>
          <w:p w14:paraId="2F2998A4">
            <w:pPr>
              <w:pStyle w:val="51"/>
              <w:ind w:firstLine="480"/>
              <w:rPr>
                <w:rFonts w:hint="default" w:eastAsia="宋体"/>
                <w:lang w:val="en-US" w:eastAsia="zh-CN"/>
              </w:rPr>
            </w:pPr>
            <w:r>
              <w:rPr>
                <w:rFonts w:hint="eastAsia"/>
              </w:rPr>
              <w:t>本项目生产过程无生产废水产生，排放废水为生活污水。生活污水经</w:t>
            </w:r>
            <w:r>
              <w:rPr>
                <w:rFonts w:hint="eastAsia"/>
                <w:lang w:val="en-US" w:eastAsia="zh-CN"/>
              </w:rPr>
              <w:t>化粪池</w:t>
            </w:r>
            <w:r>
              <w:rPr>
                <w:rFonts w:hint="eastAsia"/>
              </w:rPr>
              <w:t>预处理后达《电子工业水污染物排放标准》（GB39731-2020）表1中水污染排放限值要求及皖江江南新兴产业集中区第一污水处理厂接管指标后，</w:t>
            </w:r>
            <w:r>
              <w:rPr>
                <w:rFonts w:hint="eastAsia"/>
                <w:lang w:val="en-US" w:eastAsia="zh-CN"/>
              </w:rPr>
              <w:t>经市政污水管网</w:t>
            </w:r>
            <w:r>
              <w:rPr>
                <w:rFonts w:hint="eastAsia"/>
              </w:rPr>
              <w:t>排入皖江江南新兴产业集中区第一污水处理厂</w:t>
            </w:r>
            <w:r>
              <w:rPr>
                <w:rFonts w:hint="eastAsia"/>
                <w:lang w:eastAsia="zh-CN"/>
              </w:rPr>
              <w:t>。</w:t>
            </w:r>
            <w:r>
              <w:rPr>
                <w:rFonts w:hint="eastAsia"/>
                <w:lang w:val="en-US" w:eastAsia="zh-CN"/>
              </w:rPr>
              <w:t>具体限值详见下表。</w:t>
            </w:r>
          </w:p>
          <w:p w14:paraId="3B705215">
            <w:pPr>
              <w:ind w:left="-13" w:leftChars="-46" w:hanging="84" w:hangingChars="40"/>
              <w:jc w:val="center"/>
              <w:rPr>
                <w:rFonts w:hint="eastAsia" w:eastAsia="宋体"/>
                <w:b/>
                <w:bCs/>
                <w:color w:val="auto"/>
                <w:kern w:val="0"/>
                <w:szCs w:val="21"/>
                <w:lang w:val="en-US" w:eastAsia="zh-CN"/>
              </w:rPr>
            </w:pPr>
            <w:r>
              <w:rPr>
                <w:b/>
                <w:bCs/>
                <w:color w:val="auto"/>
                <w:kern w:val="0"/>
                <w:szCs w:val="21"/>
              </w:rPr>
              <w:t>表3-</w:t>
            </w:r>
            <w:r>
              <w:rPr>
                <w:rFonts w:hint="eastAsia"/>
                <w:b/>
                <w:bCs/>
                <w:color w:val="auto"/>
                <w:kern w:val="0"/>
                <w:szCs w:val="21"/>
                <w:lang w:val="en-US" w:eastAsia="zh-CN"/>
              </w:rPr>
              <w:t>8</w:t>
            </w:r>
            <w:r>
              <w:rPr>
                <w:b/>
                <w:bCs/>
                <w:color w:val="auto"/>
                <w:kern w:val="0"/>
                <w:szCs w:val="21"/>
              </w:rPr>
              <w:t xml:space="preserve"> </w:t>
            </w:r>
            <w:r>
              <w:rPr>
                <w:rFonts w:hint="eastAsia"/>
                <w:b/>
                <w:bCs/>
                <w:color w:val="auto"/>
                <w:kern w:val="0"/>
                <w:szCs w:val="21"/>
              </w:rPr>
              <w:t xml:space="preserve"> 本项目</w:t>
            </w:r>
            <w:r>
              <w:rPr>
                <w:b/>
                <w:bCs/>
                <w:color w:val="auto"/>
                <w:kern w:val="0"/>
                <w:szCs w:val="21"/>
              </w:rPr>
              <w:t>污水排放标准  单位：mg/L</w:t>
            </w:r>
            <w:r>
              <w:rPr>
                <w:rFonts w:hint="eastAsia"/>
                <w:b/>
                <w:bCs/>
                <w:color w:val="auto"/>
                <w:kern w:val="0"/>
                <w:szCs w:val="21"/>
                <w:lang w:eastAsia="zh-CN"/>
              </w:rPr>
              <w:t>（</w:t>
            </w:r>
            <w:r>
              <w:rPr>
                <w:rFonts w:hint="eastAsia"/>
                <w:b/>
                <w:bCs/>
                <w:color w:val="auto"/>
                <w:kern w:val="0"/>
                <w:szCs w:val="21"/>
                <w:lang w:val="en-US" w:eastAsia="zh-CN"/>
              </w:rPr>
              <w:t>pH值除外</w:t>
            </w:r>
            <w:r>
              <w:rPr>
                <w:rFonts w:hint="eastAsia"/>
                <w:b/>
                <w:bCs/>
                <w:color w:val="auto"/>
                <w:kern w:val="0"/>
                <w:szCs w:val="21"/>
                <w:lang w:eastAsia="zh-CN"/>
              </w:rPr>
              <w:t>）</w:t>
            </w:r>
          </w:p>
          <w:tbl>
            <w:tblPr>
              <w:tblStyle w:val="24"/>
              <w:tblW w:w="82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7"/>
              <w:gridCol w:w="2715"/>
              <w:gridCol w:w="2051"/>
              <w:gridCol w:w="2051"/>
            </w:tblGrid>
            <w:tr w14:paraId="3BBCC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20E12C37">
                  <w:pPr>
                    <w:keepNext w:val="0"/>
                    <w:keepLines w:val="0"/>
                    <w:widowControl/>
                    <w:suppressLineNumbers w:val="0"/>
                    <w:jc w:val="center"/>
                    <w:textAlignment w:val="center"/>
                    <w:rPr>
                      <w:rFonts w:hint="default" w:ascii="宋体" w:hAnsi="宋体" w:eastAsia="宋体" w:cs="宋体"/>
                      <w:b/>
                      <w:bCs/>
                      <w:i w:val="0"/>
                      <w:iCs w:val="0"/>
                      <w:color w:val="000000"/>
                      <w:kern w:val="2"/>
                      <w:sz w:val="21"/>
                      <w:szCs w:val="21"/>
                      <w:u w:val="none"/>
                      <w:lang w:val="en-US" w:eastAsia="zh-CN" w:bidi="ar-SA"/>
                    </w:rPr>
                  </w:pPr>
                  <w:r>
                    <w:rPr>
                      <w:rFonts w:hint="eastAsia" w:ascii="宋体" w:hAnsi="宋体" w:cs="宋体"/>
                      <w:b/>
                      <w:bCs/>
                      <w:i w:val="0"/>
                      <w:iCs w:val="0"/>
                      <w:color w:val="000000"/>
                      <w:kern w:val="0"/>
                      <w:sz w:val="21"/>
                      <w:szCs w:val="21"/>
                      <w:u w:val="none"/>
                      <w:lang w:val="en-US" w:eastAsia="zh-CN" w:bidi="ar"/>
                    </w:rPr>
                    <w:t>污染物项目</w:t>
                  </w:r>
                </w:p>
              </w:tc>
              <w:tc>
                <w:tcPr>
                  <w:tcW w:w="2715" w:type="dxa"/>
                  <w:shd w:val="clear" w:color="auto" w:fill="auto"/>
                  <w:vAlign w:val="center"/>
                </w:tcPr>
                <w:p w14:paraId="7851557F">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皖江江南新兴产业集中区第一污水处理厂</w:t>
                  </w:r>
                  <w:r>
                    <w:rPr>
                      <w:b/>
                      <w:bCs/>
                      <w:lang w:val="en-US" w:eastAsia="zh-CN" w:bidi="ar"/>
                    </w:rPr>
                    <w:t>接管标准</w:t>
                  </w:r>
                </w:p>
              </w:tc>
              <w:tc>
                <w:tcPr>
                  <w:tcW w:w="2051" w:type="dxa"/>
                  <w:shd w:val="clear" w:color="auto" w:fill="auto"/>
                  <w:vAlign w:val="center"/>
                </w:tcPr>
                <w:p w14:paraId="5533805A">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《电子工业水污染物排放标准》（</w:t>
                  </w:r>
                  <w:r>
                    <w:rPr>
                      <w:rStyle w:val="211"/>
                      <w:rFonts w:eastAsia="宋体"/>
                      <w:b/>
                      <w:bCs/>
                      <w:lang w:val="en-US" w:eastAsia="zh-CN" w:bidi="ar"/>
                    </w:rPr>
                    <w:t>GB 39731-2020</w:t>
                  </w:r>
                  <w:r>
                    <w:rPr>
                      <w:b/>
                      <w:bCs/>
                      <w:lang w:val="en-US" w:eastAsia="zh-CN" w:bidi="ar"/>
                    </w:rPr>
                    <w:t>）水污染排放限值</w:t>
                  </w:r>
                </w:p>
              </w:tc>
              <w:tc>
                <w:tcPr>
                  <w:tcW w:w="2051" w:type="dxa"/>
                  <w:shd w:val="clear" w:color="auto" w:fill="auto"/>
                  <w:vAlign w:val="center"/>
                </w:tcPr>
                <w:p w14:paraId="6E822FCA">
                  <w:pPr>
                    <w:keepNext w:val="0"/>
                    <w:keepLines w:val="0"/>
                    <w:widowControl/>
                    <w:suppressLineNumbers w:val="0"/>
                    <w:jc w:val="center"/>
                    <w:textAlignment w:val="center"/>
                    <w:rPr>
                      <w:rFonts w:hint="eastAsia" w:ascii="宋体" w:hAnsi="宋体" w:eastAsia="宋体" w:cs="宋体"/>
                      <w:b/>
                      <w:bCs/>
                      <w:i w:val="0"/>
                      <w:iCs w:val="0"/>
                      <w:color w:val="000000"/>
                      <w:kern w:val="2"/>
                      <w:sz w:val="21"/>
                      <w:szCs w:val="21"/>
                      <w:u w:val="none"/>
                      <w:lang w:val="en-US" w:eastAsia="zh-CN" w:bidi="ar-SA"/>
                    </w:rPr>
                  </w:pPr>
                  <w:r>
                    <w:rPr>
                      <w:rFonts w:hint="eastAsia" w:ascii="宋体" w:hAnsi="宋体" w:eastAsia="宋体" w:cs="宋体"/>
                      <w:b/>
                      <w:bCs/>
                      <w:i w:val="0"/>
                      <w:iCs w:val="0"/>
                      <w:color w:val="000000"/>
                      <w:kern w:val="0"/>
                      <w:sz w:val="21"/>
                      <w:szCs w:val="21"/>
                      <w:u w:val="none"/>
                      <w:lang w:val="en-US" w:eastAsia="zh-CN" w:bidi="ar"/>
                    </w:rPr>
                    <w:t>本项目执行标准</w:t>
                  </w:r>
                </w:p>
              </w:tc>
            </w:tr>
            <w:tr w14:paraId="45252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7" w:type="dxa"/>
                  <w:shd w:val="clear" w:color="auto" w:fill="auto"/>
                  <w:vAlign w:val="center"/>
                </w:tcPr>
                <w:p w14:paraId="0345C3CB">
                  <w:pPr>
                    <w:keepNext w:val="0"/>
                    <w:keepLines w:val="0"/>
                    <w:widowControl/>
                    <w:suppressLineNumbers w:val="0"/>
                    <w:jc w:val="center"/>
                    <w:textAlignment w:val="center"/>
                    <w:rPr>
                      <w:rFonts w:hint="eastAsia" w:ascii="Times New Roman" w:hAnsi="Times New Roman" w:eastAsia="宋体" w:cs="Times New Roman"/>
                      <w:b w:val="0"/>
                      <w:bCs w:val="0"/>
                      <w:i w:val="0"/>
                      <w:iCs w:val="0"/>
                      <w:color w:val="000000"/>
                      <w:kern w:val="2"/>
                      <w:sz w:val="21"/>
                      <w:szCs w:val="21"/>
                      <w:u w:val="none"/>
                      <w:lang w:val="en-US" w:eastAsia="zh-CN" w:bidi="ar-SA"/>
                    </w:rPr>
                  </w:pPr>
                  <w:r>
                    <w:rPr>
                      <w:rFonts w:hint="default" w:ascii="Times New Roman" w:hAnsi="Times New Roman" w:eastAsia="宋体" w:cs="Times New Roman"/>
                      <w:b w:val="0"/>
                      <w:bCs w:val="0"/>
                      <w:i w:val="0"/>
                      <w:iCs w:val="0"/>
                      <w:color w:val="000000"/>
                      <w:kern w:val="0"/>
                      <w:sz w:val="21"/>
                      <w:szCs w:val="21"/>
                      <w:u w:val="none"/>
                      <w:lang w:val="en-US" w:eastAsia="zh-CN" w:bidi="ar"/>
                    </w:rPr>
                    <w:t>pH</w:t>
                  </w:r>
                </w:p>
              </w:tc>
              <w:tc>
                <w:tcPr>
                  <w:tcW w:w="2715" w:type="dxa"/>
                  <w:shd w:val="clear" w:color="auto" w:fill="auto"/>
                  <w:vAlign w:val="center"/>
                </w:tcPr>
                <w:p w14:paraId="7D91DEF5">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w:t>
                  </w:r>
                </w:p>
              </w:tc>
              <w:tc>
                <w:tcPr>
                  <w:tcW w:w="2051" w:type="dxa"/>
                  <w:shd w:val="clear" w:color="auto" w:fill="auto"/>
                  <w:vAlign w:val="center"/>
                </w:tcPr>
                <w:p w14:paraId="7DA90E1E">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6</w:t>
                  </w:r>
                  <w:r>
                    <w:rPr>
                      <w:lang w:val="en-US" w:eastAsia="zh-CN" w:bidi="ar"/>
                    </w:rPr>
                    <w:t>～</w:t>
                  </w:r>
                  <w:r>
                    <w:rPr>
                      <w:rStyle w:val="211"/>
                      <w:rFonts w:eastAsia="宋体"/>
                      <w:lang w:val="en-US" w:eastAsia="zh-CN" w:bidi="ar"/>
                    </w:rPr>
                    <w:t>9</w:t>
                  </w:r>
                </w:p>
              </w:tc>
              <w:tc>
                <w:tcPr>
                  <w:tcW w:w="2051" w:type="dxa"/>
                  <w:shd w:val="clear" w:color="auto" w:fill="auto"/>
                  <w:vAlign w:val="center"/>
                </w:tcPr>
                <w:p w14:paraId="7A017527">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6</w:t>
                  </w:r>
                  <w:r>
                    <w:rPr>
                      <w:lang w:val="en-US" w:eastAsia="zh-CN" w:bidi="ar"/>
                    </w:rPr>
                    <w:t>～</w:t>
                  </w:r>
                  <w:r>
                    <w:rPr>
                      <w:rStyle w:val="211"/>
                      <w:rFonts w:eastAsia="宋体"/>
                      <w:lang w:val="en-US" w:eastAsia="zh-CN" w:bidi="ar"/>
                    </w:rPr>
                    <w:t>9</w:t>
                  </w:r>
                </w:p>
              </w:tc>
            </w:tr>
            <w:tr w14:paraId="2D9EC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2719C8CE">
                  <w:pPr>
                    <w:keepNext w:val="0"/>
                    <w:keepLines w:val="0"/>
                    <w:widowControl/>
                    <w:suppressLineNumbers w:val="0"/>
                    <w:jc w:val="center"/>
                    <w:textAlignment w:val="center"/>
                    <w:rPr>
                      <w:rFonts w:hint="eastAsia" w:ascii="Times New Roman" w:hAnsi="Times New Roman" w:eastAsia="宋体" w:cs="Times New Roman"/>
                      <w:b w:val="0"/>
                      <w:bCs w:val="0"/>
                      <w:i w:val="0"/>
                      <w:iCs w:val="0"/>
                      <w:color w:val="000000"/>
                      <w:kern w:val="2"/>
                      <w:sz w:val="21"/>
                      <w:szCs w:val="21"/>
                      <w:u w:val="none"/>
                      <w:lang w:val="en-US" w:eastAsia="zh-CN" w:bidi="ar-SA"/>
                    </w:rPr>
                  </w:pPr>
                  <w:r>
                    <w:rPr>
                      <w:rFonts w:hint="default" w:ascii="Times New Roman" w:hAnsi="Times New Roman" w:eastAsia="宋体" w:cs="Times New Roman"/>
                      <w:b w:val="0"/>
                      <w:bCs w:val="0"/>
                      <w:i w:val="0"/>
                      <w:iCs w:val="0"/>
                      <w:color w:val="000000"/>
                      <w:kern w:val="0"/>
                      <w:sz w:val="21"/>
                      <w:szCs w:val="21"/>
                      <w:u w:val="none"/>
                      <w:lang w:val="en-US" w:eastAsia="zh-CN" w:bidi="ar"/>
                    </w:rPr>
                    <w:t>COD</w:t>
                  </w:r>
                </w:p>
              </w:tc>
              <w:tc>
                <w:tcPr>
                  <w:tcW w:w="2715" w:type="dxa"/>
                  <w:shd w:val="clear" w:color="auto" w:fill="auto"/>
                  <w:vAlign w:val="center"/>
                </w:tcPr>
                <w:p w14:paraId="097D0134">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500</w:t>
                  </w:r>
                </w:p>
              </w:tc>
              <w:tc>
                <w:tcPr>
                  <w:tcW w:w="2051" w:type="dxa"/>
                  <w:shd w:val="clear" w:color="auto" w:fill="auto"/>
                  <w:vAlign w:val="center"/>
                </w:tcPr>
                <w:p w14:paraId="65D80A67">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500</w:t>
                  </w:r>
                </w:p>
              </w:tc>
              <w:tc>
                <w:tcPr>
                  <w:tcW w:w="2051" w:type="dxa"/>
                  <w:shd w:val="clear" w:color="auto" w:fill="auto"/>
                  <w:vAlign w:val="center"/>
                </w:tcPr>
                <w:p w14:paraId="0B13675F">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500</w:t>
                  </w:r>
                </w:p>
              </w:tc>
            </w:tr>
            <w:tr w14:paraId="7790C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0465D383">
                  <w:pPr>
                    <w:keepNext w:val="0"/>
                    <w:keepLines w:val="0"/>
                    <w:widowControl/>
                    <w:suppressLineNumbers w:val="0"/>
                    <w:jc w:val="center"/>
                    <w:textAlignment w:val="center"/>
                    <w:rPr>
                      <w:rFonts w:hint="eastAsia" w:ascii="Times New Roman" w:hAnsi="Times New Roman" w:eastAsia="宋体" w:cs="Times New Roman"/>
                      <w:b w:val="0"/>
                      <w:bCs w:val="0"/>
                      <w:i w:val="0"/>
                      <w:iCs w:val="0"/>
                      <w:color w:val="000000"/>
                      <w:kern w:val="2"/>
                      <w:sz w:val="21"/>
                      <w:szCs w:val="21"/>
                      <w:u w:val="none"/>
                      <w:lang w:val="en-US" w:eastAsia="zh-CN" w:bidi="ar-SA"/>
                    </w:rPr>
                  </w:pPr>
                  <w:r>
                    <w:rPr>
                      <w:rFonts w:hint="default" w:ascii="Times New Roman" w:hAnsi="Times New Roman" w:eastAsia="宋体" w:cs="Times New Roman"/>
                      <w:b w:val="0"/>
                      <w:bCs w:val="0"/>
                      <w:i w:val="0"/>
                      <w:iCs w:val="0"/>
                      <w:color w:val="000000"/>
                      <w:kern w:val="0"/>
                      <w:sz w:val="21"/>
                      <w:szCs w:val="21"/>
                      <w:u w:val="none"/>
                      <w:lang w:val="en-US" w:eastAsia="zh-CN" w:bidi="ar"/>
                    </w:rPr>
                    <w:t>BOD</w:t>
                  </w:r>
                  <w:r>
                    <w:rPr>
                      <w:rStyle w:val="212"/>
                      <w:rFonts w:eastAsia="宋体"/>
                      <w:b w:val="0"/>
                      <w:bCs w:val="0"/>
                      <w:lang w:val="en-US" w:eastAsia="zh-CN" w:bidi="ar"/>
                    </w:rPr>
                    <w:t>5</w:t>
                  </w:r>
                </w:p>
              </w:tc>
              <w:tc>
                <w:tcPr>
                  <w:tcW w:w="2715" w:type="dxa"/>
                  <w:shd w:val="clear" w:color="auto" w:fill="auto"/>
                  <w:vAlign w:val="center"/>
                </w:tcPr>
                <w:p w14:paraId="33C46F24">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150</w:t>
                  </w:r>
                </w:p>
              </w:tc>
              <w:tc>
                <w:tcPr>
                  <w:tcW w:w="2051" w:type="dxa"/>
                  <w:shd w:val="clear" w:color="auto" w:fill="auto"/>
                  <w:vAlign w:val="center"/>
                </w:tcPr>
                <w:p w14:paraId="72016468">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w:t>
                  </w:r>
                </w:p>
              </w:tc>
              <w:tc>
                <w:tcPr>
                  <w:tcW w:w="2051" w:type="dxa"/>
                  <w:shd w:val="clear" w:color="auto" w:fill="auto"/>
                  <w:vAlign w:val="center"/>
                </w:tcPr>
                <w:p w14:paraId="05CE5844">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150</w:t>
                  </w:r>
                </w:p>
              </w:tc>
            </w:tr>
            <w:tr w14:paraId="25A5F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62A9D147">
                  <w:pPr>
                    <w:keepNext w:val="0"/>
                    <w:keepLines w:val="0"/>
                    <w:widowControl/>
                    <w:suppressLineNumbers w:val="0"/>
                    <w:jc w:val="center"/>
                    <w:textAlignment w:val="center"/>
                    <w:rPr>
                      <w:rFonts w:hint="eastAsia" w:ascii="Times New Roman" w:hAnsi="Times New Roman" w:eastAsia="宋体" w:cs="Times New Roman"/>
                      <w:b w:val="0"/>
                      <w:bCs w:val="0"/>
                      <w:i w:val="0"/>
                      <w:iCs w:val="0"/>
                      <w:color w:val="000000"/>
                      <w:kern w:val="2"/>
                      <w:sz w:val="21"/>
                      <w:szCs w:val="21"/>
                      <w:u w:val="none"/>
                      <w:lang w:val="en-US" w:eastAsia="zh-CN" w:bidi="ar-SA"/>
                    </w:rPr>
                  </w:pPr>
                  <w:r>
                    <w:rPr>
                      <w:rFonts w:hint="default" w:ascii="Times New Roman" w:hAnsi="Times New Roman" w:eastAsia="宋体" w:cs="Times New Roman"/>
                      <w:b w:val="0"/>
                      <w:bCs w:val="0"/>
                      <w:i w:val="0"/>
                      <w:iCs w:val="0"/>
                      <w:color w:val="000000"/>
                      <w:kern w:val="0"/>
                      <w:sz w:val="21"/>
                      <w:szCs w:val="21"/>
                      <w:u w:val="none"/>
                      <w:lang w:val="en-US" w:eastAsia="zh-CN" w:bidi="ar"/>
                    </w:rPr>
                    <w:t>SS</w:t>
                  </w:r>
                </w:p>
              </w:tc>
              <w:tc>
                <w:tcPr>
                  <w:tcW w:w="2715" w:type="dxa"/>
                  <w:shd w:val="clear" w:color="auto" w:fill="auto"/>
                  <w:vAlign w:val="center"/>
                </w:tcPr>
                <w:p w14:paraId="5BCA5416">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240</w:t>
                  </w:r>
                </w:p>
              </w:tc>
              <w:tc>
                <w:tcPr>
                  <w:tcW w:w="0" w:type="auto"/>
                  <w:shd w:val="clear" w:color="auto" w:fill="auto"/>
                  <w:vAlign w:val="center"/>
                </w:tcPr>
                <w:p w14:paraId="4F82D38A">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400</w:t>
                  </w:r>
                </w:p>
              </w:tc>
              <w:tc>
                <w:tcPr>
                  <w:tcW w:w="0" w:type="auto"/>
                  <w:shd w:val="clear" w:color="auto" w:fill="auto"/>
                  <w:vAlign w:val="center"/>
                </w:tcPr>
                <w:p w14:paraId="29E3570F">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240</w:t>
                  </w:r>
                </w:p>
              </w:tc>
            </w:tr>
            <w:tr w14:paraId="41B8F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248CFA38">
                  <w:pPr>
                    <w:keepNext w:val="0"/>
                    <w:keepLines w:val="0"/>
                    <w:widowControl/>
                    <w:suppressLineNumbers w:val="0"/>
                    <w:jc w:val="center"/>
                    <w:textAlignment w:val="center"/>
                    <w:rPr>
                      <w:rFonts w:hint="eastAsia" w:ascii="Times New Roman" w:hAnsi="Times New Roman" w:eastAsia="宋体" w:cs="Times New Roman"/>
                      <w:b w:val="0"/>
                      <w:bCs w:val="0"/>
                      <w:i w:val="0"/>
                      <w:iCs w:val="0"/>
                      <w:color w:val="000000"/>
                      <w:kern w:val="2"/>
                      <w:sz w:val="21"/>
                      <w:szCs w:val="21"/>
                      <w:u w:val="none"/>
                      <w:lang w:val="en-US" w:eastAsia="zh-CN" w:bidi="ar-SA"/>
                    </w:rPr>
                  </w:pPr>
                  <w:r>
                    <w:rPr>
                      <w:rFonts w:hint="default" w:ascii="Times New Roman" w:hAnsi="Times New Roman" w:eastAsia="宋体" w:cs="Times New Roman"/>
                      <w:b w:val="0"/>
                      <w:bCs w:val="0"/>
                      <w:i w:val="0"/>
                      <w:iCs w:val="0"/>
                      <w:color w:val="000000"/>
                      <w:kern w:val="0"/>
                      <w:sz w:val="21"/>
                      <w:szCs w:val="21"/>
                      <w:u w:val="none"/>
                      <w:lang w:val="en-US" w:eastAsia="zh-CN" w:bidi="ar"/>
                    </w:rPr>
                    <w:t>NH</w:t>
                  </w:r>
                  <w:r>
                    <w:rPr>
                      <w:rStyle w:val="212"/>
                      <w:rFonts w:eastAsia="宋体"/>
                      <w:b w:val="0"/>
                      <w:bCs w:val="0"/>
                      <w:lang w:val="en-US" w:eastAsia="zh-CN" w:bidi="ar"/>
                    </w:rPr>
                    <w:t>3</w:t>
                  </w:r>
                  <w:r>
                    <w:rPr>
                      <w:rStyle w:val="213"/>
                      <w:rFonts w:eastAsia="宋体"/>
                      <w:b w:val="0"/>
                      <w:bCs w:val="0"/>
                      <w:lang w:val="en-US" w:eastAsia="zh-CN" w:bidi="ar"/>
                    </w:rPr>
                    <w:t>-N</w:t>
                  </w:r>
                </w:p>
              </w:tc>
              <w:tc>
                <w:tcPr>
                  <w:tcW w:w="2715" w:type="dxa"/>
                  <w:shd w:val="clear" w:color="auto" w:fill="auto"/>
                  <w:vAlign w:val="center"/>
                </w:tcPr>
                <w:p w14:paraId="7E7FBF65">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25</w:t>
                  </w:r>
                </w:p>
              </w:tc>
              <w:tc>
                <w:tcPr>
                  <w:tcW w:w="0" w:type="auto"/>
                  <w:shd w:val="clear" w:color="auto" w:fill="auto"/>
                  <w:vAlign w:val="center"/>
                </w:tcPr>
                <w:p w14:paraId="0CF4EEC3">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45</w:t>
                  </w:r>
                </w:p>
              </w:tc>
              <w:tc>
                <w:tcPr>
                  <w:tcW w:w="0" w:type="auto"/>
                  <w:shd w:val="clear" w:color="auto" w:fill="auto"/>
                  <w:vAlign w:val="center"/>
                </w:tcPr>
                <w:p w14:paraId="149F1929">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25</w:t>
                  </w:r>
                </w:p>
              </w:tc>
            </w:tr>
            <w:tr w14:paraId="7F95B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trPr>
              <w:tc>
                <w:tcPr>
                  <w:tcW w:w="1387" w:type="dxa"/>
                  <w:shd w:val="clear" w:color="auto" w:fill="auto"/>
                  <w:vAlign w:val="center"/>
                </w:tcPr>
                <w:p w14:paraId="59CB738C">
                  <w:pPr>
                    <w:keepNext w:val="0"/>
                    <w:keepLines w:val="0"/>
                    <w:widowControl/>
                    <w:suppressLineNumbers w:val="0"/>
                    <w:jc w:val="center"/>
                    <w:textAlignment w:val="center"/>
                    <w:rPr>
                      <w:rFonts w:hint="eastAsia" w:ascii="Times New Roman" w:hAnsi="Times New Roman" w:eastAsia="宋体" w:cs="Times New Roman"/>
                      <w:b w:val="0"/>
                      <w:bCs w:val="0"/>
                      <w:i w:val="0"/>
                      <w:iCs w:val="0"/>
                      <w:color w:val="000000"/>
                      <w:kern w:val="2"/>
                      <w:sz w:val="21"/>
                      <w:szCs w:val="21"/>
                      <w:u w:val="none"/>
                      <w:lang w:val="en-US" w:eastAsia="zh-CN" w:bidi="ar-SA"/>
                    </w:rPr>
                  </w:pPr>
                  <w:r>
                    <w:rPr>
                      <w:rFonts w:hint="default" w:ascii="Times New Roman" w:hAnsi="Times New Roman" w:eastAsia="宋体" w:cs="Times New Roman"/>
                      <w:b w:val="0"/>
                      <w:bCs w:val="0"/>
                      <w:i w:val="0"/>
                      <w:iCs w:val="0"/>
                      <w:color w:val="000000"/>
                      <w:kern w:val="0"/>
                      <w:sz w:val="21"/>
                      <w:szCs w:val="21"/>
                      <w:u w:val="none"/>
                      <w:lang w:val="en-US" w:eastAsia="zh-CN" w:bidi="ar"/>
                    </w:rPr>
                    <w:t>TN</w:t>
                  </w:r>
                </w:p>
              </w:tc>
              <w:tc>
                <w:tcPr>
                  <w:tcW w:w="2715" w:type="dxa"/>
                  <w:shd w:val="clear" w:color="auto" w:fill="auto"/>
                  <w:vAlign w:val="center"/>
                </w:tcPr>
                <w:p w14:paraId="19AB3FFD">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w:t>
                  </w:r>
                </w:p>
              </w:tc>
              <w:tc>
                <w:tcPr>
                  <w:tcW w:w="0" w:type="auto"/>
                  <w:shd w:val="clear" w:color="auto" w:fill="auto"/>
                  <w:vAlign w:val="center"/>
                </w:tcPr>
                <w:p w14:paraId="7293E575">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70</w:t>
                  </w:r>
                </w:p>
              </w:tc>
              <w:tc>
                <w:tcPr>
                  <w:tcW w:w="0" w:type="auto"/>
                  <w:shd w:val="clear" w:color="auto" w:fill="auto"/>
                  <w:vAlign w:val="center"/>
                </w:tcPr>
                <w:p w14:paraId="41693B2D">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70</w:t>
                  </w:r>
                </w:p>
              </w:tc>
            </w:tr>
            <w:tr w14:paraId="2B2CA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6A3BB767">
                  <w:pPr>
                    <w:keepNext w:val="0"/>
                    <w:keepLines w:val="0"/>
                    <w:widowControl/>
                    <w:suppressLineNumbers w:val="0"/>
                    <w:jc w:val="center"/>
                    <w:textAlignment w:val="center"/>
                    <w:rPr>
                      <w:rFonts w:hint="eastAsia" w:ascii="Times New Roman" w:hAnsi="Times New Roman" w:eastAsia="宋体" w:cs="Times New Roman"/>
                      <w:b w:val="0"/>
                      <w:bCs w:val="0"/>
                      <w:i w:val="0"/>
                      <w:iCs w:val="0"/>
                      <w:color w:val="000000"/>
                      <w:kern w:val="2"/>
                      <w:sz w:val="21"/>
                      <w:szCs w:val="21"/>
                      <w:u w:val="none"/>
                      <w:lang w:val="en-US" w:eastAsia="zh-CN" w:bidi="ar-SA"/>
                    </w:rPr>
                  </w:pPr>
                  <w:r>
                    <w:rPr>
                      <w:rFonts w:hint="default" w:ascii="Times New Roman" w:hAnsi="Times New Roman" w:eastAsia="宋体" w:cs="Times New Roman"/>
                      <w:b w:val="0"/>
                      <w:bCs w:val="0"/>
                      <w:i w:val="0"/>
                      <w:iCs w:val="0"/>
                      <w:color w:val="000000"/>
                      <w:kern w:val="0"/>
                      <w:sz w:val="21"/>
                      <w:szCs w:val="21"/>
                      <w:u w:val="none"/>
                      <w:lang w:val="en-US" w:eastAsia="zh-CN" w:bidi="ar"/>
                    </w:rPr>
                    <w:t>TP</w:t>
                  </w:r>
                </w:p>
              </w:tc>
              <w:tc>
                <w:tcPr>
                  <w:tcW w:w="2715" w:type="dxa"/>
                  <w:shd w:val="clear" w:color="auto" w:fill="auto"/>
                  <w:vAlign w:val="center"/>
                </w:tcPr>
                <w:p w14:paraId="0297ABF6">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w:t>
                  </w:r>
                </w:p>
              </w:tc>
              <w:tc>
                <w:tcPr>
                  <w:tcW w:w="0" w:type="auto"/>
                  <w:shd w:val="clear" w:color="auto" w:fill="auto"/>
                  <w:vAlign w:val="center"/>
                </w:tcPr>
                <w:p w14:paraId="078F8E22">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8</w:t>
                  </w:r>
                </w:p>
              </w:tc>
              <w:tc>
                <w:tcPr>
                  <w:tcW w:w="0" w:type="auto"/>
                  <w:shd w:val="clear" w:color="auto" w:fill="auto"/>
                  <w:vAlign w:val="center"/>
                </w:tcPr>
                <w:p w14:paraId="0C0EEBE4">
                  <w:pPr>
                    <w:keepNext w:val="0"/>
                    <w:keepLines w:val="0"/>
                    <w:widowControl/>
                    <w:suppressLineNumbers w:val="0"/>
                    <w:jc w:val="center"/>
                    <w:textAlignment w:val="center"/>
                    <w:rPr>
                      <w:rFonts w:hint="eastAsia"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8</w:t>
                  </w:r>
                </w:p>
              </w:tc>
            </w:tr>
            <w:tr w14:paraId="7A519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6B2A4178">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ascii="Times New Roman" w:hAnsi="Times New Roman" w:eastAsia="宋体" w:cs="Times New Roman"/>
                      <w:i w:val="0"/>
                      <w:iCs w:val="0"/>
                      <w:color w:val="FF0000"/>
                      <w:kern w:val="0"/>
                      <w:sz w:val="21"/>
                      <w:szCs w:val="21"/>
                      <w:u w:val="none"/>
                      <w:lang w:val="en-US" w:eastAsia="zh-CN" w:bidi="ar"/>
                    </w:rPr>
                    <w:t>石油类</w:t>
                  </w:r>
                </w:p>
              </w:tc>
              <w:tc>
                <w:tcPr>
                  <w:tcW w:w="2715" w:type="dxa"/>
                </w:tcPr>
                <w:p w14:paraId="0F456A8E">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c>
                <w:tcPr>
                  <w:tcW w:w="0" w:type="auto"/>
                </w:tcPr>
                <w:p w14:paraId="796103F7">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20</w:t>
                  </w:r>
                </w:p>
              </w:tc>
              <w:tc>
                <w:tcPr>
                  <w:tcW w:w="0" w:type="auto"/>
                  <w:shd w:val="clear" w:color="auto" w:fill="auto"/>
                  <w:vAlign w:val="top"/>
                </w:tcPr>
                <w:p w14:paraId="64E723B0">
                  <w:pPr>
                    <w:keepNext w:val="0"/>
                    <w:keepLines w:val="0"/>
                    <w:widowControl/>
                    <w:suppressLineNumbers w:val="0"/>
                    <w:jc w:val="center"/>
                    <w:textAlignment w:val="center"/>
                    <w:rPr>
                      <w:rFonts w:hint="eastAsia"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20</w:t>
                  </w:r>
                </w:p>
              </w:tc>
            </w:tr>
            <w:tr w14:paraId="03DEA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06E71FA6">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ascii="Times New Roman" w:hAnsi="Times New Roman" w:eastAsia="宋体" w:cs="Times New Roman"/>
                      <w:i w:val="0"/>
                      <w:iCs w:val="0"/>
                      <w:color w:val="FF0000"/>
                      <w:kern w:val="0"/>
                      <w:sz w:val="21"/>
                      <w:szCs w:val="21"/>
                      <w:u w:val="none"/>
                      <w:lang w:val="en-US" w:eastAsia="zh-CN" w:bidi="ar"/>
                    </w:rPr>
                    <w:t>总有机碳（TOC）</w:t>
                  </w:r>
                </w:p>
              </w:tc>
              <w:tc>
                <w:tcPr>
                  <w:tcW w:w="2715" w:type="dxa"/>
                  <w:vAlign w:val="center"/>
                </w:tcPr>
                <w:p w14:paraId="028421AA">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c>
                <w:tcPr>
                  <w:tcW w:w="0" w:type="auto"/>
                  <w:vAlign w:val="center"/>
                </w:tcPr>
                <w:p w14:paraId="63CA3281">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200</w:t>
                  </w:r>
                </w:p>
              </w:tc>
              <w:tc>
                <w:tcPr>
                  <w:tcW w:w="0" w:type="auto"/>
                  <w:shd w:val="clear" w:color="auto" w:fill="auto"/>
                  <w:vAlign w:val="center"/>
                </w:tcPr>
                <w:p w14:paraId="17099BFF">
                  <w:pPr>
                    <w:keepNext w:val="0"/>
                    <w:keepLines w:val="0"/>
                    <w:widowControl/>
                    <w:suppressLineNumbers w:val="0"/>
                    <w:jc w:val="center"/>
                    <w:textAlignment w:val="center"/>
                    <w:rPr>
                      <w:rFonts w:hint="eastAsia"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200</w:t>
                  </w:r>
                </w:p>
              </w:tc>
            </w:tr>
            <w:tr w14:paraId="0D2EF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083AE68E">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ascii="Times New Roman" w:hAnsi="Times New Roman" w:eastAsia="宋体" w:cs="Times New Roman"/>
                      <w:i w:val="0"/>
                      <w:iCs w:val="0"/>
                      <w:color w:val="FF0000"/>
                      <w:kern w:val="0"/>
                      <w:sz w:val="21"/>
                      <w:szCs w:val="21"/>
                      <w:u w:val="none"/>
                      <w:lang w:val="en-US" w:eastAsia="zh-CN" w:bidi="ar"/>
                    </w:rPr>
                    <w:t>LAS</w:t>
                  </w:r>
                </w:p>
              </w:tc>
              <w:tc>
                <w:tcPr>
                  <w:tcW w:w="2715" w:type="dxa"/>
                </w:tcPr>
                <w:p w14:paraId="71BDB414">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c>
                <w:tcPr>
                  <w:tcW w:w="0" w:type="auto"/>
                </w:tcPr>
                <w:p w14:paraId="146665A5">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20</w:t>
                  </w:r>
                </w:p>
              </w:tc>
              <w:tc>
                <w:tcPr>
                  <w:tcW w:w="0" w:type="auto"/>
                  <w:shd w:val="clear" w:color="auto" w:fill="auto"/>
                  <w:vAlign w:val="top"/>
                </w:tcPr>
                <w:p w14:paraId="724F9BEF">
                  <w:pPr>
                    <w:keepNext w:val="0"/>
                    <w:keepLines w:val="0"/>
                    <w:widowControl/>
                    <w:suppressLineNumbers w:val="0"/>
                    <w:jc w:val="center"/>
                    <w:textAlignment w:val="center"/>
                    <w:rPr>
                      <w:rFonts w:hint="eastAsia"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20</w:t>
                  </w:r>
                </w:p>
              </w:tc>
            </w:tr>
            <w:tr w14:paraId="7C07A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2B900DC4">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ascii="Times New Roman" w:hAnsi="Times New Roman" w:eastAsia="宋体" w:cs="Times New Roman"/>
                      <w:i w:val="0"/>
                      <w:iCs w:val="0"/>
                      <w:color w:val="FF0000"/>
                      <w:kern w:val="0"/>
                      <w:sz w:val="21"/>
                      <w:szCs w:val="21"/>
                      <w:u w:val="none"/>
                      <w:lang w:val="en-US" w:eastAsia="zh-CN" w:bidi="ar"/>
                    </w:rPr>
                    <w:t>总氰化物</w:t>
                  </w:r>
                </w:p>
              </w:tc>
              <w:tc>
                <w:tcPr>
                  <w:tcW w:w="2715" w:type="dxa"/>
                </w:tcPr>
                <w:p w14:paraId="0EE8B738">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c>
                <w:tcPr>
                  <w:tcW w:w="0" w:type="auto"/>
                </w:tcPr>
                <w:p w14:paraId="4F4E4297">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1.0</w:t>
                  </w:r>
                </w:p>
              </w:tc>
              <w:tc>
                <w:tcPr>
                  <w:tcW w:w="0" w:type="auto"/>
                  <w:shd w:val="clear" w:color="auto" w:fill="auto"/>
                  <w:vAlign w:val="top"/>
                </w:tcPr>
                <w:p w14:paraId="0C3DD629">
                  <w:pPr>
                    <w:keepNext w:val="0"/>
                    <w:keepLines w:val="0"/>
                    <w:widowControl/>
                    <w:suppressLineNumbers w:val="0"/>
                    <w:jc w:val="center"/>
                    <w:textAlignment w:val="center"/>
                    <w:rPr>
                      <w:rFonts w:hint="eastAsia"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1.0</w:t>
                  </w:r>
                </w:p>
              </w:tc>
            </w:tr>
            <w:tr w14:paraId="610B3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2C939EB8">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ascii="Times New Roman" w:hAnsi="Times New Roman" w:eastAsia="宋体" w:cs="Times New Roman"/>
                      <w:i w:val="0"/>
                      <w:iCs w:val="0"/>
                      <w:color w:val="FF0000"/>
                      <w:kern w:val="0"/>
                      <w:sz w:val="21"/>
                      <w:szCs w:val="21"/>
                      <w:u w:val="none"/>
                      <w:lang w:val="en-US" w:eastAsia="zh-CN" w:bidi="ar"/>
                    </w:rPr>
                    <w:t>硫化物</w:t>
                  </w:r>
                </w:p>
              </w:tc>
              <w:tc>
                <w:tcPr>
                  <w:tcW w:w="2715" w:type="dxa"/>
                </w:tcPr>
                <w:p w14:paraId="3F2B9D93">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c>
                <w:tcPr>
                  <w:tcW w:w="0" w:type="auto"/>
                </w:tcPr>
                <w:p w14:paraId="3A5F6B96">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c>
                <w:tcPr>
                  <w:tcW w:w="0" w:type="auto"/>
                  <w:shd w:val="clear" w:color="auto" w:fill="auto"/>
                  <w:vAlign w:val="top"/>
                </w:tcPr>
                <w:p w14:paraId="7CC5F9E6">
                  <w:pPr>
                    <w:keepNext w:val="0"/>
                    <w:keepLines w:val="0"/>
                    <w:widowControl/>
                    <w:suppressLineNumbers w:val="0"/>
                    <w:jc w:val="center"/>
                    <w:textAlignment w:val="center"/>
                    <w:rPr>
                      <w:rFonts w:hint="eastAsia"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r>
            <w:tr w14:paraId="0CEF5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38B5CB67">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氟化物</w:t>
                  </w:r>
                </w:p>
              </w:tc>
              <w:tc>
                <w:tcPr>
                  <w:tcW w:w="2715" w:type="dxa"/>
                </w:tcPr>
                <w:p w14:paraId="0BDB3007">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c>
                <w:tcPr>
                  <w:tcW w:w="0" w:type="auto"/>
                </w:tcPr>
                <w:p w14:paraId="587CFCC6">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20</w:t>
                  </w:r>
                </w:p>
              </w:tc>
              <w:tc>
                <w:tcPr>
                  <w:tcW w:w="0" w:type="auto"/>
                  <w:shd w:val="clear" w:color="auto" w:fill="auto"/>
                  <w:vAlign w:val="top"/>
                </w:tcPr>
                <w:p w14:paraId="69A0AC8A">
                  <w:pPr>
                    <w:keepNext w:val="0"/>
                    <w:keepLines w:val="0"/>
                    <w:widowControl/>
                    <w:suppressLineNumbers w:val="0"/>
                    <w:jc w:val="center"/>
                    <w:textAlignment w:val="center"/>
                    <w:rPr>
                      <w:rFonts w:hint="eastAsia"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20</w:t>
                  </w:r>
                </w:p>
              </w:tc>
            </w:tr>
            <w:tr w14:paraId="7BC78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31681014">
                  <w:pPr>
                    <w:keepNext w:val="0"/>
                    <w:keepLines w:val="0"/>
                    <w:widowControl/>
                    <w:suppressLineNumbers w:val="0"/>
                    <w:jc w:val="center"/>
                    <w:textAlignment w:val="center"/>
                    <w:rPr>
                      <w:rFonts w:hint="default"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总铜</w:t>
                  </w:r>
                </w:p>
              </w:tc>
              <w:tc>
                <w:tcPr>
                  <w:tcW w:w="2715" w:type="dxa"/>
                </w:tcPr>
                <w:p w14:paraId="445B4D9A">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c>
                <w:tcPr>
                  <w:tcW w:w="0" w:type="auto"/>
                </w:tcPr>
                <w:p w14:paraId="1B39FBE2">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2.0</w:t>
                  </w:r>
                </w:p>
              </w:tc>
              <w:tc>
                <w:tcPr>
                  <w:tcW w:w="0" w:type="auto"/>
                  <w:shd w:val="clear" w:color="auto" w:fill="auto"/>
                  <w:vAlign w:val="top"/>
                </w:tcPr>
                <w:p w14:paraId="349B2E50">
                  <w:pPr>
                    <w:keepNext w:val="0"/>
                    <w:keepLines w:val="0"/>
                    <w:widowControl/>
                    <w:suppressLineNumbers w:val="0"/>
                    <w:jc w:val="center"/>
                    <w:textAlignment w:val="center"/>
                    <w:rPr>
                      <w:rFonts w:hint="eastAsia"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2.0</w:t>
                  </w:r>
                </w:p>
              </w:tc>
            </w:tr>
            <w:tr w14:paraId="28E0F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4403E674">
                  <w:pPr>
                    <w:keepNext w:val="0"/>
                    <w:keepLines w:val="0"/>
                    <w:widowControl/>
                    <w:suppressLineNumbers w:val="0"/>
                    <w:jc w:val="center"/>
                    <w:textAlignment w:val="center"/>
                    <w:rPr>
                      <w:rFonts w:hint="default"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总锌</w:t>
                  </w:r>
                </w:p>
              </w:tc>
              <w:tc>
                <w:tcPr>
                  <w:tcW w:w="2715" w:type="dxa"/>
                </w:tcPr>
                <w:p w14:paraId="00A832BE">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c>
                <w:tcPr>
                  <w:tcW w:w="0" w:type="auto"/>
                </w:tcPr>
                <w:p w14:paraId="583AC573">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1.5</w:t>
                  </w:r>
                </w:p>
              </w:tc>
              <w:tc>
                <w:tcPr>
                  <w:tcW w:w="0" w:type="auto"/>
                  <w:shd w:val="clear" w:color="auto" w:fill="auto"/>
                  <w:vAlign w:val="top"/>
                </w:tcPr>
                <w:p w14:paraId="3B085253">
                  <w:pPr>
                    <w:keepNext w:val="0"/>
                    <w:keepLines w:val="0"/>
                    <w:widowControl/>
                    <w:suppressLineNumbers w:val="0"/>
                    <w:jc w:val="center"/>
                    <w:textAlignment w:val="center"/>
                    <w:rPr>
                      <w:rFonts w:hint="eastAsia"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1.5</w:t>
                  </w:r>
                </w:p>
              </w:tc>
            </w:tr>
            <w:tr w14:paraId="06DA6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5995791C">
                  <w:pPr>
                    <w:keepNext w:val="0"/>
                    <w:keepLines w:val="0"/>
                    <w:widowControl/>
                    <w:suppressLineNumbers w:val="0"/>
                    <w:jc w:val="center"/>
                    <w:textAlignment w:val="center"/>
                    <w:rPr>
                      <w:rFonts w:hint="default"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总铅</w:t>
                  </w:r>
                </w:p>
              </w:tc>
              <w:tc>
                <w:tcPr>
                  <w:tcW w:w="2715" w:type="dxa"/>
                </w:tcPr>
                <w:p w14:paraId="1D7E85ED">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c>
                <w:tcPr>
                  <w:tcW w:w="0" w:type="auto"/>
                </w:tcPr>
                <w:p w14:paraId="1572FAF6">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0.2</w:t>
                  </w:r>
                </w:p>
              </w:tc>
              <w:tc>
                <w:tcPr>
                  <w:tcW w:w="0" w:type="auto"/>
                  <w:shd w:val="clear" w:color="auto" w:fill="auto"/>
                  <w:vAlign w:val="top"/>
                </w:tcPr>
                <w:p w14:paraId="012BB634">
                  <w:pPr>
                    <w:keepNext w:val="0"/>
                    <w:keepLines w:val="0"/>
                    <w:widowControl/>
                    <w:suppressLineNumbers w:val="0"/>
                    <w:jc w:val="center"/>
                    <w:textAlignment w:val="center"/>
                    <w:rPr>
                      <w:rFonts w:hint="eastAsia"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0.2</w:t>
                  </w:r>
                </w:p>
              </w:tc>
            </w:tr>
            <w:tr w14:paraId="52568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7A02F31E">
                  <w:pPr>
                    <w:keepNext w:val="0"/>
                    <w:keepLines w:val="0"/>
                    <w:widowControl/>
                    <w:suppressLineNumbers w:val="0"/>
                    <w:jc w:val="center"/>
                    <w:textAlignment w:val="center"/>
                    <w:rPr>
                      <w:rFonts w:hint="default"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总镉</w:t>
                  </w:r>
                </w:p>
              </w:tc>
              <w:tc>
                <w:tcPr>
                  <w:tcW w:w="2715" w:type="dxa"/>
                </w:tcPr>
                <w:p w14:paraId="35D679D9">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c>
                <w:tcPr>
                  <w:tcW w:w="0" w:type="auto"/>
                </w:tcPr>
                <w:p w14:paraId="4997F460">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c>
                <w:tcPr>
                  <w:tcW w:w="0" w:type="auto"/>
                  <w:shd w:val="clear" w:color="auto" w:fill="auto"/>
                  <w:vAlign w:val="top"/>
                </w:tcPr>
                <w:p w14:paraId="4F2CE692">
                  <w:pPr>
                    <w:keepNext w:val="0"/>
                    <w:keepLines w:val="0"/>
                    <w:widowControl/>
                    <w:suppressLineNumbers w:val="0"/>
                    <w:jc w:val="center"/>
                    <w:textAlignment w:val="center"/>
                    <w:rPr>
                      <w:rFonts w:hint="eastAsia"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r>
            <w:tr w14:paraId="02ACB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4A4BEE77">
                  <w:pPr>
                    <w:keepNext w:val="0"/>
                    <w:keepLines w:val="0"/>
                    <w:widowControl/>
                    <w:suppressLineNumbers w:val="0"/>
                    <w:jc w:val="center"/>
                    <w:textAlignment w:val="center"/>
                    <w:rPr>
                      <w:rFonts w:hint="default"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总铬</w:t>
                  </w:r>
                </w:p>
              </w:tc>
              <w:tc>
                <w:tcPr>
                  <w:tcW w:w="2715" w:type="dxa"/>
                </w:tcPr>
                <w:p w14:paraId="412A9490">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c>
                <w:tcPr>
                  <w:tcW w:w="0" w:type="auto"/>
                </w:tcPr>
                <w:p w14:paraId="3B85E879">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c>
                <w:tcPr>
                  <w:tcW w:w="0" w:type="auto"/>
                  <w:shd w:val="clear" w:color="auto" w:fill="auto"/>
                  <w:vAlign w:val="top"/>
                </w:tcPr>
                <w:p w14:paraId="15231681">
                  <w:pPr>
                    <w:keepNext w:val="0"/>
                    <w:keepLines w:val="0"/>
                    <w:widowControl/>
                    <w:suppressLineNumbers w:val="0"/>
                    <w:jc w:val="center"/>
                    <w:textAlignment w:val="center"/>
                    <w:rPr>
                      <w:rFonts w:hint="eastAsia"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r>
            <w:tr w14:paraId="1960F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57CDE26E">
                  <w:pPr>
                    <w:keepNext w:val="0"/>
                    <w:keepLines w:val="0"/>
                    <w:widowControl/>
                    <w:suppressLineNumbers w:val="0"/>
                    <w:jc w:val="center"/>
                    <w:textAlignment w:val="center"/>
                    <w:rPr>
                      <w:rFonts w:hint="default"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六价铬</w:t>
                  </w:r>
                </w:p>
              </w:tc>
              <w:tc>
                <w:tcPr>
                  <w:tcW w:w="2715" w:type="dxa"/>
                </w:tcPr>
                <w:p w14:paraId="4199147A">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c>
                <w:tcPr>
                  <w:tcW w:w="0" w:type="auto"/>
                </w:tcPr>
                <w:p w14:paraId="3E815FD7">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c>
                <w:tcPr>
                  <w:tcW w:w="0" w:type="auto"/>
                  <w:shd w:val="clear" w:color="auto" w:fill="auto"/>
                  <w:vAlign w:val="top"/>
                </w:tcPr>
                <w:p w14:paraId="6D527D89">
                  <w:pPr>
                    <w:keepNext w:val="0"/>
                    <w:keepLines w:val="0"/>
                    <w:widowControl/>
                    <w:suppressLineNumbers w:val="0"/>
                    <w:jc w:val="center"/>
                    <w:textAlignment w:val="center"/>
                    <w:rPr>
                      <w:rFonts w:hint="eastAsia"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r>
            <w:tr w14:paraId="089BE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55C05E21">
                  <w:pPr>
                    <w:keepNext w:val="0"/>
                    <w:keepLines w:val="0"/>
                    <w:widowControl/>
                    <w:suppressLineNumbers w:val="0"/>
                    <w:jc w:val="center"/>
                    <w:textAlignment w:val="center"/>
                    <w:rPr>
                      <w:rFonts w:hint="default"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总砷</w:t>
                  </w:r>
                </w:p>
              </w:tc>
              <w:tc>
                <w:tcPr>
                  <w:tcW w:w="2715" w:type="dxa"/>
                </w:tcPr>
                <w:p w14:paraId="1C9F5594">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c>
                <w:tcPr>
                  <w:tcW w:w="0" w:type="auto"/>
                </w:tcPr>
                <w:p w14:paraId="56198059">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0.5</w:t>
                  </w:r>
                </w:p>
              </w:tc>
              <w:tc>
                <w:tcPr>
                  <w:tcW w:w="0" w:type="auto"/>
                  <w:shd w:val="clear" w:color="auto" w:fill="auto"/>
                  <w:vAlign w:val="top"/>
                </w:tcPr>
                <w:p w14:paraId="6E7348C8">
                  <w:pPr>
                    <w:keepNext w:val="0"/>
                    <w:keepLines w:val="0"/>
                    <w:widowControl/>
                    <w:suppressLineNumbers w:val="0"/>
                    <w:jc w:val="center"/>
                    <w:textAlignment w:val="center"/>
                    <w:rPr>
                      <w:rFonts w:hint="eastAsia"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0.5</w:t>
                  </w:r>
                </w:p>
              </w:tc>
            </w:tr>
            <w:tr w14:paraId="5BB1F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6389A4BC">
                  <w:pPr>
                    <w:keepNext w:val="0"/>
                    <w:keepLines w:val="0"/>
                    <w:widowControl/>
                    <w:suppressLineNumbers w:val="0"/>
                    <w:jc w:val="center"/>
                    <w:textAlignment w:val="center"/>
                    <w:rPr>
                      <w:rFonts w:hint="default"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总镍</w:t>
                  </w:r>
                </w:p>
              </w:tc>
              <w:tc>
                <w:tcPr>
                  <w:tcW w:w="2715" w:type="dxa"/>
                </w:tcPr>
                <w:p w14:paraId="3CBE7108">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c>
                <w:tcPr>
                  <w:tcW w:w="0" w:type="auto"/>
                </w:tcPr>
                <w:p w14:paraId="41B310D8">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0.5</w:t>
                  </w:r>
                </w:p>
              </w:tc>
              <w:tc>
                <w:tcPr>
                  <w:tcW w:w="0" w:type="auto"/>
                  <w:shd w:val="clear" w:color="auto" w:fill="auto"/>
                  <w:vAlign w:val="top"/>
                </w:tcPr>
                <w:p w14:paraId="75850D6E">
                  <w:pPr>
                    <w:keepNext w:val="0"/>
                    <w:keepLines w:val="0"/>
                    <w:widowControl/>
                    <w:suppressLineNumbers w:val="0"/>
                    <w:jc w:val="center"/>
                    <w:textAlignment w:val="center"/>
                    <w:rPr>
                      <w:rFonts w:hint="eastAsia"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0.5</w:t>
                  </w:r>
                </w:p>
              </w:tc>
            </w:tr>
            <w:tr w14:paraId="0B0AD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7" w:type="dxa"/>
                  <w:shd w:val="clear" w:color="auto" w:fill="auto"/>
                  <w:vAlign w:val="center"/>
                </w:tcPr>
                <w:p w14:paraId="7A4384F8">
                  <w:pPr>
                    <w:keepNext w:val="0"/>
                    <w:keepLines w:val="0"/>
                    <w:widowControl/>
                    <w:suppressLineNumbers w:val="0"/>
                    <w:jc w:val="center"/>
                    <w:textAlignment w:val="center"/>
                    <w:rPr>
                      <w:rFonts w:hint="default"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总银</w:t>
                  </w:r>
                </w:p>
              </w:tc>
              <w:tc>
                <w:tcPr>
                  <w:tcW w:w="2715" w:type="dxa"/>
                </w:tcPr>
                <w:p w14:paraId="0FD84A57">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w:t>
                  </w:r>
                </w:p>
              </w:tc>
              <w:tc>
                <w:tcPr>
                  <w:tcW w:w="0" w:type="auto"/>
                </w:tcPr>
                <w:p w14:paraId="03C030B7">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0.3</w:t>
                  </w:r>
                </w:p>
              </w:tc>
              <w:tc>
                <w:tcPr>
                  <w:tcW w:w="0" w:type="auto"/>
                  <w:shd w:val="clear" w:color="auto" w:fill="auto"/>
                  <w:vAlign w:val="top"/>
                </w:tcPr>
                <w:p w14:paraId="3B739039">
                  <w:pPr>
                    <w:keepNext w:val="0"/>
                    <w:keepLines w:val="0"/>
                    <w:widowControl/>
                    <w:suppressLineNumbers w:val="0"/>
                    <w:jc w:val="center"/>
                    <w:textAlignment w:val="center"/>
                    <w:rPr>
                      <w:rFonts w:hint="eastAsia" w:ascii="Times New Roman" w:hAnsi="Times New Roman" w:eastAsia="宋体" w:cs="Times New Roman"/>
                      <w:i w:val="0"/>
                      <w:iCs w:val="0"/>
                      <w:color w:val="FF0000"/>
                      <w:kern w:val="0"/>
                      <w:sz w:val="21"/>
                      <w:szCs w:val="21"/>
                      <w:u w:val="none"/>
                      <w:lang w:val="en-US" w:eastAsia="zh-CN" w:bidi="ar"/>
                    </w:rPr>
                  </w:pPr>
                  <w:r>
                    <w:rPr>
                      <w:rFonts w:hint="eastAsia" w:cs="Times New Roman"/>
                      <w:i w:val="0"/>
                      <w:iCs w:val="0"/>
                      <w:color w:val="FF0000"/>
                      <w:kern w:val="0"/>
                      <w:sz w:val="21"/>
                      <w:szCs w:val="21"/>
                      <w:u w:val="none"/>
                      <w:lang w:val="en-US" w:eastAsia="zh-CN" w:bidi="ar"/>
                    </w:rPr>
                    <w:t>0.3</w:t>
                  </w:r>
                </w:p>
              </w:tc>
            </w:tr>
          </w:tbl>
          <w:p w14:paraId="6A0C3C37">
            <w:pPr>
              <w:pStyle w:val="51"/>
              <w:keepNext w:val="0"/>
              <w:keepLines w:val="0"/>
              <w:pageBreakBefore w:val="0"/>
              <w:widowControl w:val="0"/>
              <w:kinsoku/>
              <w:wordWrap/>
              <w:overflowPunct/>
              <w:topLinePunct w:val="0"/>
              <w:autoSpaceDE/>
              <w:autoSpaceDN/>
              <w:bidi w:val="0"/>
              <w:adjustRightInd w:val="0"/>
              <w:snapToGrid w:val="0"/>
              <w:spacing w:before="157" w:beforeLines="50"/>
              <w:ind w:firstLine="482"/>
              <w:textAlignment w:val="auto"/>
              <w:rPr>
                <w:b/>
                <w:bCs/>
              </w:rPr>
            </w:pPr>
            <w:r>
              <w:rPr>
                <w:rFonts w:hint="eastAsia"/>
                <w:b/>
                <w:bCs/>
              </w:rPr>
              <w:t>3、噪声排标准</w:t>
            </w:r>
          </w:p>
          <w:p w14:paraId="4F3B2C5E">
            <w:pPr>
              <w:pStyle w:val="51"/>
              <w:ind w:firstLine="480"/>
            </w:pPr>
            <w:r>
              <w:rPr>
                <w:rFonts w:hint="eastAsia"/>
              </w:rPr>
              <w:t xml:space="preserve">营运期厂界噪声执行《工业企业厂界环境噪声排放标准》（GB12348-2008）中3类标准。 </w:t>
            </w:r>
          </w:p>
          <w:p w14:paraId="1D23D97C">
            <w:pPr>
              <w:pStyle w:val="52"/>
              <w:spacing w:before="0" w:beforeLines="0"/>
            </w:pPr>
            <w:r>
              <w:rPr>
                <w:rFonts w:hint="eastAsia"/>
              </w:rPr>
              <w:t>表3</w:t>
            </w:r>
            <w:r>
              <w:rPr>
                <w:rFonts w:hint="eastAsia"/>
                <w:lang w:val="en-US" w:eastAsia="zh-CN"/>
              </w:rPr>
              <w:t>-9</w:t>
            </w:r>
            <w:r>
              <w:t xml:space="preserve">  </w:t>
            </w:r>
            <w:r>
              <w:rPr>
                <w:rFonts w:hint="eastAsia"/>
              </w:rPr>
              <w:t xml:space="preserve">噪声排放执行标准 </w:t>
            </w:r>
            <w:r>
              <w:t xml:space="preserve"> </w:t>
            </w:r>
            <w:r>
              <w:rPr>
                <w:rFonts w:hint="eastAsia"/>
              </w:rPr>
              <w:t>单位：dB(A)</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1096"/>
              <w:gridCol w:w="3810"/>
              <w:gridCol w:w="823"/>
              <w:gridCol w:w="823"/>
              <w:gridCol w:w="818"/>
            </w:tblGrid>
            <w:tr w14:paraId="5FB65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2" w:type="pct"/>
                  <w:vAlign w:val="center"/>
                </w:tcPr>
                <w:p w14:paraId="3AA5E1F6">
                  <w:pPr>
                    <w:pStyle w:val="51"/>
                    <w:spacing w:line="240" w:lineRule="auto"/>
                    <w:ind w:firstLine="0" w:firstLineChars="0"/>
                    <w:jc w:val="center"/>
                    <w:rPr>
                      <w:b/>
                      <w:bCs/>
                      <w:sz w:val="21"/>
                      <w:szCs w:val="21"/>
                    </w:rPr>
                  </w:pPr>
                  <w:r>
                    <w:rPr>
                      <w:b/>
                      <w:bCs/>
                      <w:sz w:val="21"/>
                      <w:szCs w:val="21"/>
                    </w:rPr>
                    <w:t>种类</w:t>
                  </w:r>
                </w:p>
              </w:tc>
              <w:tc>
                <w:tcPr>
                  <w:tcW w:w="668" w:type="pct"/>
                  <w:vAlign w:val="center"/>
                </w:tcPr>
                <w:p w14:paraId="08DA5F88">
                  <w:pPr>
                    <w:pStyle w:val="51"/>
                    <w:spacing w:line="240" w:lineRule="auto"/>
                    <w:ind w:firstLine="0" w:firstLineChars="0"/>
                    <w:jc w:val="center"/>
                    <w:rPr>
                      <w:b/>
                      <w:bCs/>
                      <w:sz w:val="21"/>
                      <w:szCs w:val="21"/>
                    </w:rPr>
                  </w:pPr>
                  <w:r>
                    <w:rPr>
                      <w:b/>
                      <w:bCs/>
                      <w:sz w:val="21"/>
                      <w:szCs w:val="21"/>
                    </w:rPr>
                    <w:t>时段</w:t>
                  </w:r>
                </w:p>
              </w:tc>
              <w:tc>
                <w:tcPr>
                  <w:tcW w:w="2324" w:type="pct"/>
                  <w:vAlign w:val="center"/>
                </w:tcPr>
                <w:p w14:paraId="3C8F8A9F">
                  <w:pPr>
                    <w:pStyle w:val="51"/>
                    <w:spacing w:line="240" w:lineRule="auto"/>
                    <w:ind w:firstLine="0" w:firstLineChars="0"/>
                    <w:jc w:val="center"/>
                    <w:rPr>
                      <w:b/>
                      <w:bCs/>
                      <w:sz w:val="21"/>
                      <w:szCs w:val="21"/>
                    </w:rPr>
                  </w:pPr>
                  <w:r>
                    <w:rPr>
                      <w:b/>
                      <w:bCs/>
                      <w:sz w:val="21"/>
                      <w:szCs w:val="21"/>
                    </w:rPr>
                    <w:t>执行标准</w:t>
                  </w:r>
                </w:p>
              </w:tc>
              <w:tc>
                <w:tcPr>
                  <w:tcW w:w="502" w:type="pct"/>
                  <w:vAlign w:val="center"/>
                </w:tcPr>
                <w:p w14:paraId="69C5C1A9">
                  <w:pPr>
                    <w:pStyle w:val="51"/>
                    <w:spacing w:line="240" w:lineRule="auto"/>
                    <w:ind w:firstLine="0" w:firstLineChars="0"/>
                    <w:jc w:val="center"/>
                    <w:rPr>
                      <w:b/>
                      <w:bCs/>
                      <w:sz w:val="21"/>
                      <w:szCs w:val="21"/>
                    </w:rPr>
                  </w:pPr>
                  <w:r>
                    <w:rPr>
                      <w:b/>
                      <w:bCs/>
                      <w:sz w:val="21"/>
                      <w:szCs w:val="21"/>
                    </w:rPr>
                    <w:t>级别</w:t>
                  </w:r>
                </w:p>
              </w:tc>
              <w:tc>
                <w:tcPr>
                  <w:tcW w:w="502" w:type="pct"/>
                  <w:vAlign w:val="center"/>
                </w:tcPr>
                <w:p w14:paraId="62A370AC">
                  <w:pPr>
                    <w:pStyle w:val="51"/>
                    <w:spacing w:line="240" w:lineRule="auto"/>
                    <w:ind w:firstLine="0" w:firstLineChars="0"/>
                    <w:jc w:val="center"/>
                    <w:rPr>
                      <w:b/>
                      <w:bCs/>
                      <w:sz w:val="21"/>
                      <w:szCs w:val="21"/>
                    </w:rPr>
                  </w:pPr>
                  <w:r>
                    <w:rPr>
                      <w:b/>
                      <w:bCs/>
                      <w:sz w:val="21"/>
                      <w:szCs w:val="21"/>
                    </w:rPr>
                    <w:t>昼间</w:t>
                  </w:r>
                </w:p>
              </w:tc>
              <w:tc>
                <w:tcPr>
                  <w:tcW w:w="499" w:type="pct"/>
                  <w:vAlign w:val="center"/>
                </w:tcPr>
                <w:p w14:paraId="33264F20">
                  <w:pPr>
                    <w:pStyle w:val="51"/>
                    <w:spacing w:line="240" w:lineRule="auto"/>
                    <w:ind w:firstLine="0" w:firstLineChars="0"/>
                    <w:jc w:val="center"/>
                    <w:rPr>
                      <w:b/>
                      <w:bCs/>
                      <w:sz w:val="21"/>
                      <w:szCs w:val="21"/>
                    </w:rPr>
                  </w:pPr>
                  <w:r>
                    <w:rPr>
                      <w:b/>
                      <w:bCs/>
                      <w:sz w:val="21"/>
                      <w:szCs w:val="21"/>
                    </w:rPr>
                    <w:t>夜间</w:t>
                  </w:r>
                </w:p>
              </w:tc>
            </w:tr>
            <w:tr w14:paraId="74D30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2" w:type="pct"/>
                  <w:vAlign w:val="center"/>
                </w:tcPr>
                <w:p w14:paraId="44E2575C">
                  <w:pPr>
                    <w:pStyle w:val="51"/>
                    <w:spacing w:line="240" w:lineRule="auto"/>
                    <w:ind w:firstLine="0" w:firstLineChars="0"/>
                    <w:jc w:val="center"/>
                    <w:rPr>
                      <w:rFonts w:hint="eastAsia" w:eastAsia="宋体"/>
                      <w:sz w:val="21"/>
                      <w:szCs w:val="21"/>
                      <w:lang w:val="en-US" w:eastAsia="zh-CN"/>
                    </w:rPr>
                  </w:pPr>
                  <w:r>
                    <w:rPr>
                      <w:rFonts w:hint="eastAsia"/>
                      <w:sz w:val="21"/>
                      <w:szCs w:val="21"/>
                      <w:lang w:val="en-US" w:eastAsia="zh-CN"/>
                    </w:rPr>
                    <w:t>噪声</w:t>
                  </w:r>
                </w:p>
              </w:tc>
              <w:tc>
                <w:tcPr>
                  <w:tcW w:w="668" w:type="pct"/>
                  <w:vAlign w:val="center"/>
                </w:tcPr>
                <w:p w14:paraId="3A3E2FE0">
                  <w:pPr>
                    <w:pStyle w:val="51"/>
                    <w:spacing w:line="240" w:lineRule="auto"/>
                    <w:ind w:firstLine="0" w:firstLineChars="0"/>
                    <w:jc w:val="center"/>
                    <w:rPr>
                      <w:sz w:val="21"/>
                      <w:szCs w:val="21"/>
                    </w:rPr>
                  </w:pPr>
                  <w:r>
                    <w:rPr>
                      <w:sz w:val="21"/>
                      <w:szCs w:val="21"/>
                    </w:rPr>
                    <w:t>运营期</w:t>
                  </w:r>
                </w:p>
              </w:tc>
              <w:tc>
                <w:tcPr>
                  <w:tcW w:w="2324" w:type="pct"/>
                  <w:vAlign w:val="center"/>
                </w:tcPr>
                <w:p w14:paraId="7EBF7AD7">
                  <w:pPr>
                    <w:pStyle w:val="51"/>
                    <w:spacing w:line="240" w:lineRule="auto"/>
                    <w:ind w:firstLine="0" w:firstLineChars="0"/>
                    <w:jc w:val="center"/>
                    <w:rPr>
                      <w:sz w:val="21"/>
                      <w:szCs w:val="21"/>
                    </w:rPr>
                  </w:pPr>
                  <w:r>
                    <w:rPr>
                      <w:sz w:val="21"/>
                      <w:szCs w:val="21"/>
                    </w:rPr>
                    <w:t>《工业企业厂界环境噪声排放标准》（GB12348-2008）</w:t>
                  </w:r>
                </w:p>
              </w:tc>
              <w:tc>
                <w:tcPr>
                  <w:tcW w:w="502" w:type="pct"/>
                  <w:vAlign w:val="center"/>
                </w:tcPr>
                <w:p w14:paraId="12D87B7A">
                  <w:pPr>
                    <w:pStyle w:val="51"/>
                    <w:spacing w:line="240" w:lineRule="auto"/>
                    <w:ind w:firstLine="0" w:firstLineChars="0"/>
                    <w:jc w:val="center"/>
                    <w:rPr>
                      <w:sz w:val="21"/>
                      <w:szCs w:val="21"/>
                    </w:rPr>
                  </w:pPr>
                  <w:r>
                    <w:rPr>
                      <w:sz w:val="21"/>
                      <w:szCs w:val="21"/>
                    </w:rPr>
                    <w:t>3类</w:t>
                  </w:r>
                </w:p>
              </w:tc>
              <w:tc>
                <w:tcPr>
                  <w:tcW w:w="502" w:type="pct"/>
                  <w:vAlign w:val="center"/>
                </w:tcPr>
                <w:p w14:paraId="1605A40E">
                  <w:pPr>
                    <w:pStyle w:val="51"/>
                    <w:spacing w:line="240" w:lineRule="auto"/>
                    <w:ind w:firstLine="0" w:firstLineChars="0"/>
                    <w:jc w:val="center"/>
                    <w:rPr>
                      <w:sz w:val="21"/>
                      <w:szCs w:val="21"/>
                    </w:rPr>
                  </w:pPr>
                  <w:r>
                    <w:rPr>
                      <w:sz w:val="21"/>
                      <w:szCs w:val="21"/>
                    </w:rPr>
                    <w:t>65</w:t>
                  </w:r>
                </w:p>
              </w:tc>
              <w:tc>
                <w:tcPr>
                  <w:tcW w:w="499" w:type="pct"/>
                  <w:vAlign w:val="center"/>
                </w:tcPr>
                <w:p w14:paraId="7173716B">
                  <w:pPr>
                    <w:pStyle w:val="51"/>
                    <w:spacing w:line="240" w:lineRule="auto"/>
                    <w:ind w:firstLine="0" w:firstLineChars="0"/>
                    <w:jc w:val="center"/>
                    <w:rPr>
                      <w:sz w:val="21"/>
                      <w:szCs w:val="21"/>
                    </w:rPr>
                  </w:pPr>
                  <w:r>
                    <w:rPr>
                      <w:sz w:val="21"/>
                      <w:szCs w:val="21"/>
                    </w:rPr>
                    <w:t>55</w:t>
                  </w:r>
                </w:p>
              </w:tc>
            </w:tr>
          </w:tbl>
          <w:p w14:paraId="28C71E0A">
            <w:pPr>
              <w:pStyle w:val="51"/>
              <w:ind w:firstLine="482"/>
              <w:rPr>
                <w:b/>
                <w:bCs/>
              </w:rPr>
            </w:pPr>
            <w:r>
              <w:rPr>
                <w:rFonts w:hint="eastAsia"/>
                <w:b/>
                <w:bCs/>
              </w:rPr>
              <w:t>4、固体废物</w:t>
            </w:r>
          </w:p>
          <w:p w14:paraId="2E83460A">
            <w:pPr>
              <w:pStyle w:val="51"/>
              <w:ind w:firstLine="480"/>
            </w:pPr>
            <w:r>
              <w:rPr>
                <w:rFonts w:hint="eastAsia"/>
              </w:rPr>
              <w:t>一般工业固废贮存参照执行《一般工业固体废物贮存和填埋污染控制标准》（GB 18599-2020）要求；</w:t>
            </w:r>
          </w:p>
          <w:p w14:paraId="029A8AE2">
            <w:pPr>
              <w:pStyle w:val="51"/>
              <w:ind w:firstLine="480"/>
            </w:pPr>
            <w:r>
              <w:rPr>
                <w:rFonts w:hint="eastAsia"/>
              </w:rPr>
              <w:t>危险废物按《国家危险废物名录》、《危险废物鉴别标准》、《危险废物贮存污染物控制标准》(GB18597-20</w:t>
            </w:r>
            <w:r>
              <w:t>23</w:t>
            </w:r>
            <w:r>
              <w:rPr>
                <w:rFonts w:hint="eastAsia"/>
              </w:rPr>
              <w:t>)进行识别、贮存和管理。</w:t>
            </w:r>
          </w:p>
        </w:tc>
      </w:tr>
      <w:tr w14:paraId="732230A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3" w:type="dxa"/>
            <w:vAlign w:val="center"/>
          </w:tcPr>
          <w:p w14:paraId="7CB2531C">
            <w:pPr>
              <w:adjustRightInd w:val="0"/>
              <w:snapToGrid w:val="0"/>
              <w:jc w:val="center"/>
              <w:rPr>
                <w:rFonts w:hint="eastAsia" w:ascii="宋体" w:hAnsi="宋体" w:cs="宋体"/>
                <w:kern w:val="0"/>
                <w:sz w:val="24"/>
              </w:rPr>
            </w:pPr>
            <w:r>
              <w:rPr>
                <w:rFonts w:hint="eastAsia" w:ascii="宋体" w:hAnsi="宋体" w:cs="宋体"/>
                <w:kern w:val="0"/>
                <w:sz w:val="24"/>
              </w:rPr>
              <w:t>总量</w:t>
            </w:r>
          </w:p>
          <w:p w14:paraId="602B5DDE">
            <w:pPr>
              <w:adjustRightInd w:val="0"/>
              <w:snapToGrid w:val="0"/>
              <w:jc w:val="center"/>
              <w:rPr>
                <w:rFonts w:hint="eastAsia" w:ascii="宋体" w:hAnsi="宋体" w:cs="宋体"/>
                <w:kern w:val="0"/>
                <w:sz w:val="24"/>
              </w:rPr>
            </w:pPr>
            <w:r>
              <w:rPr>
                <w:rFonts w:hint="eastAsia" w:ascii="宋体" w:hAnsi="宋体" w:cs="宋体"/>
                <w:kern w:val="0"/>
                <w:sz w:val="24"/>
              </w:rPr>
              <w:t>控制</w:t>
            </w:r>
          </w:p>
          <w:p w14:paraId="7ABD01DC">
            <w:pPr>
              <w:adjustRightInd w:val="0"/>
              <w:snapToGrid w:val="0"/>
              <w:jc w:val="center"/>
              <w:rPr>
                <w:rFonts w:hint="eastAsia" w:ascii="宋体" w:hAnsi="宋体" w:cs="宋体"/>
                <w:kern w:val="0"/>
                <w:szCs w:val="21"/>
              </w:rPr>
            </w:pPr>
            <w:r>
              <w:rPr>
                <w:rFonts w:hint="eastAsia" w:ascii="宋体" w:hAnsi="宋体" w:cs="宋体"/>
                <w:kern w:val="0"/>
                <w:sz w:val="24"/>
              </w:rPr>
              <w:t>指标</w:t>
            </w:r>
          </w:p>
        </w:tc>
        <w:tc>
          <w:tcPr>
            <w:tcW w:w="8420" w:type="dxa"/>
            <w:vAlign w:val="center"/>
          </w:tcPr>
          <w:p w14:paraId="42EE98A2">
            <w:pPr>
              <w:pStyle w:val="51"/>
              <w:ind w:firstLine="480"/>
            </w:pPr>
          </w:p>
          <w:p w14:paraId="3A0844A7">
            <w:pPr>
              <w:pStyle w:val="51"/>
              <w:ind w:firstLine="480"/>
            </w:pPr>
          </w:p>
          <w:p w14:paraId="1A12954D">
            <w:pPr>
              <w:pStyle w:val="51"/>
              <w:ind w:firstLine="480"/>
            </w:pPr>
          </w:p>
          <w:p w14:paraId="717525CE">
            <w:pPr>
              <w:pStyle w:val="51"/>
              <w:rPr>
                <w:color w:val="auto"/>
              </w:rPr>
            </w:pPr>
            <w:r>
              <w:rPr>
                <w:rFonts w:hint="eastAsia"/>
                <w:color w:val="auto"/>
              </w:rPr>
              <w:t>根据国家的主要污染物总量控制规划，水污染物控制因子为COD和NH</w:t>
            </w:r>
            <w:r>
              <w:rPr>
                <w:rFonts w:hint="eastAsia"/>
                <w:color w:val="auto"/>
                <w:vertAlign w:val="subscript"/>
              </w:rPr>
              <w:t>3</w:t>
            </w:r>
            <w:r>
              <w:rPr>
                <w:rFonts w:hint="eastAsia"/>
                <w:color w:val="auto"/>
              </w:rPr>
              <w:t>-N，大气污染物总量控制因子为颗粒物、SO</w:t>
            </w:r>
            <w:r>
              <w:rPr>
                <w:rFonts w:hint="eastAsia"/>
                <w:color w:val="auto"/>
                <w:vertAlign w:val="subscript"/>
              </w:rPr>
              <w:t>2</w:t>
            </w:r>
            <w:r>
              <w:rPr>
                <w:rFonts w:hint="eastAsia"/>
                <w:color w:val="auto"/>
              </w:rPr>
              <w:t>、NO</w:t>
            </w:r>
            <w:r>
              <w:rPr>
                <w:color w:val="auto"/>
              </w:rPr>
              <w:t>x</w:t>
            </w:r>
            <w:r>
              <w:rPr>
                <w:rFonts w:hint="eastAsia"/>
                <w:color w:val="auto"/>
              </w:rPr>
              <w:t>和VOC</w:t>
            </w:r>
            <w:r>
              <w:rPr>
                <w:color w:val="auto"/>
              </w:rPr>
              <w:t>s</w:t>
            </w:r>
            <w:r>
              <w:rPr>
                <w:rFonts w:hint="eastAsia"/>
                <w:color w:val="auto"/>
              </w:rPr>
              <w:t>（以非甲烷总烃计）等。根据工程分析可知，本项目排放污染物主要为化学需氧量（COD）、氨氮（NH</w:t>
            </w:r>
            <w:r>
              <w:rPr>
                <w:rFonts w:hint="eastAsia"/>
                <w:color w:val="auto"/>
                <w:vertAlign w:val="subscript"/>
              </w:rPr>
              <w:t>3</w:t>
            </w:r>
            <w:r>
              <w:rPr>
                <w:rFonts w:hint="eastAsia"/>
                <w:color w:val="auto"/>
              </w:rPr>
              <w:t>-N）、颗粒物、VOC</w:t>
            </w:r>
            <w:r>
              <w:rPr>
                <w:color w:val="auto"/>
              </w:rPr>
              <w:t>s</w:t>
            </w:r>
            <w:r>
              <w:rPr>
                <w:rFonts w:hint="eastAsia"/>
                <w:color w:val="auto"/>
              </w:rPr>
              <w:t>。</w:t>
            </w:r>
          </w:p>
          <w:p w14:paraId="3638360A">
            <w:pPr>
              <w:pStyle w:val="51"/>
              <w:rPr>
                <w:color w:val="auto"/>
              </w:rPr>
            </w:pPr>
            <w:r>
              <w:rPr>
                <w:rFonts w:hint="eastAsia"/>
                <w:color w:val="auto"/>
              </w:rPr>
              <w:t>废水：本项无生产废水，生活污水</w:t>
            </w:r>
            <w:r>
              <w:rPr>
                <w:rFonts w:hint="eastAsia"/>
                <w:bCs/>
                <w:color w:val="auto"/>
              </w:rPr>
              <w:t>经预处理后排入皖江江南新兴产业集中区第一污水处理厂统一处理，</w:t>
            </w:r>
            <w:r>
              <w:rPr>
                <w:color w:val="auto"/>
              </w:rPr>
              <w:t>废水中COD和NH</w:t>
            </w:r>
            <w:r>
              <w:rPr>
                <w:color w:val="auto"/>
                <w:vertAlign w:val="subscript"/>
              </w:rPr>
              <w:t>3</w:t>
            </w:r>
            <w:r>
              <w:rPr>
                <w:color w:val="auto"/>
              </w:rPr>
              <w:t>-N在污水处理厂内部进行总量平衡。不再单独申请总量控制指标</w:t>
            </w:r>
            <w:r>
              <w:rPr>
                <w:rFonts w:hint="eastAsia"/>
                <w:color w:val="auto"/>
              </w:rPr>
              <w:t>；</w:t>
            </w:r>
          </w:p>
          <w:p w14:paraId="28952566">
            <w:pPr>
              <w:pStyle w:val="51"/>
              <w:ind w:firstLine="480"/>
            </w:pPr>
            <w:r>
              <w:rPr>
                <w:rFonts w:hint="eastAsia"/>
                <w:color w:val="auto"/>
              </w:rPr>
              <w:t>废气：本项目大气污染物总量控制因子为颗粒物和VOCs，总量控制指标为</w:t>
            </w:r>
            <w:r>
              <w:rPr>
                <w:rFonts w:hint="eastAsia"/>
                <w:color w:val="auto"/>
                <w:highlight w:val="none"/>
              </w:rPr>
              <w:t>VOCs：</w:t>
            </w:r>
            <w:r>
              <w:rPr>
                <w:rFonts w:hint="eastAsia"/>
                <w:color w:val="auto"/>
                <w:highlight w:val="none"/>
                <w:lang w:val="en-US" w:eastAsia="zh-CN"/>
              </w:rPr>
              <w:t>0.865</w:t>
            </w:r>
            <w:r>
              <w:rPr>
                <w:rFonts w:hint="eastAsia"/>
                <w:color w:val="auto"/>
                <w:highlight w:val="none"/>
              </w:rPr>
              <w:t>t/a</w:t>
            </w:r>
            <w:r>
              <w:rPr>
                <w:rFonts w:hint="eastAsia"/>
                <w:color w:val="auto"/>
                <w:highlight w:val="none"/>
                <w:lang w:eastAsia="zh-CN"/>
              </w:rPr>
              <w:t>，</w:t>
            </w:r>
            <w:r>
              <w:rPr>
                <w:rFonts w:hint="eastAsia"/>
                <w:color w:val="auto"/>
                <w:highlight w:val="none"/>
                <w:lang w:val="en-US" w:eastAsia="zh-CN"/>
              </w:rPr>
              <w:t>颗粒物：0.006t/a</w:t>
            </w:r>
            <w:r>
              <w:rPr>
                <w:rFonts w:hint="eastAsia"/>
                <w:color w:val="auto"/>
                <w:highlight w:val="none"/>
              </w:rPr>
              <w:t>。</w:t>
            </w:r>
            <w:r>
              <w:rPr>
                <w:color w:val="auto"/>
              </w:rPr>
              <w:t>排放总量必须由建设单位向当地</w:t>
            </w:r>
            <w:r>
              <w:rPr>
                <w:rFonts w:hint="eastAsia"/>
                <w:color w:val="auto"/>
              </w:rPr>
              <w:t>生态环境主管部门</w:t>
            </w:r>
            <w:r>
              <w:rPr>
                <w:color w:val="auto"/>
              </w:rPr>
              <w:t>申请，经审批同意后方能实施该项目</w:t>
            </w:r>
            <w:r>
              <w:rPr>
                <w:rFonts w:hint="eastAsia"/>
                <w:color w:val="auto"/>
              </w:rPr>
              <w:t>。</w:t>
            </w:r>
            <w:r>
              <w:t xml:space="preserve"> </w:t>
            </w:r>
          </w:p>
          <w:p w14:paraId="0679FE78">
            <w:pPr>
              <w:pStyle w:val="51"/>
              <w:ind w:firstLine="480"/>
            </w:pPr>
          </w:p>
          <w:p w14:paraId="5A44C5DB">
            <w:pPr>
              <w:pStyle w:val="51"/>
              <w:ind w:firstLine="480"/>
            </w:pPr>
          </w:p>
          <w:p w14:paraId="3FFD4A8F">
            <w:pPr>
              <w:pStyle w:val="51"/>
              <w:ind w:firstLine="480"/>
            </w:pPr>
            <w:r>
              <w:rPr>
                <w:rFonts w:hint="eastAsia"/>
              </w:rPr>
              <w:t xml:space="preserve"> </w:t>
            </w:r>
          </w:p>
        </w:tc>
      </w:tr>
    </w:tbl>
    <w:p w14:paraId="1B1E6C61">
      <w:pPr>
        <w:pStyle w:val="20"/>
        <w:jc w:val="center"/>
        <w:outlineLvl w:val="0"/>
        <w:rPr>
          <w:rFonts w:hint="eastAsia" w:ascii="黑体" w:hAnsi="黑体" w:eastAsia="黑体"/>
          <w:snapToGrid w:val="0"/>
          <w:sz w:val="36"/>
          <w:szCs w:val="36"/>
        </w:rPr>
        <w:sectPr>
          <w:pgSz w:w="11907" w:h="16840"/>
          <w:pgMar w:top="1418" w:right="1440" w:bottom="1418" w:left="1440" w:header="851" w:footer="851" w:gutter="0"/>
          <w:pgBorders>
            <w:top w:val="none" w:sz="0" w:space="0"/>
            <w:left w:val="none" w:sz="0" w:space="0"/>
            <w:bottom w:val="none" w:sz="0" w:space="0"/>
            <w:right w:val="none" w:sz="0" w:space="0"/>
          </w:pgBorders>
          <w:cols w:space="720" w:num="1"/>
          <w:docGrid w:linePitch="312" w:charSpace="0"/>
        </w:sectPr>
      </w:pPr>
    </w:p>
    <w:p w14:paraId="28CBA440">
      <w:pPr>
        <w:pStyle w:val="20"/>
        <w:jc w:val="center"/>
        <w:outlineLvl w:val="0"/>
        <w:rPr>
          <w:rFonts w:hint="eastAsia"/>
          <w:snapToGrid w:val="0"/>
        </w:rPr>
      </w:pPr>
      <w:r>
        <w:rPr>
          <w:rFonts w:hint="eastAsia" w:ascii="黑体" w:hAnsi="黑体" w:eastAsia="黑体"/>
          <w:snapToGrid w:val="0"/>
          <w:sz w:val="30"/>
          <w:szCs w:val="30"/>
        </w:rPr>
        <w:t>四、主要环境影响和保护措施</w:t>
      </w:r>
    </w:p>
    <w:tbl>
      <w:tblPr>
        <w:tblStyle w:val="2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619"/>
        <w:gridCol w:w="8544"/>
      </w:tblGrid>
      <w:tr w14:paraId="5E7E05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9" w:type="dxa"/>
            <w:tcMar>
              <w:left w:w="28" w:type="dxa"/>
              <w:right w:w="28" w:type="dxa"/>
            </w:tcMar>
            <w:vAlign w:val="center"/>
          </w:tcPr>
          <w:p w14:paraId="6DF128BF">
            <w:pPr>
              <w:pStyle w:val="20"/>
              <w:adjustRightInd w:val="0"/>
              <w:snapToGrid w:val="0"/>
              <w:spacing w:before="0" w:beforeAutospacing="0" w:after="0" w:afterAutospacing="0"/>
              <w:jc w:val="center"/>
              <w:rPr>
                <w:rFonts w:hint="eastAsia" w:cs="宋体"/>
                <w:kern w:val="2"/>
                <w:szCs w:val="24"/>
              </w:rPr>
            </w:pPr>
            <w:r>
              <w:rPr>
                <w:rFonts w:hint="eastAsia" w:cs="宋体"/>
                <w:kern w:val="2"/>
                <w:szCs w:val="24"/>
              </w:rPr>
              <w:t>施工</w:t>
            </w:r>
          </w:p>
          <w:p w14:paraId="57B510A9">
            <w:pPr>
              <w:pStyle w:val="20"/>
              <w:adjustRightInd w:val="0"/>
              <w:snapToGrid w:val="0"/>
              <w:spacing w:before="0" w:beforeAutospacing="0" w:after="0" w:afterAutospacing="0"/>
              <w:jc w:val="center"/>
              <w:rPr>
                <w:rFonts w:hint="eastAsia" w:cs="宋体"/>
                <w:kern w:val="2"/>
                <w:szCs w:val="24"/>
              </w:rPr>
            </w:pPr>
            <w:r>
              <w:rPr>
                <w:rFonts w:hint="eastAsia" w:cs="宋体"/>
                <w:kern w:val="2"/>
                <w:szCs w:val="24"/>
              </w:rPr>
              <w:t>期环</w:t>
            </w:r>
          </w:p>
          <w:p w14:paraId="584D052D">
            <w:pPr>
              <w:pStyle w:val="20"/>
              <w:adjustRightInd w:val="0"/>
              <w:snapToGrid w:val="0"/>
              <w:spacing w:before="0" w:beforeAutospacing="0" w:after="0" w:afterAutospacing="0"/>
              <w:jc w:val="center"/>
              <w:rPr>
                <w:rFonts w:hint="eastAsia" w:cs="宋体"/>
                <w:kern w:val="2"/>
                <w:szCs w:val="24"/>
              </w:rPr>
            </w:pPr>
            <w:r>
              <w:rPr>
                <w:rFonts w:hint="eastAsia" w:cs="宋体"/>
                <w:kern w:val="2"/>
                <w:szCs w:val="24"/>
              </w:rPr>
              <w:t>境保</w:t>
            </w:r>
          </w:p>
          <w:p w14:paraId="1DCC6AC3">
            <w:pPr>
              <w:pStyle w:val="20"/>
              <w:adjustRightInd w:val="0"/>
              <w:snapToGrid w:val="0"/>
              <w:spacing w:before="0" w:beforeAutospacing="0" w:after="0" w:afterAutospacing="0"/>
              <w:jc w:val="center"/>
              <w:rPr>
                <w:rFonts w:hint="eastAsia" w:cs="宋体"/>
                <w:kern w:val="2"/>
                <w:szCs w:val="24"/>
              </w:rPr>
            </w:pPr>
            <w:r>
              <w:rPr>
                <w:rFonts w:hint="eastAsia" w:cs="宋体"/>
                <w:kern w:val="2"/>
                <w:szCs w:val="24"/>
              </w:rPr>
              <w:t>护措</w:t>
            </w:r>
          </w:p>
          <w:p w14:paraId="46288565">
            <w:pPr>
              <w:pStyle w:val="20"/>
              <w:adjustRightInd w:val="0"/>
              <w:snapToGrid w:val="0"/>
              <w:spacing w:before="0" w:beforeAutospacing="0" w:after="0" w:afterAutospacing="0"/>
              <w:jc w:val="center"/>
              <w:rPr>
                <w:rFonts w:hint="eastAsia" w:cs="宋体"/>
                <w:bCs/>
                <w:kern w:val="2"/>
                <w:sz w:val="21"/>
                <w:szCs w:val="21"/>
              </w:rPr>
            </w:pPr>
            <w:r>
              <w:rPr>
                <w:rFonts w:hint="eastAsia" w:cs="宋体"/>
                <w:kern w:val="2"/>
                <w:szCs w:val="24"/>
              </w:rPr>
              <w:t>施</w:t>
            </w:r>
          </w:p>
        </w:tc>
        <w:tc>
          <w:tcPr>
            <w:tcW w:w="8544" w:type="dxa"/>
            <w:vAlign w:val="center"/>
          </w:tcPr>
          <w:p w14:paraId="73EEAF41">
            <w:pPr>
              <w:pStyle w:val="51"/>
              <w:ind w:firstLine="480"/>
            </w:pPr>
            <w:r>
              <w:rPr>
                <w:rFonts w:ascii="宋体" w:hAnsi="宋体" w:cs="宋体"/>
                <w:color w:val="auto"/>
              </w:rPr>
              <w:t>本项目</w:t>
            </w:r>
            <w:r>
              <w:rPr>
                <w:rFonts w:hint="eastAsia" w:ascii="宋体" w:hAnsi="宋体" w:cs="宋体"/>
                <w:color w:val="auto"/>
              </w:rPr>
              <w:t>租用</w:t>
            </w:r>
            <w:r>
              <w:rPr>
                <w:rFonts w:hint="eastAsia"/>
                <w:color w:val="auto"/>
              </w:rPr>
              <w:t>皖江江南产业集中区</w:t>
            </w:r>
            <w:r>
              <w:rPr>
                <w:rFonts w:hint="eastAsia"/>
                <w:color w:val="auto"/>
                <w:lang w:val="en-US" w:eastAsia="zh-CN"/>
              </w:rPr>
              <w:t>众飞产业园</w:t>
            </w:r>
            <w:r>
              <w:rPr>
                <w:rFonts w:hint="eastAsia"/>
                <w:color w:val="auto"/>
              </w:rPr>
              <w:t>已建成厂房</w:t>
            </w:r>
            <w:r>
              <w:rPr>
                <w:rFonts w:ascii="宋体" w:hAnsi="宋体" w:cs="宋体"/>
                <w:color w:val="auto"/>
              </w:rPr>
              <w:t>，</w:t>
            </w:r>
            <w:r>
              <w:rPr>
                <w:rFonts w:hint="eastAsia"/>
                <w:color w:val="auto"/>
              </w:rPr>
              <w:t>不需要再进行土建施工，施工期污染物主要为设备安装及室内布置时期施工人员产生的少量生活污水和生活垃圾等，故本次评价对施工期环境影响不做分析。</w:t>
            </w:r>
          </w:p>
          <w:p w14:paraId="4DAD1B3F">
            <w:pPr>
              <w:pStyle w:val="51"/>
              <w:ind w:firstLine="480"/>
            </w:pPr>
          </w:p>
          <w:p w14:paraId="04FB31A2">
            <w:pPr>
              <w:pStyle w:val="51"/>
              <w:ind w:firstLine="480"/>
            </w:pPr>
          </w:p>
          <w:p w14:paraId="33ABBCFD">
            <w:pPr>
              <w:pStyle w:val="51"/>
              <w:ind w:firstLine="480"/>
            </w:pPr>
            <w:r>
              <w:rPr>
                <w:rFonts w:hint="eastAsia"/>
              </w:rPr>
              <w:t xml:space="preserve"> </w:t>
            </w:r>
          </w:p>
        </w:tc>
      </w:tr>
      <w:tr w14:paraId="5D1C06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19" w:type="dxa"/>
            <w:tcMar>
              <w:left w:w="28" w:type="dxa"/>
              <w:right w:w="28" w:type="dxa"/>
            </w:tcMar>
            <w:vAlign w:val="center"/>
          </w:tcPr>
          <w:p w14:paraId="2393FCEB">
            <w:pPr>
              <w:adjustRightInd w:val="0"/>
              <w:snapToGrid w:val="0"/>
              <w:jc w:val="center"/>
              <w:rPr>
                <w:rFonts w:hint="eastAsia" w:ascii="宋体" w:hAnsi="宋体" w:cs="宋体"/>
                <w:bCs/>
                <w:sz w:val="24"/>
              </w:rPr>
            </w:pPr>
            <w:r>
              <w:rPr>
                <w:rFonts w:hint="eastAsia" w:ascii="宋体" w:hAnsi="宋体" w:cs="宋体"/>
                <w:bCs/>
                <w:sz w:val="24"/>
              </w:rPr>
              <w:t>运营</w:t>
            </w:r>
          </w:p>
          <w:p w14:paraId="7F5A8441">
            <w:pPr>
              <w:adjustRightInd w:val="0"/>
              <w:snapToGrid w:val="0"/>
              <w:jc w:val="center"/>
              <w:rPr>
                <w:rFonts w:hint="eastAsia" w:ascii="宋体" w:hAnsi="宋体" w:cs="宋体"/>
                <w:bCs/>
                <w:sz w:val="24"/>
              </w:rPr>
            </w:pPr>
            <w:r>
              <w:rPr>
                <w:rFonts w:hint="eastAsia" w:ascii="宋体" w:hAnsi="宋体" w:cs="宋体"/>
                <w:bCs/>
                <w:sz w:val="24"/>
              </w:rPr>
              <w:t>期环</w:t>
            </w:r>
          </w:p>
          <w:p w14:paraId="4E90BD5B">
            <w:pPr>
              <w:adjustRightInd w:val="0"/>
              <w:snapToGrid w:val="0"/>
              <w:jc w:val="center"/>
              <w:rPr>
                <w:rFonts w:hint="eastAsia" w:ascii="宋体" w:hAnsi="宋体" w:cs="宋体"/>
                <w:bCs/>
                <w:sz w:val="24"/>
              </w:rPr>
            </w:pPr>
            <w:r>
              <w:rPr>
                <w:rFonts w:hint="eastAsia" w:ascii="宋体" w:hAnsi="宋体" w:cs="宋体"/>
                <w:bCs/>
                <w:sz w:val="24"/>
              </w:rPr>
              <w:t>境影</w:t>
            </w:r>
          </w:p>
          <w:p w14:paraId="21BD1CC2">
            <w:pPr>
              <w:adjustRightInd w:val="0"/>
              <w:snapToGrid w:val="0"/>
              <w:jc w:val="center"/>
              <w:rPr>
                <w:rFonts w:hint="eastAsia" w:ascii="宋体" w:hAnsi="宋体" w:cs="宋体"/>
                <w:bCs/>
                <w:sz w:val="24"/>
              </w:rPr>
            </w:pPr>
            <w:r>
              <w:rPr>
                <w:rFonts w:hint="eastAsia" w:ascii="宋体" w:hAnsi="宋体" w:cs="宋体"/>
                <w:bCs/>
                <w:sz w:val="24"/>
              </w:rPr>
              <w:t>响和</w:t>
            </w:r>
          </w:p>
          <w:p w14:paraId="6F050A00">
            <w:pPr>
              <w:adjustRightInd w:val="0"/>
              <w:snapToGrid w:val="0"/>
              <w:jc w:val="center"/>
              <w:rPr>
                <w:rFonts w:hint="eastAsia" w:ascii="宋体" w:hAnsi="宋体" w:cs="宋体"/>
                <w:bCs/>
                <w:sz w:val="24"/>
              </w:rPr>
            </w:pPr>
            <w:r>
              <w:rPr>
                <w:rFonts w:hint="eastAsia" w:ascii="宋体" w:hAnsi="宋体" w:cs="宋体"/>
                <w:bCs/>
                <w:sz w:val="24"/>
              </w:rPr>
              <w:t>保护</w:t>
            </w:r>
          </w:p>
          <w:p w14:paraId="2F5DA5CD">
            <w:pPr>
              <w:adjustRightInd w:val="0"/>
              <w:snapToGrid w:val="0"/>
              <w:jc w:val="center"/>
              <w:rPr>
                <w:rFonts w:hint="eastAsia" w:ascii="宋体" w:hAnsi="宋体" w:cs="宋体"/>
                <w:bCs/>
                <w:szCs w:val="21"/>
              </w:rPr>
            </w:pPr>
            <w:r>
              <w:rPr>
                <w:rFonts w:hint="eastAsia" w:ascii="宋体" w:hAnsi="宋体" w:cs="宋体"/>
                <w:bCs/>
                <w:sz w:val="24"/>
              </w:rPr>
              <w:t>措施</w:t>
            </w:r>
          </w:p>
        </w:tc>
        <w:tc>
          <w:tcPr>
            <w:tcW w:w="8544" w:type="dxa"/>
            <w:vAlign w:val="center"/>
          </w:tcPr>
          <w:p w14:paraId="5DCC0492">
            <w:pPr>
              <w:pStyle w:val="51"/>
              <w:ind w:firstLine="482"/>
              <w:rPr>
                <w:b/>
                <w:bCs/>
              </w:rPr>
            </w:pPr>
            <w:r>
              <w:rPr>
                <w:rFonts w:hint="eastAsia"/>
                <w:b/>
                <w:bCs/>
              </w:rPr>
              <w:t>1、废气环境影响和保护措施</w:t>
            </w:r>
          </w:p>
          <w:p w14:paraId="4A94D6E7">
            <w:pPr>
              <w:pStyle w:val="79"/>
            </w:pPr>
            <w:r>
              <w:t>1.1废气污染源</w:t>
            </w:r>
          </w:p>
          <w:p w14:paraId="76D8480D">
            <w:pPr>
              <w:pStyle w:val="51"/>
              <w:ind w:firstLine="480"/>
              <w:rPr>
                <w:rFonts w:hint="eastAsia"/>
              </w:rPr>
            </w:pPr>
            <w:r>
              <w:rPr>
                <w:rFonts w:hint="eastAsia"/>
              </w:rPr>
              <w:t>根据工程分析，项目生产过程主要废气污染源见下表。</w:t>
            </w:r>
          </w:p>
          <w:p w14:paraId="625113F4">
            <w:pPr>
              <w:pStyle w:val="52"/>
            </w:pPr>
            <w:r>
              <w:rPr>
                <w:rFonts w:hint="eastAsia"/>
              </w:rPr>
              <w:t>表4</w:t>
            </w:r>
            <w:r>
              <w:t>-</w:t>
            </w:r>
            <w:r>
              <w:rPr>
                <w:rFonts w:hint="eastAsia"/>
                <w:lang w:val="en-US" w:eastAsia="zh-CN"/>
              </w:rPr>
              <w:t>1</w:t>
            </w:r>
            <w:r>
              <w:t xml:space="preserve">  </w:t>
            </w:r>
            <w:r>
              <w:rPr>
                <w:rFonts w:hint="eastAsia"/>
              </w:rPr>
              <w:t>项目废气污染源</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3"/>
              <w:gridCol w:w="2316"/>
              <w:gridCol w:w="1486"/>
              <w:gridCol w:w="2530"/>
            </w:tblGrid>
            <w:tr w14:paraId="2C694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2" w:type="pct"/>
                  <w:shd w:val="clear" w:color="auto" w:fill="auto"/>
                  <w:vAlign w:val="center"/>
                </w:tcPr>
                <w:p w14:paraId="10A7F1DE">
                  <w:pPr>
                    <w:pStyle w:val="51"/>
                    <w:spacing w:line="240" w:lineRule="auto"/>
                    <w:ind w:firstLine="0" w:firstLineChars="0"/>
                    <w:jc w:val="center"/>
                    <w:rPr>
                      <w:b/>
                      <w:bCs/>
                      <w:sz w:val="21"/>
                      <w:szCs w:val="21"/>
                    </w:rPr>
                  </w:pPr>
                  <w:r>
                    <w:rPr>
                      <w:rFonts w:hint="eastAsia"/>
                      <w:b/>
                      <w:bCs/>
                      <w:sz w:val="21"/>
                      <w:szCs w:val="21"/>
                    </w:rPr>
                    <w:t>编号</w:t>
                  </w:r>
                </w:p>
              </w:tc>
              <w:tc>
                <w:tcPr>
                  <w:tcW w:w="1392" w:type="pct"/>
                  <w:shd w:val="clear" w:color="auto" w:fill="auto"/>
                  <w:vAlign w:val="center"/>
                </w:tcPr>
                <w:p w14:paraId="15F69B28">
                  <w:pPr>
                    <w:pStyle w:val="51"/>
                    <w:spacing w:line="240" w:lineRule="auto"/>
                    <w:ind w:firstLine="0" w:firstLineChars="0"/>
                    <w:jc w:val="center"/>
                    <w:rPr>
                      <w:b/>
                      <w:bCs/>
                      <w:sz w:val="21"/>
                      <w:szCs w:val="21"/>
                    </w:rPr>
                  </w:pPr>
                  <w:r>
                    <w:rPr>
                      <w:rFonts w:hint="eastAsia"/>
                      <w:b/>
                      <w:bCs/>
                      <w:sz w:val="21"/>
                      <w:szCs w:val="21"/>
                    </w:rPr>
                    <w:t>污染源类型</w:t>
                  </w:r>
                </w:p>
              </w:tc>
              <w:tc>
                <w:tcPr>
                  <w:tcW w:w="893" w:type="pct"/>
                  <w:shd w:val="clear" w:color="auto" w:fill="auto"/>
                  <w:vAlign w:val="center"/>
                </w:tcPr>
                <w:p w14:paraId="30AB0847">
                  <w:pPr>
                    <w:pStyle w:val="51"/>
                    <w:spacing w:line="240" w:lineRule="auto"/>
                    <w:ind w:firstLine="0" w:firstLineChars="0"/>
                    <w:jc w:val="center"/>
                    <w:rPr>
                      <w:b/>
                      <w:bCs/>
                      <w:sz w:val="21"/>
                      <w:szCs w:val="21"/>
                    </w:rPr>
                  </w:pPr>
                  <w:r>
                    <w:rPr>
                      <w:rFonts w:hint="eastAsia"/>
                      <w:b/>
                      <w:bCs/>
                      <w:sz w:val="21"/>
                      <w:szCs w:val="21"/>
                    </w:rPr>
                    <w:t>产污环节</w:t>
                  </w:r>
                </w:p>
              </w:tc>
              <w:tc>
                <w:tcPr>
                  <w:tcW w:w="1521" w:type="pct"/>
                  <w:vAlign w:val="center"/>
                </w:tcPr>
                <w:p w14:paraId="14439493">
                  <w:pPr>
                    <w:pStyle w:val="51"/>
                    <w:spacing w:line="240" w:lineRule="auto"/>
                    <w:ind w:firstLine="0" w:firstLineChars="0"/>
                    <w:jc w:val="center"/>
                    <w:rPr>
                      <w:b/>
                      <w:bCs/>
                      <w:sz w:val="21"/>
                      <w:szCs w:val="21"/>
                    </w:rPr>
                  </w:pPr>
                  <w:r>
                    <w:rPr>
                      <w:rFonts w:hint="eastAsia"/>
                      <w:b/>
                      <w:bCs/>
                      <w:sz w:val="21"/>
                      <w:szCs w:val="21"/>
                    </w:rPr>
                    <w:t>主要污染物</w:t>
                  </w:r>
                </w:p>
              </w:tc>
            </w:tr>
            <w:tr w14:paraId="00F35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2" w:type="pct"/>
                  <w:shd w:val="clear" w:color="auto" w:fill="auto"/>
                  <w:vAlign w:val="center"/>
                </w:tcPr>
                <w:p w14:paraId="139B92F7">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eastAsia"/>
                      <w:bCs/>
                      <w:color w:val="000000" w:themeColor="text1"/>
                      <w:szCs w:val="21"/>
                      <w14:textFill>
                        <w14:solidFill>
                          <w14:schemeClr w14:val="tx1"/>
                        </w14:solidFill>
                      </w14:textFill>
                    </w:rPr>
                    <w:t>G1</w:t>
                  </w:r>
                </w:p>
              </w:tc>
              <w:tc>
                <w:tcPr>
                  <w:tcW w:w="1392" w:type="pct"/>
                  <w:shd w:val="clear" w:color="auto" w:fill="auto"/>
                  <w:vAlign w:val="center"/>
                </w:tcPr>
                <w:p w14:paraId="5261CCF8">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eastAsia"/>
                      <w:bCs/>
                      <w:color w:val="000000" w:themeColor="text1"/>
                      <w:szCs w:val="21"/>
                      <w:lang w:val="en-US" w:eastAsia="zh-CN"/>
                      <w14:textFill>
                        <w14:solidFill>
                          <w14:schemeClr w14:val="tx1"/>
                        </w14:solidFill>
                      </w14:textFill>
                    </w:rPr>
                    <w:t>擦拭废气</w:t>
                  </w:r>
                </w:p>
              </w:tc>
              <w:tc>
                <w:tcPr>
                  <w:tcW w:w="893" w:type="pct"/>
                  <w:shd w:val="clear" w:color="auto" w:fill="auto"/>
                  <w:vAlign w:val="center"/>
                </w:tcPr>
                <w:p w14:paraId="0D012BA0">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eastAsia"/>
                      <w:bCs/>
                      <w:color w:val="000000" w:themeColor="text1"/>
                      <w:szCs w:val="21"/>
                      <w:lang w:val="en-US" w:eastAsia="zh-CN"/>
                      <w14:textFill>
                        <w14:solidFill>
                          <w14:schemeClr w14:val="tx1"/>
                        </w14:solidFill>
                      </w14:textFill>
                    </w:rPr>
                    <w:t>锡膏涂覆</w:t>
                  </w:r>
                </w:p>
              </w:tc>
              <w:tc>
                <w:tcPr>
                  <w:tcW w:w="1521" w:type="pct"/>
                  <w:shd w:val="clear" w:color="auto" w:fill="auto"/>
                  <w:vAlign w:val="center"/>
                </w:tcPr>
                <w:p w14:paraId="725C06BB">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eastAsia"/>
                      <w:bCs/>
                      <w:color w:val="000000" w:themeColor="text1"/>
                      <w:szCs w:val="21"/>
                      <w:lang w:val="en-US" w:eastAsia="zh-CN"/>
                      <w14:textFill>
                        <w14:solidFill>
                          <w14:schemeClr w14:val="tx1"/>
                        </w14:solidFill>
                      </w14:textFill>
                    </w:rPr>
                    <w:t>非甲烷总烃</w:t>
                  </w:r>
                </w:p>
              </w:tc>
            </w:tr>
            <w:tr w14:paraId="05E9F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2" w:type="pct"/>
                  <w:shd w:val="clear" w:color="auto" w:fill="auto"/>
                  <w:vAlign w:val="center"/>
                </w:tcPr>
                <w:p w14:paraId="00A372E8">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eastAsia"/>
                      <w:bCs/>
                      <w:color w:val="000000" w:themeColor="text1"/>
                      <w:szCs w:val="21"/>
                      <w14:textFill>
                        <w14:solidFill>
                          <w14:schemeClr w14:val="tx1"/>
                        </w14:solidFill>
                      </w14:textFill>
                    </w:rPr>
                    <w:t>G2</w:t>
                  </w:r>
                </w:p>
              </w:tc>
              <w:tc>
                <w:tcPr>
                  <w:tcW w:w="1392" w:type="pct"/>
                  <w:shd w:val="clear" w:color="auto" w:fill="auto"/>
                  <w:vAlign w:val="center"/>
                </w:tcPr>
                <w:p w14:paraId="197BD2E3">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eastAsia"/>
                      <w:bCs/>
                      <w:color w:val="000000" w:themeColor="text1"/>
                      <w:szCs w:val="21"/>
                      <w14:textFill>
                        <w14:solidFill>
                          <w14:schemeClr w14:val="tx1"/>
                        </w14:solidFill>
                      </w14:textFill>
                    </w:rPr>
                    <w:t>回流焊废气</w:t>
                  </w:r>
                </w:p>
              </w:tc>
              <w:tc>
                <w:tcPr>
                  <w:tcW w:w="893" w:type="pct"/>
                  <w:shd w:val="clear" w:color="auto" w:fill="auto"/>
                  <w:vAlign w:val="center"/>
                </w:tcPr>
                <w:p w14:paraId="3E560AD2">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eastAsia"/>
                      <w:bCs/>
                      <w:color w:val="000000" w:themeColor="text1"/>
                      <w:szCs w:val="21"/>
                      <w:lang w:val="en-US" w:eastAsia="zh-CN"/>
                      <w14:textFill>
                        <w14:solidFill>
                          <w14:schemeClr w14:val="tx1"/>
                        </w14:solidFill>
                      </w14:textFill>
                    </w:rPr>
                    <w:t>回流焊接</w:t>
                  </w:r>
                </w:p>
              </w:tc>
              <w:tc>
                <w:tcPr>
                  <w:tcW w:w="1521" w:type="pct"/>
                  <w:shd w:val="clear" w:color="auto" w:fill="auto"/>
                  <w:vAlign w:val="center"/>
                </w:tcPr>
                <w:p w14:paraId="40EE5E1B">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eastAsia"/>
                      <w:bCs/>
                      <w:color w:val="000000" w:themeColor="text1"/>
                      <w:szCs w:val="21"/>
                      <w14:textFill>
                        <w14:solidFill>
                          <w14:schemeClr w14:val="tx1"/>
                        </w14:solidFill>
                      </w14:textFill>
                    </w:rPr>
                    <w:t>非甲烷总烃、锡及其化合物</w:t>
                  </w:r>
                  <w:r>
                    <w:rPr>
                      <w:rFonts w:hint="eastAsia"/>
                      <w:bCs/>
                      <w:color w:val="000000" w:themeColor="text1"/>
                      <w:szCs w:val="21"/>
                      <w:lang w:eastAsia="zh-CN"/>
                      <w14:textFill>
                        <w14:solidFill>
                          <w14:schemeClr w14:val="tx1"/>
                        </w14:solidFill>
                      </w14:textFill>
                    </w:rPr>
                    <w:t>、</w:t>
                  </w:r>
                  <w:r>
                    <w:rPr>
                      <w:rFonts w:hint="eastAsia"/>
                      <w:bCs/>
                      <w:color w:val="000000" w:themeColor="text1"/>
                      <w:szCs w:val="21"/>
                      <w:lang w:val="en-US" w:eastAsia="zh-CN"/>
                      <w14:textFill>
                        <w14:solidFill>
                          <w14:schemeClr w14:val="tx1"/>
                        </w14:solidFill>
                      </w14:textFill>
                    </w:rPr>
                    <w:t>颗粒物</w:t>
                  </w:r>
                </w:p>
              </w:tc>
            </w:tr>
            <w:tr w14:paraId="70FAE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2" w:type="pct"/>
                  <w:shd w:val="clear" w:color="auto" w:fill="auto"/>
                  <w:vAlign w:val="center"/>
                </w:tcPr>
                <w:p w14:paraId="239EB3AB">
                  <w:pPr>
                    <w:keepNext w:val="0"/>
                    <w:keepLines w:val="0"/>
                    <w:suppressLineNumbers w:val="0"/>
                    <w:adjustRightInd w:val="0"/>
                    <w:snapToGrid w:val="0"/>
                    <w:spacing w:before="0" w:beforeAutospacing="0" w:after="0" w:afterAutospacing="0"/>
                    <w:ind w:left="0" w:leftChars="0" w:right="0" w:rightChars="0"/>
                    <w:jc w:val="center"/>
                    <w:rPr>
                      <w:sz w:val="21"/>
                      <w:szCs w:val="21"/>
                    </w:rPr>
                  </w:pPr>
                  <w:r>
                    <w:rPr>
                      <w:rFonts w:hint="eastAsia"/>
                      <w:bCs/>
                      <w:color w:val="000000" w:themeColor="text1"/>
                      <w:szCs w:val="21"/>
                      <w14:textFill>
                        <w14:solidFill>
                          <w14:schemeClr w14:val="tx1"/>
                        </w14:solidFill>
                      </w14:textFill>
                    </w:rPr>
                    <w:t>G3</w:t>
                  </w:r>
                </w:p>
              </w:tc>
              <w:tc>
                <w:tcPr>
                  <w:tcW w:w="1392" w:type="pct"/>
                  <w:shd w:val="clear" w:color="auto" w:fill="auto"/>
                  <w:vAlign w:val="center"/>
                </w:tcPr>
                <w:p w14:paraId="39A9A3F4">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eastAsia"/>
                      <w:bCs/>
                      <w:color w:val="000000" w:themeColor="text1"/>
                      <w:szCs w:val="21"/>
                      <w14:textFill>
                        <w14:solidFill>
                          <w14:schemeClr w14:val="tx1"/>
                        </w14:solidFill>
                      </w14:textFill>
                    </w:rPr>
                    <w:t>手工焊废气</w:t>
                  </w:r>
                </w:p>
              </w:tc>
              <w:tc>
                <w:tcPr>
                  <w:tcW w:w="893" w:type="pct"/>
                  <w:shd w:val="clear" w:color="auto" w:fill="auto"/>
                  <w:vAlign w:val="center"/>
                </w:tcPr>
                <w:p w14:paraId="3C03986A">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eastAsia"/>
                      <w:bCs/>
                      <w:color w:val="000000" w:themeColor="text1"/>
                      <w:szCs w:val="21"/>
                      <w:lang w:val="en-US" w:eastAsia="zh-CN"/>
                      <w14:textFill>
                        <w14:solidFill>
                          <w14:schemeClr w14:val="tx1"/>
                        </w14:solidFill>
                      </w14:textFill>
                    </w:rPr>
                    <w:t>手工焊接</w:t>
                  </w:r>
                </w:p>
              </w:tc>
              <w:tc>
                <w:tcPr>
                  <w:tcW w:w="1521" w:type="pct"/>
                  <w:shd w:val="clear" w:color="auto" w:fill="auto"/>
                  <w:vAlign w:val="center"/>
                </w:tcPr>
                <w:p w14:paraId="097320E3">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eastAsia"/>
                      <w:bCs/>
                      <w:color w:val="000000" w:themeColor="text1"/>
                      <w:szCs w:val="21"/>
                      <w14:textFill>
                        <w14:solidFill>
                          <w14:schemeClr w14:val="tx1"/>
                        </w14:solidFill>
                      </w14:textFill>
                    </w:rPr>
                    <w:t>非甲烷总烃、锡及其化合物</w:t>
                  </w:r>
                  <w:r>
                    <w:rPr>
                      <w:rFonts w:hint="eastAsia"/>
                      <w:bCs/>
                      <w:color w:val="000000" w:themeColor="text1"/>
                      <w:szCs w:val="21"/>
                      <w:lang w:eastAsia="zh-CN"/>
                      <w14:textFill>
                        <w14:solidFill>
                          <w14:schemeClr w14:val="tx1"/>
                        </w14:solidFill>
                      </w14:textFill>
                    </w:rPr>
                    <w:t>、</w:t>
                  </w:r>
                  <w:r>
                    <w:rPr>
                      <w:rFonts w:hint="eastAsia"/>
                      <w:bCs/>
                      <w:color w:val="000000" w:themeColor="text1"/>
                      <w:szCs w:val="21"/>
                      <w:lang w:val="en-US" w:eastAsia="zh-CN"/>
                      <w14:textFill>
                        <w14:solidFill>
                          <w14:schemeClr w14:val="tx1"/>
                        </w14:solidFill>
                      </w14:textFill>
                    </w:rPr>
                    <w:t>颗粒物</w:t>
                  </w:r>
                </w:p>
              </w:tc>
            </w:tr>
            <w:tr w14:paraId="3779E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2" w:type="pct"/>
                  <w:shd w:val="clear" w:color="auto" w:fill="auto"/>
                  <w:vAlign w:val="center"/>
                </w:tcPr>
                <w:p w14:paraId="25B69278">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eastAsia"/>
                      <w:bCs/>
                      <w:color w:val="000000" w:themeColor="text1"/>
                      <w:szCs w:val="21"/>
                      <w14:textFill>
                        <w14:solidFill>
                          <w14:schemeClr w14:val="tx1"/>
                        </w14:solidFill>
                      </w14:textFill>
                    </w:rPr>
                    <w:t>G4</w:t>
                  </w:r>
                </w:p>
              </w:tc>
              <w:tc>
                <w:tcPr>
                  <w:tcW w:w="1392" w:type="pct"/>
                  <w:shd w:val="clear" w:color="auto" w:fill="auto"/>
                  <w:vAlign w:val="center"/>
                </w:tcPr>
                <w:p w14:paraId="681DD577">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eastAsia"/>
                      <w:bCs/>
                      <w:color w:val="000000" w:themeColor="text1"/>
                      <w:szCs w:val="21"/>
                      <w:lang w:val="en-US" w:eastAsia="zh-CN"/>
                      <w14:textFill>
                        <w14:solidFill>
                          <w14:schemeClr w14:val="tx1"/>
                        </w14:solidFill>
                      </w14:textFill>
                    </w:rPr>
                    <w:t>投料粉尘</w:t>
                  </w:r>
                </w:p>
              </w:tc>
              <w:tc>
                <w:tcPr>
                  <w:tcW w:w="893" w:type="pct"/>
                  <w:shd w:val="clear" w:color="auto" w:fill="auto"/>
                  <w:vAlign w:val="center"/>
                </w:tcPr>
                <w:p w14:paraId="5B932832">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eastAsia"/>
                      <w:bCs/>
                      <w:color w:val="000000" w:themeColor="text1"/>
                      <w:szCs w:val="21"/>
                      <w:lang w:val="en-US" w:eastAsia="zh-CN"/>
                      <w14:textFill>
                        <w14:solidFill>
                          <w14:schemeClr w14:val="tx1"/>
                        </w14:solidFill>
                      </w14:textFill>
                    </w:rPr>
                    <w:t>配粉</w:t>
                  </w:r>
                </w:p>
              </w:tc>
              <w:tc>
                <w:tcPr>
                  <w:tcW w:w="1521" w:type="pct"/>
                  <w:shd w:val="clear" w:color="auto" w:fill="auto"/>
                  <w:vAlign w:val="center"/>
                </w:tcPr>
                <w:p w14:paraId="357F9CE7">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eastAsia"/>
                      <w:bCs/>
                      <w:color w:val="000000" w:themeColor="text1"/>
                      <w:szCs w:val="21"/>
                      <w:lang w:val="en-US" w:eastAsia="zh-CN"/>
                      <w14:textFill>
                        <w14:solidFill>
                          <w14:schemeClr w14:val="tx1"/>
                        </w14:solidFill>
                      </w14:textFill>
                    </w:rPr>
                    <w:t>颗粒物</w:t>
                  </w:r>
                </w:p>
              </w:tc>
            </w:tr>
            <w:tr w14:paraId="3C125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92" w:type="pct"/>
                  <w:shd w:val="clear" w:color="auto" w:fill="auto"/>
                  <w:vAlign w:val="center"/>
                </w:tcPr>
                <w:p w14:paraId="028EF786">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eastAsia"/>
                      <w:bCs/>
                      <w:color w:val="000000" w:themeColor="text1"/>
                      <w:szCs w:val="21"/>
                      <w14:textFill>
                        <w14:solidFill>
                          <w14:schemeClr w14:val="tx1"/>
                        </w14:solidFill>
                      </w14:textFill>
                    </w:rPr>
                    <w:t>G5</w:t>
                  </w:r>
                </w:p>
              </w:tc>
              <w:tc>
                <w:tcPr>
                  <w:tcW w:w="1392" w:type="pct"/>
                  <w:shd w:val="clear" w:color="auto" w:fill="auto"/>
                  <w:vAlign w:val="center"/>
                </w:tcPr>
                <w:p w14:paraId="41BA9417">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eastAsia"/>
                      <w:bCs/>
                      <w:color w:val="000000" w:themeColor="text1"/>
                      <w:szCs w:val="21"/>
                      <w:lang w:val="en-US" w:eastAsia="zh-CN"/>
                      <w14:textFill>
                        <w14:solidFill>
                          <w14:schemeClr w14:val="tx1"/>
                        </w14:solidFill>
                      </w14:textFill>
                    </w:rPr>
                    <w:t>固化废气</w:t>
                  </w:r>
                </w:p>
              </w:tc>
              <w:tc>
                <w:tcPr>
                  <w:tcW w:w="893" w:type="pct"/>
                  <w:shd w:val="clear" w:color="auto" w:fill="auto"/>
                  <w:vAlign w:val="center"/>
                </w:tcPr>
                <w:p w14:paraId="2DD009FB">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eastAsia"/>
                      <w:bCs/>
                      <w:color w:val="000000" w:themeColor="text1"/>
                      <w:szCs w:val="21"/>
                      <w:lang w:val="en-US" w:eastAsia="zh-CN"/>
                      <w14:textFill>
                        <w14:solidFill>
                          <w14:schemeClr w14:val="tx1"/>
                        </w14:solidFill>
                      </w14:textFill>
                    </w:rPr>
                    <w:t>固化</w:t>
                  </w:r>
                </w:p>
              </w:tc>
              <w:tc>
                <w:tcPr>
                  <w:tcW w:w="1521" w:type="pct"/>
                  <w:shd w:val="clear" w:color="auto" w:fill="auto"/>
                  <w:vAlign w:val="center"/>
                </w:tcPr>
                <w:p w14:paraId="211BA193">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bCs/>
                      <w:color w:val="000000" w:themeColor="text1"/>
                      <w:kern w:val="2"/>
                      <w:sz w:val="21"/>
                      <w:szCs w:val="21"/>
                      <w:lang w:val="en-US" w:eastAsia="zh-CN" w:bidi="ar-SA"/>
                      <w14:textFill>
                        <w14:solidFill>
                          <w14:schemeClr w14:val="tx1"/>
                        </w14:solidFill>
                      </w14:textFill>
                    </w:rPr>
                  </w:pPr>
                  <w:r>
                    <w:rPr>
                      <w:rFonts w:hint="eastAsia"/>
                      <w:bCs/>
                      <w:color w:val="000000" w:themeColor="text1"/>
                      <w:szCs w:val="21"/>
                      <w14:textFill>
                        <w14:solidFill>
                          <w14:schemeClr w14:val="tx1"/>
                        </w14:solidFill>
                      </w14:textFill>
                    </w:rPr>
                    <w:t>非甲烷总烃</w:t>
                  </w:r>
                </w:p>
              </w:tc>
            </w:tr>
          </w:tbl>
          <w:p w14:paraId="1FACA732">
            <w:pPr>
              <w:pStyle w:val="51"/>
              <w:keepNext w:val="0"/>
              <w:keepLines w:val="0"/>
              <w:pageBreakBefore w:val="0"/>
              <w:widowControl w:val="0"/>
              <w:kinsoku/>
              <w:wordWrap/>
              <w:overflowPunct/>
              <w:topLinePunct w:val="0"/>
              <w:autoSpaceDE/>
              <w:autoSpaceDN/>
              <w:bidi w:val="0"/>
              <w:adjustRightInd w:val="0"/>
              <w:snapToGrid w:val="0"/>
              <w:spacing w:before="157" w:beforeLines="50"/>
              <w:ind w:firstLine="482"/>
              <w:textAlignment w:val="auto"/>
              <w:rPr>
                <w:b/>
                <w:bCs/>
              </w:rPr>
            </w:pPr>
            <w:r>
              <w:rPr>
                <w:rFonts w:hint="eastAsia"/>
                <w:b/>
                <w:bCs/>
              </w:rPr>
              <w:t>1</w:t>
            </w:r>
            <w:r>
              <w:rPr>
                <w:b/>
                <w:bCs/>
              </w:rPr>
              <w:t>.</w:t>
            </w:r>
            <w:r>
              <w:rPr>
                <w:rFonts w:hint="eastAsia"/>
                <w:b/>
                <w:bCs/>
                <w:lang w:val="en-US" w:eastAsia="zh-CN"/>
              </w:rPr>
              <w:t>2</w:t>
            </w:r>
            <w:r>
              <w:rPr>
                <w:b/>
                <w:bCs/>
              </w:rPr>
              <w:t xml:space="preserve"> </w:t>
            </w:r>
            <w:r>
              <w:rPr>
                <w:rFonts w:hint="eastAsia"/>
                <w:b/>
                <w:bCs/>
              </w:rPr>
              <w:t>废气源强核算过程</w:t>
            </w:r>
          </w:p>
          <w:p w14:paraId="7C0346FA">
            <w:pPr>
              <w:pStyle w:val="79"/>
              <w:keepNext w:val="0"/>
              <w:keepLines w:val="0"/>
              <w:pageBreakBefore w:val="0"/>
              <w:widowControl w:val="0"/>
              <w:kinsoku/>
              <w:wordWrap/>
              <w:overflowPunct/>
              <w:topLinePunct w:val="0"/>
              <w:autoSpaceDE/>
              <w:autoSpaceDN/>
              <w:bidi w:val="0"/>
              <w:adjustRightInd w:val="0"/>
              <w:snapToGrid w:val="0"/>
              <w:spacing w:before="0" w:beforeLines="0"/>
              <w:textAlignment w:val="auto"/>
              <w:rPr>
                <w:rFonts w:hint="default" w:eastAsia="宋体"/>
                <w:lang w:val="en-US" w:eastAsia="zh-CN"/>
              </w:rPr>
            </w:pPr>
            <w:r>
              <w:rPr>
                <w:rFonts w:hint="eastAsia"/>
                <w:lang w:val="en-US" w:eastAsia="zh-CN"/>
              </w:rPr>
              <w:t>（1）源强核算</w:t>
            </w:r>
          </w:p>
          <w:p w14:paraId="6075193D">
            <w:pPr>
              <w:pStyle w:val="79"/>
              <w:keepNext w:val="0"/>
              <w:keepLines w:val="0"/>
              <w:pageBreakBefore w:val="0"/>
              <w:widowControl w:val="0"/>
              <w:kinsoku/>
              <w:wordWrap/>
              <w:overflowPunct/>
              <w:topLinePunct w:val="0"/>
              <w:autoSpaceDE/>
              <w:autoSpaceDN/>
              <w:bidi w:val="0"/>
              <w:adjustRightInd w:val="0"/>
              <w:snapToGrid w:val="0"/>
              <w:spacing w:before="0" w:beforeLines="0"/>
              <w:textAlignment w:val="auto"/>
            </w:pPr>
            <w:r>
              <w:rPr>
                <w:rFonts w:hint="eastAsia"/>
              </w:rPr>
              <w:t>1）</w:t>
            </w:r>
            <w:r>
              <w:rPr>
                <w:rFonts w:hint="eastAsia"/>
                <w:lang w:val="en-US" w:eastAsia="zh-CN"/>
              </w:rPr>
              <w:t>擦拭</w:t>
            </w:r>
            <w:r>
              <w:rPr>
                <w:rFonts w:hint="eastAsia"/>
              </w:rPr>
              <w:t>废气（G</w:t>
            </w:r>
            <w:r>
              <w:t>1</w:t>
            </w:r>
            <w:r>
              <w:rPr>
                <w:rFonts w:hint="eastAsia"/>
              </w:rPr>
              <w:t>）</w:t>
            </w:r>
          </w:p>
          <w:p w14:paraId="36F1901E">
            <w:pPr>
              <w:pStyle w:val="51"/>
              <w:ind w:firstLine="480"/>
            </w:pPr>
            <w:r>
              <w:rPr>
                <w:rFonts w:hint="eastAsia"/>
              </w:rPr>
              <w:t>项目锡膏</w:t>
            </w:r>
            <w:r>
              <w:rPr>
                <w:rFonts w:hint="eastAsia"/>
                <w:lang w:val="en-US" w:eastAsia="zh-CN"/>
              </w:rPr>
              <w:t>涂覆</w:t>
            </w:r>
            <w:r>
              <w:rPr>
                <w:rFonts w:hint="eastAsia"/>
              </w:rPr>
              <w:t>工序钢网使用</w:t>
            </w:r>
            <w:r>
              <w:rPr>
                <w:rFonts w:hint="eastAsia"/>
                <w:lang w:val="en-US" w:eastAsia="zh-CN"/>
              </w:rPr>
              <w:t>一段时间</w:t>
            </w:r>
            <w:r>
              <w:rPr>
                <w:rFonts w:hint="eastAsia"/>
              </w:rPr>
              <w:t>后需使用无水乙醇擦拭，过程中产生擦拭废气，污染因子为非甲烷总烃。</w:t>
            </w:r>
            <w:r>
              <w:rPr>
                <w:rFonts w:hint="eastAsia"/>
                <w:color w:val="FF0000"/>
              </w:rPr>
              <w:t>项目</w:t>
            </w:r>
            <w:r>
              <w:rPr>
                <w:rFonts w:hint="eastAsia"/>
                <w:color w:val="FF0000"/>
                <w:lang w:val="en-US" w:eastAsia="zh-CN"/>
              </w:rPr>
              <w:t>酒精（98%）</w:t>
            </w:r>
            <w:r>
              <w:rPr>
                <w:rFonts w:hint="eastAsia"/>
                <w:color w:val="FF0000"/>
              </w:rPr>
              <w:t>使用量为0.</w:t>
            </w:r>
            <w:r>
              <w:rPr>
                <w:rFonts w:hint="eastAsia"/>
                <w:color w:val="FF0000"/>
                <w:lang w:val="en-US" w:eastAsia="zh-CN"/>
              </w:rPr>
              <w:t>4</w:t>
            </w:r>
            <w:r>
              <w:rPr>
                <w:rFonts w:hint="eastAsia"/>
                <w:color w:val="FF0000"/>
              </w:rPr>
              <w:t>t，因此项目擦拭废气非甲烷总烃产生量为0.</w:t>
            </w:r>
            <w:r>
              <w:rPr>
                <w:rFonts w:hint="eastAsia"/>
                <w:color w:val="FF0000"/>
                <w:lang w:val="en-US" w:eastAsia="zh-CN"/>
              </w:rPr>
              <w:t>392</w:t>
            </w:r>
            <w:r>
              <w:rPr>
                <w:rFonts w:hint="eastAsia"/>
                <w:color w:val="FF0000"/>
              </w:rPr>
              <w:t>t/a</w:t>
            </w:r>
            <w:r>
              <w:rPr>
                <w:rFonts w:hint="eastAsia"/>
                <w:color w:val="FF0000"/>
                <w:lang w:eastAsia="zh-CN"/>
              </w:rPr>
              <w:t>，</w:t>
            </w:r>
            <w:r>
              <w:rPr>
                <w:rFonts w:hint="eastAsia"/>
                <w:color w:val="FF0000"/>
              </w:rPr>
              <w:t>擦拭工序工作时间为</w:t>
            </w:r>
            <w:r>
              <w:rPr>
                <w:rFonts w:hint="eastAsia"/>
                <w:color w:val="FF0000"/>
                <w:lang w:val="en-US" w:eastAsia="zh-CN"/>
              </w:rPr>
              <w:t>300h</w:t>
            </w:r>
            <w:r>
              <w:rPr>
                <w:rFonts w:hint="eastAsia"/>
                <w:color w:val="FF0000"/>
              </w:rPr>
              <w:t>，</w:t>
            </w:r>
            <w:r>
              <w:rPr>
                <w:rFonts w:hint="eastAsia"/>
                <w:color w:val="FF0000"/>
                <w:lang w:val="en-US" w:eastAsia="zh-CN"/>
              </w:rPr>
              <w:t>则</w:t>
            </w:r>
            <w:r>
              <w:rPr>
                <w:rFonts w:hint="eastAsia"/>
                <w:color w:val="FF0000"/>
              </w:rPr>
              <w:t>产生速率为</w:t>
            </w:r>
            <w:r>
              <w:rPr>
                <w:rFonts w:hint="eastAsia"/>
                <w:color w:val="FF0000"/>
                <w:lang w:val="en-US" w:eastAsia="zh-CN"/>
              </w:rPr>
              <w:t>0.054</w:t>
            </w:r>
            <w:r>
              <w:rPr>
                <w:rFonts w:hint="eastAsia"/>
                <w:color w:val="FF0000"/>
              </w:rPr>
              <w:t>kg/h。</w:t>
            </w:r>
          </w:p>
          <w:p w14:paraId="5340610A">
            <w:pPr>
              <w:pStyle w:val="51"/>
              <w:ind w:firstLine="480"/>
              <w:rPr>
                <w:rFonts w:hint="default" w:eastAsia="宋体"/>
                <w:b/>
                <w:bCs/>
                <w:color w:val="auto"/>
                <w:lang w:val="en-US" w:eastAsia="zh-CN"/>
              </w:rPr>
            </w:pPr>
            <w:r>
              <w:rPr>
                <w:rFonts w:hint="eastAsia"/>
                <w:b/>
                <w:bCs/>
                <w:color w:val="auto"/>
                <w:lang w:val="en-US" w:eastAsia="zh-CN"/>
              </w:rPr>
              <w:t>2）回流焊废气（G2）</w:t>
            </w:r>
          </w:p>
          <w:p w14:paraId="64EDF728">
            <w:pPr>
              <w:pStyle w:val="51"/>
              <w:keepNext w:val="0"/>
              <w:keepLines w:val="0"/>
              <w:suppressLineNumbers w:val="0"/>
              <w:spacing w:before="0" w:beforeAutospacing="0" w:after="0" w:afterAutospacing="0"/>
              <w:ind w:left="0" w:right="0"/>
              <w:rPr>
                <w:rFonts w:hint="default"/>
                <w:color w:val="auto"/>
              </w:rPr>
            </w:pPr>
            <w:r>
              <w:rPr>
                <w:rFonts w:hint="eastAsia"/>
                <w:color w:val="auto"/>
              </w:rPr>
              <w:t>回流焊接过程</w:t>
            </w:r>
            <w:r>
              <w:rPr>
                <w:rFonts w:hint="eastAsia"/>
                <w:color w:val="auto"/>
                <w:lang w:val="en-US" w:eastAsia="zh-CN"/>
              </w:rPr>
              <w:t>利用无铅锡膏把电子元器件焊接在线路板上</w:t>
            </w:r>
            <w:r>
              <w:rPr>
                <w:rFonts w:hint="eastAsia"/>
                <w:color w:val="auto"/>
                <w:lang w:eastAsia="zh-CN"/>
              </w:rPr>
              <w:t>，</w:t>
            </w:r>
            <w:r>
              <w:rPr>
                <w:rFonts w:hint="eastAsia"/>
                <w:color w:val="auto"/>
              </w:rPr>
              <w:t>焊接过程中产生焊锡废气，主要污染因子为非甲烷总烃</w:t>
            </w:r>
            <w:r>
              <w:rPr>
                <w:rFonts w:hint="eastAsia"/>
                <w:color w:val="auto"/>
                <w:lang w:eastAsia="zh-CN"/>
              </w:rPr>
              <w:t>、</w:t>
            </w:r>
            <w:r>
              <w:rPr>
                <w:rFonts w:hint="eastAsia"/>
                <w:color w:val="auto"/>
              </w:rPr>
              <w:t>锡及其化合物</w:t>
            </w:r>
            <w:r>
              <w:rPr>
                <w:rFonts w:hint="eastAsia"/>
                <w:color w:val="auto"/>
                <w:lang w:val="en-US" w:eastAsia="zh-CN"/>
              </w:rPr>
              <w:t>和颗粒物</w:t>
            </w:r>
            <w:r>
              <w:rPr>
                <w:rFonts w:hint="eastAsia"/>
                <w:color w:val="auto"/>
              </w:rPr>
              <w:t>。</w:t>
            </w:r>
          </w:p>
          <w:p w14:paraId="3A72D3F4">
            <w:pPr>
              <w:pStyle w:val="51"/>
              <w:keepNext w:val="0"/>
              <w:keepLines w:val="0"/>
              <w:suppressLineNumbers w:val="0"/>
              <w:spacing w:before="0" w:beforeAutospacing="0" w:after="0" w:afterAutospacing="0"/>
              <w:ind w:left="0" w:right="0"/>
              <w:rPr>
                <w:rFonts w:hint="default"/>
                <w:color w:val="auto"/>
              </w:rPr>
            </w:pPr>
            <w:r>
              <w:rPr>
                <w:rFonts w:hint="eastAsia"/>
                <w:color w:val="auto"/>
              </w:rPr>
              <w:t>①非甲烷总烃</w:t>
            </w:r>
          </w:p>
          <w:p w14:paraId="2FB0F484">
            <w:pPr>
              <w:pStyle w:val="51"/>
              <w:keepNext w:val="0"/>
              <w:keepLines w:val="0"/>
              <w:suppressLineNumbers w:val="0"/>
              <w:spacing w:before="0" w:beforeAutospacing="0" w:after="0" w:afterAutospacing="0"/>
              <w:ind w:left="0" w:right="0"/>
              <w:rPr>
                <w:rFonts w:hint="default"/>
                <w:color w:val="FF0000"/>
              </w:rPr>
            </w:pPr>
            <w:r>
              <w:rPr>
                <w:rFonts w:hint="eastAsia"/>
                <w:color w:val="FF0000"/>
              </w:rPr>
              <w:t>回流焊接过程使用无铅锡膏，无铅锡膏中含有助焊剂成分（约</w:t>
            </w:r>
            <w:r>
              <w:rPr>
                <w:rFonts w:hint="eastAsia"/>
                <w:color w:val="FF0000"/>
                <w:lang w:val="en-US" w:eastAsia="zh-CN"/>
              </w:rPr>
              <w:t>11.9</w:t>
            </w:r>
            <w:r>
              <w:rPr>
                <w:rFonts w:hint="eastAsia"/>
                <w:color w:val="FF0000"/>
              </w:rPr>
              <w:t>%的松香和溶剂），本项目锡膏</w:t>
            </w:r>
            <w:r>
              <w:rPr>
                <w:rFonts w:hint="eastAsia"/>
                <w:color w:val="FF0000"/>
                <w:lang w:val="en-US" w:eastAsia="zh-CN"/>
              </w:rPr>
              <w:t>总</w:t>
            </w:r>
            <w:r>
              <w:rPr>
                <w:rFonts w:hint="eastAsia"/>
                <w:color w:val="FF0000"/>
              </w:rPr>
              <w:t>用量为</w:t>
            </w:r>
            <w:r>
              <w:rPr>
                <w:rFonts w:hint="eastAsia"/>
                <w:color w:val="FF0000"/>
                <w:lang w:val="en-US" w:eastAsia="zh-CN"/>
              </w:rPr>
              <w:t>43.056</w:t>
            </w:r>
            <w:r>
              <w:rPr>
                <w:rFonts w:hint="eastAsia"/>
                <w:color w:val="FF0000"/>
              </w:rPr>
              <w:t>t/a，本次评价考虑最不利条件，即溶剂成份全部挥发出来，则回流焊接过程中非甲烷总烃产生量为</w:t>
            </w:r>
            <w:r>
              <w:rPr>
                <w:rFonts w:hint="eastAsia"/>
                <w:color w:val="FF0000"/>
                <w:lang w:val="en-US" w:eastAsia="zh-CN"/>
              </w:rPr>
              <w:t>5.124</w:t>
            </w:r>
            <w:r>
              <w:rPr>
                <w:rFonts w:hint="eastAsia"/>
                <w:color w:val="FF0000"/>
              </w:rPr>
              <w:t>t/a。</w:t>
            </w:r>
            <w:r>
              <w:rPr>
                <w:rFonts w:hint="eastAsia"/>
                <w:color w:val="FF0000"/>
                <w:lang w:val="en-US" w:eastAsia="zh-CN"/>
              </w:rPr>
              <w:t>生产时间为7200h，则产生速率为0.712kg/h。</w:t>
            </w:r>
          </w:p>
          <w:p w14:paraId="2730DC02">
            <w:pPr>
              <w:pStyle w:val="51"/>
              <w:keepNext w:val="0"/>
              <w:keepLines w:val="0"/>
              <w:suppressLineNumbers w:val="0"/>
              <w:spacing w:before="0" w:beforeAutospacing="0" w:after="0" w:afterAutospacing="0"/>
              <w:ind w:left="0" w:right="0"/>
              <w:rPr>
                <w:rFonts w:hint="default" w:eastAsia="宋体"/>
                <w:color w:val="auto"/>
                <w:lang w:val="en-US" w:eastAsia="zh-CN"/>
              </w:rPr>
            </w:pPr>
            <w:r>
              <w:rPr>
                <w:rFonts w:hint="eastAsia"/>
                <w:color w:val="auto"/>
              </w:rPr>
              <w:t>②</w:t>
            </w:r>
            <w:r>
              <w:rPr>
                <w:rFonts w:hint="eastAsia"/>
                <w:color w:val="auto"/>
                <w:lang w:val="en-US" w:eastAsia="zh-CN"/>
              </w:rPr>
              <w:t>颗粒物、锡及其化合物</w:t>
            </w:r>
          </w:p>
          <w:p w14:paraId="5651BEB9">
            <w:pPr>
              <w:pStyle w:val="51"/>
              <w:ind w:firstLine="480"/>
              <w:rPr>
                <w:color w:val="auto"/>
              </w:rPr>
            </w:pPr>
            <w:r>
              <w:rPr>
                <w:rFonts w:hint="eastAsia"/>
                <w:color w:val="FF0000"/>
              </w:rPr>
              <w:t>回流焊接</w:t>
            </w:r>
            <w:r>
              <w:rPr>
                <w:rFonts w:hint="eastAsia"/>
                <w:color w:val="FF0000"/>
                <w:lang w:val="en-US" w:eastAsia="zh-CN"/>
              </w:rPr>
              <w:t>颗粒物</w:t>
            </w:r>
            <w:r>
              <w:rPr>
                <w:rFonts w:hint="eastAsia"/>
                <w:color w:val="FF0000"/>
              </w:rPr>
              <w:t>产生源强参考《排放源统计调查产排污核算方法和系数手册》（生态环境部公告2021年第24号）中电子电气行业系数手册-焊接工段无铅锡料（锡膏等，含助焊剂）焊接工序的颗粒物产污系数3.638×10</w:t>
            </w:r>
            <w:r>
              <w:rPr>
                <w:rFonts w:hint="eastAsia"/>
                <w:color w:val="FF0000"/>
                <w:vertAlign w:val="superscript"/>
              </w:rPr>
              <w:t>-1</w:t>
            </w:r>
            <w:r>
              <w:rPr>
                <w:rFonts w:hint="eastAsia"/>
                <w:color w:val="FF0000"/>
              </w:rPr>
              <w:t>g/kg-焊料。本项目锡膏用量为</w:t>
            </w:r>
            <w:r>
              <w:rPr>
                <w:rFonts w:hint="eastAsia"/>
                <w:color w:val="FF0000"/>
                <w:lang w:val="en-US" w:eastAsia="zh-CN"/>
              </w:rPr>
              <w:t>43.056</w:t>
            </w:r>
            <w:r>
              <w:rPr>
                <w:rFonts w:hint="eastAsia"/>
                <w:color w:val="FF0000"/>
              </w:rPr>
              <w:t>t/a，则回流焊接过程中</w:t>
            </w:r>
            <w:r>
              <w:rPr>
                <w:rFonts w:hint="eastAsia"/>
                <w:color w:val="FF0000"/>
                <w:lang w:val="en-US" w:eastAsia="zh-CN"/>
              </w:rPr>
              <w:t>颗粒物</w:t>
            </w:r>
            <w:r>
              <w:rPr>
                <w:rFonts w:hint="eastAsia"/>
                <w:color w:val="FF0000"/>
              </w:rPr>
              <w:t>产生量为0.0</w:t>
            </w:r>
            <w:r>
              <w:rPr>
                <w:rFonts w:hint="eastAsia"/>
                <w:color w:val="FF0000"/>
                <w:lang w:val="en-US" w:eastAsia="zh-CN"/>
              </w:rPr>
              <w:t>16</w:t>
            </w:r>
            <w:r>
              <w:rPr>
                <w:rFonts w:hint="eastAsia"/>
                <w:color w:val="FF0000"/>
              </w:rPr>
              <w:t>t/a</w:t>
            </w:r>
            <w:r>
              <w:rPr>
                <w:rFonts w:hint="eastAsia"/>
                <w:color w:val="FF0000"/>
                <w:lang w:eastAsia="zh-CN"/>
              </w:rPr>
              <w:t>，</w:t>
            </w:r>
            <w:r>
              <w:rPr>
                <w:rFonts w:hint="eastAsia"/>
                <w:color w:val="FF0000"/>
                <w:lang w:val="en-US" w:eastAsia="zh-CN"/>
              </w:rPr>
              <w:t>年生产时间为7200h，则产生速率为0.002kg/h。项目颗粒物的主要成份为锡及其化合物，根据企业提供的锡膏的MSDS，项目所用锡膏中锡的含量为85%，则锡及其化合物产生量为0.014t/a，产生速率0.002kg/h。</w:t>
            </w:r>
          </w:p>
          <w:p w14:paraId="1FF01CB1">
            <w:pPr>
              <w:pStyle w:val="51"/>
              <w:keepNext w:val="0"/>
              <w:keepLines w:val="0"/>
              <w:suppressLineNumbers w:val="0"/>
              <w:spacing w:before="0" w:beforeAutospacing="0" w:after="0" w:afterAutospacing="0"/>
              <w:ind w:left="0" w:right="0" w:firstLine="482"/>
              <w:rPr>
                <w:rFonts w:hint="eastAsia" w:eastAsia="宋体"/>
                <w:b/>
                <w:bCs/>
                <w:lang w:eastAsia="zh-CN"/>
              </w:rPr>
            </w:pPr>
            <w:r>
              <w:rPr>
                <w:rFonts w:hint="eastAsia"/>
                <w:b/>
                <w:bCs/>
              </w:rPr>
              <w:t>3）手工焊废气</w:t>
            </w:r>
            <w:r>
              <w:rPr>
                <w:rFonts w:hint="eastAsia"/>
                <w:b/>
                <w:bCs/>
                <w:lang w:eastAsia="zh-CN"/>
              </w:rPr>
              <w:t>（</w:t>
            </w:r>
            <w:r>
              <w:rPr>
                <w:rFonts w:hint="eastAsia"/>
                <w:b/>
                <w:bCs/>
                <w:lang w:val="en-US" w:eastAsia="zh-CN"/>
              </w:rPr>
              <w:t>G3</w:t>
            </w:r>
            <w:r>
              <w:rPr>
                <w:rFonts w:hint="eastAsia"/>
                <w:b/>
                <w:bCs/>
                <w:lang w:eastAsia="zh-CN"/>
              </w:rPr>
              <w:t>）</w:t>
            </w:r>
          </w:p>
          <w:p w14:paraId="63CB9BD9">
            <w:pPr>
              <w:pStyle w:val="51"/>
              <w:keepNext w:val="0"/>
              <w:keepLines w:val="0"/>
              <w:suppressLineNumbers w:val="0"/>
              <w:spacing w:before="0" w:beforeAutospacing="0" w:after="0" w:afterAutospacing="0"/>
              <w:ind w:left="0" w:right="0"/>
              <w:rPr>
                <w:rFonts w:hint="default"/>
                <w:color w:val="auto"/>
              </w:rPr>
            </w:pPr>
            <w:r>
              <w:rPr>
                <w:rFonts w:hint="eastAsia"/>
                <w:color w:val="auto"/>
              </w:rPr>
              <w:t>手工焊接过程中产生焊锡废气，主要污染因子为非甲烷总烃</w:t>
            </w:r>
            <w:r>
              <w:rPr>
                <w:rFonts w:hint="eastAsia"/>
                <w:color w:val="auto"/>
                <w:lang w:eastAsia="zh-CN"/>
              </w:rPr>
              <w:t>、</w:t>
            </w:r>
            <w:r>
              <w:rPr>
                <w:rFonts w:hint="eastAsia"/>
                <w:color w:val="auto"/>
              </w:rPr>
              <w:t>锡及其化合物</w:t>
            </w:r>
            <w:r>
              <w:rPr>
                <w:rFonts w:hint="eastAsia"/>
                <w:color w:val="auto"/>
                <w:lang w:val="en-US" w:eastAsia="zh-CN"/>
              </w:rPr>
              <w:t>和颗粒物</w:t>
            </w:r>
            <w:r>
              <w:rPr>
                <w:rFonts w:hint="eastAsia"/>
                <w:color w:val="auto"/>
              </w:rPr>
              <w:t>。</w:t>
            </w:r>
          </w:p>
          <w:p w14:paraId="325467C6">
            <w:pPr>
              <w:pStyle w:val="51"/>
              <w:keepNext w:val="0"/>
              <w:keepLines w:val="0"/>
              <w:suppressLineNumbers w:val="0"/>
              <w:spacing w:before="0" w:beforeAutospacing="0" w:after="0" w:afterAutospacing="0"/>
              <w:ind w:left="0" w:right="0"/>
              <w:rPr>
                <w:rFonts w:hint="default"/>
                <w:color w:val="auto"/>
              </w:rPr>
            </w:pPr>
            <w:r>
              <w:rPr>
                <w:rFonts w:hint="eastAsia"/>
                <w:color w:val="auto"/>
              </w:rPr>
              <w:t>①非甲烷总烃</w:t>
            </w:r>
          </w:p>
          <w:p w14:paraId="39171F97">
            <w:pPr>
              <w:pStyle w:val="51"/>
              <w:keepNext w:val="0"/>
              <w:keepLines w:val="0"/>
              <w:suppressLineNumbers w:val="0"/>
              <w:spacing w:before="0" w:beforeAutospacing="0" w:after="0" w:afterAutospacing="0"/>
              <w:ind w:left="0" w:right="0"/>
              <w:rPr>
                <w:rFonts w:hint="default"/>
                <w:color w:val="auto"/>
              </w:rPr>
            </w:pPr>
            <w:r>
              <w:rPr>
                <w:rFonts w:hint="eastAsia"/>
                <w:color w:val="auto"/>
              </w:rPr>
              <w:t>手工焊接过程使用无铅锡丝，无铅锡丝中含有助焊剂成分（约2.5%的松香），本项目无铅锡丝用量为0.</w:t>
            </w:r>
            <w:r>
              <w:rPr>
                <w:rFonts w:hint="eastAsia"/>
                <w:color w:val="auto"/>
                <w:lang w:val="en-US" w:eastAsia="zh-CN"/>
              </w:rPr>
              <w:t>2</w:t>
            </w:r>
            <w:r>
              <w:rPr>
                <w:rFonts w:hint="eastAsia"/>
                <w:color w:val="auto"/>
              </w:rPr>
              <w:t>t/a，本次评价考虑最不利条件，即溶剂成份全部挥发出来，则手工焊接过程中非甲烷总烃产生量为0.00</w:t>
            </w:r>
            <w:r>
              <w:rPr>
                <w:rFonts w:hint="eastAsia"/>
                <w:color w:val="auto"/>
                <w:lang w:val="en-US" w:eastAsia="zh-CN"/>
              </w:rPr>
              <w:t>5</w:t>
            </w:r>
            <w:r>
              <w:rPr>
                <w:rFonts w:hint="eastAsia"/>
                <w:color w:val="auto"/>
              </w:rPr>
              <w:t>t/a。</w:t>
            </w:r>
            <w:r>
              <w:rPr>
                <w:rFonts w:hint="eastAsia"/>
                <w:color w:val="auto"/>
                <w:lang w:val="en-US" w:eastAsia="zh-CN"/>
              </w:rPr>
              <w:t>年生产时间为7200h，则产生速率为0.001kg/h。</w:t>
            </w:r>
          </w:p>
          <w:p w14:paraId="6BB4CFE9">
            <w:pPr>
              <w:pStyle w:val="51"/>
              <w:keepNext w:val="0"/>
              <w:keepLines w:val="0"/>
              <w:suppressLineNumbers w:val="0"/>
              <w:spacing w:before="0" w:beforeAutospacing="0" w:after="0" w:afterAutospacing="0"/>
              <w:ind w:left="0" w:right="0"/>
              <w:rPr>
                <w:rFonts w:hint="default" w:eastAsia="宋体"/>
                <w:color w:val="auto"/>
                <w:lang w:val="en-US" w:eastAsia="zh-CN"/>
              </w:rPr>
            </w:pPr>
            <w:r>
              <w:rPr>
                <w:rFonts w:hint="eastAsia"/>
                <w:color w:val="auto"/>
              </w:rPr>
              <w:t>②</w:t>
            </w:r>
            <w:r>
              <w:rPr>
                <w:rFonts w:hint="eastAsia"/>
                <w:color w:val="auto"/>
                <w:lang w:val="en-US" w:eastAsia="zh-CN"/>
              </w:rPr>
              <w:t>颗粒物、锡及其化合物</w:t>
            </w:r>
          </w:p>
          <w:p w14:paraId="0CB9220D">
            <w:pPr>
              <w:pStyle w:val="51"/>
              <w:ind w:firstLine="480"/>
            </w:pPr>
            <w:r>
              <w:rPr>
                <w:rFonts w:hint="eastAsia"/>
                <w:color w:val="auto"/>
              </w:rPr>
              <w:t>手工焊接</w:t>
            </w:r>
            <w:r>
              <w:rPr>
                <w:rFonts w:hint="eastAsia"/>
                <w:color w:val="auto"/>
                <w:lang w:val="en-US" w:eastAsia="zh-CN"/>
              </w:rPr>
              <w:t>颗粒物</w:t>
            </w:r>
            <w:r>
              <w:rPr>
                <w:rFonts w:hint="eastAsia"/>
                <w:color w:val="auto"/>
              </w:rPr>
              <w:t>产生源强参考《</w:t>
            </w:r>
            <w:bookmarkStart w:id="7" w:name="OLE_LINK3"/>
            <w:r>
              <w:rPr>
                <w:rFonts w:hint="eastAsia"/>
                <w:color w:val="auto"/>
              </w:rPr>
              <w:t>排放源统计调查产排污核算方法和系数手册</w:t>
            </w:r>
            <w:bookmarkEnd w:id="7"/>
            <w:r>
              <w:rPr>
                <w:rFonts w:hint="eastAsia"/>
                <w:color w:val="auto"/>
              </w:rPr>
              <w:t>》（生态环境部公告2021年第24号）中电子电气行业系数手册-焊接工段无铅锡料（锡丝等，含助焊剂）焊接工序的颗粒物产污系数4.023×10</w:t>
            </w:r>
            <w:r>
              <w:rPr>
                <w:rFonts w:hint="eastAsia"/>
                <w:color w:val="auto"/>
                <w:vertAlign w:val="superscript"/>
              </w:rPr>
              <w:t>-1</w:t>
            </w:r>
            <w:r>
              <w:rPr>
                <w:rFonts w:hint="eastAsia"/>
                <w:color w:val="auto"/>
              </w:rPr>
              <w:t>g/kg-焊料。本项目无铅锡丝用量为0.</w:t>
            </w:r>
            <w:r>
              <w:rPr>
                <w:rFonts w:hint="eastAsia"/>
                <w:color w:val="auto"/>
                <w:lang w:val="en-US" w:eastAsia="zh-CN"/>
              </w:rPr>
              <w:t>2</w:t>
            </w:r>
            <w:r>
              <w:rPr>
                <w:rFonts w:hint="eastAsia"/>
                <w:color w:val="auto"/>
              </w:rPr>
              <w:t>t/a，则</w:t>
            </w:r>
            <w:r>
              <w:rPr>
                <w:rFonts w:hint="eastAsia"/>
                <w:color w:val="auto"/>
                <w:lang w:val="en-US" w:eastAsia="zh-CN"/>
              </w:rPr>
              <w:t>手工</w:t>
            </w:r>
            <w:r>
              <w:rPr>
                <w:rFonts w:hint="eastAsia"/>
                <w:color w:val="auto"/>
              </w:rPr>
              <w:t>焊接过程中</w:t>
            </w:r>
            <w:r>
              <w:rPr>
                <w:rFonts w:hint="eastAsia"/>
                <w:color w:val="auto"/>
                <w:lang w:val="en-US" w:eastAsia="zh-CN"/>
              </w:rPr>
              <w:t>颗粒物</w:t>
            </w:r>
            <w:r>
              <w:rPr>
                <w:rFonts w:hint="eastAsia"/>
                <w:color w:val="auto"/>
              </w:rPr>
              <w:t>产生量为0.000</w:t>
            </w:r>
            <w:r>
              <w:rPr>
                <w:rFonts w:hint="eastAsia"/>
                <w:color w:val="auto"/>
                <w:lang w:val="en-US" w:eastAsia="zh-CN"/>
              </w:rPr>
              <w:t>1</w:t>
            </w:r>
            <w:r>
              <w:rPr>
                <w:rFonts w:hint="eastAsia"/>
                <w:color w:val="auto"/>
              </w:rPr>
              <w:t>t/a</w:t>
            </w:r>
            <w:r>
              <w:rPr>
                <w:rFonts w:hint="eastAsia"/>
                <w:color w:val="auto"/>
                <w:lang w:eastAsia="zh-CN"/>
              </w:rPr>
              <w:t>，</w:t>
            </w:r>
            <w:r>
              <w:rPr>
                <w:rFonts w:hint="eastAsia"/>
                <w:color w:val="auto"/>
                <w:lang w:val="en-US" w:eastAsia="zh-CN"/>
              </w:rPr>
              <w:t>年生产时间为7200h，则产生速率为0.00001kg/h。项目颗粒物的主要成份为锡及其化合物，根据企业提供的锡丝的MSDS，项目所用锡丝中锡的含量为96.8%，则锡及其化合物产生量为0.0001t/a，产生速率0.00001kg/h。</w:t>
            </w:r>
          </w:p>
          <w:p w14:paraId="19966449">
            <w:pPr>
              <w:pStyle w:val="51"/>
              <w:ind w:firstLine="480"/>
              <w:rPr>
                <w:rFonts w:hint="default" w:eastAsia="宋体"/>
                <w:b/>
                <w:bCs/>
                <w:lang w:val="en-US" w:eastAsia="zh-CN"/>
              </w:rPr>
            </w:pPr>
            <w:r>
              <w:rPr>
                <w:rFonts w:hint="eastAsia"/>
                <w:b/>
                <w:bCs/>
                <w:lang w:val="en-US" w:eastAsia="zh-CN"/>
              </w:rPr>
              <w:t>4）投料粉尘</w:t>
            </w:r>
          </w:p>
          <w:p w14:paraId="5A3FDBF6">
            <w:pPr>
              <w:pStyle w:val="51"/>
              <w:ind w:firstLine="480"/>
              <w:rPr>
                <w:rFonts w:hint="default" w:eastAsia="宋体"/>
                <w:lang w:val="en-US" w:eastAsia="zh-CN"/>
              </w:rPr>
            </w:pPr>
            <w:r>
              <w:rPr>
                <w:rFonts w:hint="eastAsia"/>
              </w:rPr>
              <w:t>本项目配粉工序所使用的粉料为荧光粉，进料料斗口设有保护罩，因此在进料的时候仅有少量粉尘产生。根据《排放源统计调查产排污核算方法和系数手册》（生态环境部公告2021年第24号）中电子电气行业系数手册-</w:t>
            </w:r>
            <w:r>
              <w:rPr>
                <w:rFonts w:hint="eastAsia"/>
                <w:lang w:val="en-US" w:eastAsia="zh-CN"/>
              </w:rPr>
              <w:t>配料（混合）颗粒物</w:t>
            </w:r>
            <w:r>
              <w:rPr>
                <w:rFonts w:hint="eastAsia"/>
                <w:color w:val="auto"/>
              </w:rPr>
              <w:t>产污系数</w:t>
            </w:r>
            <w:r>
              <w:rPr>
                <w:rFonts w:hint="eastAsia"/>
                <w:color w:val="auto"/>
                <w:lang w:val="en-US" w:eastAsia="zh-CN"/>
              </w:rPr>
              <w:t>为6.118</w:t>
            </w:r>
            <w:r>
              <w:rPr>
                <w:rFonts w:hint="eastAsia"/>
              </w:rPr>
              <w:t>g/kg-原料</w:t>
            </w:r>
            <w:r>
              <w:rPr>
                <w:rFonts w:hint="eastAsia"/>
                <w:lang w:eastAsia="zh-CN"/>
              </w:rPr>
              <w:t>。</w:t>
            </w:r>
            <w:r>
              <w:rPr>
                <w:rFonts w:hint="eastAsia"/>
                <w:lang w:val="en-US" w:eastAsia="zh-CN"/>
              </w:rPr>
              <w:t>本项目荧光粉使用量为8</w:t>
            </w:r>
            <w:r>
              <w:rPr>
                <w:rFonts w:hint="eastAsia"/>
              </w:rPr>
              <w:t>t/a，</w:t>
            </w:r>
            <w:r>
              <w:rPr>
                <w:rFonts w:hint="eastAsia"/>
                <w:lang w:val="en-US" w:eastAsia="zh-CN"/>
              </w:rPr>
              <w:t>则颗粒物产生量为0.005t，配粉时间约1200h，则产生速率为0.004kg/h。</w:t>
            </w:r>
            <w:r>
              <w:rPr>
                <w:rFonts w:hint="eastAsia"/>
              </w:rPr>
              <w:t>因产生量、产生速率均较少，经车间通风无组织排放。</w:t>
            </w:r>
          </w:p>
          <w:p w14:paraId="6CE6A4F8">
            <w:pPr>
              <w:pStyle w:val="51"/>
              <w:ind w:firstLine="480"/>
              <w:rPr>
                <w:rFonts w:hint="default" w:eastAsia="宋体"/>
                <w:b/>
                <w:bCs/>
                <w:lang w:val="en-US" w:eastAsia="zh-CN"/>
              </w:rPr>
            </w:pPr>
            <w:r>
              <w:rPr>
                <w:rFonts w:hint="eastAsia"/>
                <w:b/>
                <w:bCs/>
                <w:lang w:val="en-US" w:eastAsia="zh-CN"/>
              </w:rPr>
              <w:t>5）固化废气</w:t>
            </w:r>
          </w:p>
          <w:p w14:paraId="0798D685">
            <w:pPr>
              <w:pStyle w:val="79"/>
              <w:keepNext w:val="0"/>
              <w:keepLines w:val="0"/>
              <w:pageBreakBefore w:val="0"/>
              <w:widowControl w:val="0"/>
              <w:kinsoku/>
              <w:wordWrap/>
              <w:overflowPunct/>
              <w:topLinePunct w:val="0"/>
              <w:autoSpaceDE/>
              <w:autoSpaceDN/>
              <w:bidi w:val="0"/>
              <w:adjustRightInd w:val="0"/>
              <w:snapToGrid w:val="0"/>
              <w:spacing w:before="0" w:beforeLines="0"/>
              <w:textAlignment w:val="auto"/>
              <w:rPr>
                <w:rFonts w:hint="eastAsia"/>
                <w:b w:val="0"/>
                <w:bCs w:val="0"/>
                <w:color w:val="auto"/>
                <w:lang w:val="en-US" w:eastAsia="zh-CN"/>
              </w:rPr>
            </w:pPr>
            <w:r>
              <w:rPr>
                <w:rFonts w:hint="eastAsia"/>
                <w:b w:val="0"/>
                <w:bCs w:val="0"/>
                <w:lang w:val="en-US" w:eastAsia="zh-CN"/>
              </w:rPr>
              <w:t>根据建设单位提供资料，项目生产过程中使用硅胶约300吨，硅胶在常温下不挥发，仅在隧道炉固化烘烤时产生有机废气，</w:t>
            </w:r>
            <w:r>
              <w:rPr>
                <w:rFonts w:hint="eastAsia"/>
                <w:b w:val="0"/>
                <w:bCs w:val="0"/>
              </w:rPr>
              <w:t>污染因子</w:t>
            </w:r>
            <w:r>
              <w:rPr>
                <w:rFonts w:hint="eastAsia"/>
                <w:b w:val="0"/>
                <w:bCs w:val="0"/>
                <w:lang w:val="en-US" w:eastAsia="zh-CN"/>
              </w:rPr>
              <w:t>为</w:t>
            </w:r>
            <w:r>
              <w:rPr>
                <w:rFonts w:hint="eastAsia"/>
                <w:b w:val="0"/>
                <w:bCs w:val="0"/>
              </w:rPr>
              <w:t>非甲烷总烃。</w:t>
            </w:r>
            <w:r>
              <w:rPr>
                <w:rFonts w:hint="eastAsia"/>
                <w:b w:val="0"/>
                <w:bCs w:val="0"/>
                <w:color w:val="FF0000"/>
              </w:rPr>
              <w:t>根据硅胶的V</w:t>
            </w:r>
            <w:r>
              <w:rPr>
                <w:rFonts w:hint="eastAsia"/>
                <w:b w:val="0"/>
                <w:bCs w:val="0"/>
                <w:color w:val="FF0000"/>
                <w:lang w:val="en-US" w:eastAsia="zh-CN"/>
              </w:rPr>
              <w:t>O</w:t>
            </w:r>
            <w:r>
              <w:rPr>
                <w:rFonts w:hint="eastAsia"/>
                <w:b w:val="0"/>
                <w:bCs w:val="0"/>
                <w:color w:val="FF0000"/>
              </w:rPr>
              <w:t>Cs含量检测报告，硅胶的挥发量以</w:t>
            </w:r>
            <w:r>
              <w:rPr>
                <w:rFonts w:hint="eastAsia"/>
                <w:b w:val="0"/>
                <w:bCs w:val="0"/>
                <w:color w:val="FF0000"/>
                <w:lang w:val="en-US" w:eastAsia="zh-CN"/>
              </w:rPr>
              <w:t>12</w:t>
            </w:r>
            <w:r>
              <w:rPr>
                <w:rFonts w:hint="eastAsia"/>
                <w:b w:val="0"/>
                <w:bCs w:val="0"/>
                <w:color w:val="FF0000"/>
              </w:rPr>
              <w:t>g</w:t>
            </w:r>
            <w:r>
              <w:rPr>
                <w:rFonts w:hint="eastAsia"/>
                <w:b w:val="0"/>
                <w:bCs w:val="0"/>
                <w:color w:val="FF0000"/>
                <w:lang w:val="en-US" w:eastAsia="zh-CN"/>
              </w:rPr>
              <w:t>/</w:t>
            </w:r>
            <w:r>
              <w:rPr>
                <w:rFonts w:hint="eastAsia"/>
                <w:b w:val="0"/>
                <w:bCs w:val="0"/>
                <w:color w:val="FF0000"/>
              </w:rPr>
              <w:t>kg计，则非甲烷总烃产生量为</w:t>
            </w:r>
            <w:r>
              <w:rPr>
                <w:rFonts w:hint="eastAsia"/>
                <w:b w:val="0"/>
                <w:bCs w:val="0"/>
                <w:color w:val="FF0000"/>
                <w:lang w:val="en-US" w:eastAsia="zh-CN"/>
              </w:rPr>
              <w:t>3.6</w:t>
            </w:r>
            <w:r>
              <w:rPr>
                <w:rFonts w:hint="eastAsia"/>
                <w:b w:val="0"/>
                <w:bCs w:val="0"/>
                <w:color w:val="FF0000"/>
              </w:rPr>
              <w:t>t/a</w:t>
            </w:r>
            <w:r>
              <w:rPr>
                <w:rFonts w:hint="eastAsia"/>
                <w:b w:val="0"/>
                <w:bCs w:val="0"/>
                <w:color w:val="FF0000"/>
                <w:lang w:val="en-US" w:eastAsia="zh-CN"/>
              </w:rPr>
              <w:t>，</w:t>
            </w:r>
            <w:r>
              <w:rPr>
                <w:rFonts w:hint="eastAsia"/>
                <w:b w:val="0"/>
                <w:bCs w:val="0"/>
                <w:color w:val="FF0000"/>
              </w:rPr>
              <w:t>本项目固化工序年工作</w:t>
            </w:r>
            <w:r>
              <w:rPr>
                <w:rFonts w:hint="eastAsia"/>
                <w:b w:val="0"/>
                <w:bCs w:val="0"/>
                <w:color w:val="FF0000"/>
                <w:lang w:val="en-US" w:eastAsia="zh-CN"/>
              </w:rPr>
              <w:t>7200h</w:t>
            </w:r>
            <w:r>
              <w:rPr>
                <w:rFonts w:hint="eastAsia"/>
                <w:b w:val="0"/>
                <w:bCs w:val="0"/>
                <w:color w:val="FF0000"/>
                <w:lang w:eastAsia="zh-CN"/>
              </w:rPr>
              <w:t>，</w:t>
            </w:r>
            <w:r>
              <w:rPr>
                <w:rFonts w:hint="eastAsia"/>
                <w:b w:val="0"/>
                <w:bCs w:val="0"/>
                <w:color w:val="FF0000"/>
                <w:lang w:val="en-US" w:eastAsia="zh-CN"/>
              </w:rPr>
              <w:t>则产生速率为0.5kg/h。</w:t>
            </w:r>
          </w:p>
          <w:p w14:paraId="0C95FE80">
            <w:pPr>
              <w:pStyle w:val="79"/>
              <w:keepNext w:val="0"/>
              <w:keepLines w:val="0"/>
              <w:pageBreakBefore w:val="0"/>
              <w:widowControl w:val="0"/>
              <w:kinsoku/>
              <w:wordWrap/>
              <w:overflowPunct/>
              <w:topLinePunct w:val="0"/>
              <w:autoSpaceDE/>
              <w:autoSpaceDN/>
              <w:bidi w:val="0"/>
              <w:adjustRightInd w:val="0"/>
              <w:snapToGrid w:val="0"/>
              <w:spacing w:before="0" w:beforeLines="0"/>
              <w:textAlignment w:val="auto"/>
              <w:rPr>
                <w:rFonts w:hint="default" w:eastAsia="宋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废气收集及处置措施</w:t>
            </w:r>
          </w:p>
          <w:p w14:paraId="406FBBC7">
            <w:pPr>
              <w:pStyle w:val="51"/>
              <w:keepNext w:val="0"/>
              <w:keepLines w:val="0"/>
              <w:numPr>
                <w:ilvl w:val="0"/>
                <w:numId w:val="0"/>
              </w:numPr>
              <w:suppressLineNumbers w:val="0"/>
              <w:spacing w:before="0" w:beforeAutospacing="0" w:after="0" w:afterAutospacing="0"/>
              <w:ind w:leftChars="200" w:right="0" w:rightChars="0"/>
              <w:rPr>
                <w:rFonts w:hint="default"/>
                <w:color w:val="FF0000"/>
                <w:lang w:val="en-US" w:eastAsia="zh-CN"/>
              </w:rPr>
            </w:pPr>
            <w:r>
              <w:rPr>
                <w:rFonts w:hint="eastAsia"/>
                <w:color w:val="FF0000"/>
                <w:lang w:val="en-US" w:eastAsia="zh-CN"/>
              </w:rPr>
              <w:t>①擦拭废气</w:t>
            </w:r>
          </w:p>
          <w:p w14:paraId="7D87B587">
            <w:pPr>
              <w:pStyle w:val="51"/>
              <w:keepNext w:val="0"/>
              <w:keepLines w:val="0"/>
              <w:numPr>
                <w:ilvl w:val="0"/>
                <w:numId w:val="0"/>
              </w:numPr>
              <w:suppressLineNumbers w:val="0"/>
              <w:spacing w:before="0" w:beforeAutospacing="0" w:after="0" w:afterAutospacing="0"/>
              <w:ind w:right="0" w:rightChars="0" w:firstLine="480" w:firstLineChars="200"/>
              <w:rPr>
                <w:rFonts w:hint="eastAsia"/>
                <w:lang w:val="en-US" w:eastAsia="zh-CN"/>
              </w:rPr>
            </w:pPr>
            <w:r>
              <w:rPr>
                <w:rFonts w:hint="eastAsia"/>
                <w:color w:val="FF0000"/>
              </w:rPr>
              <w:t>本项目设置</w:t>
            </w:r>
            <w:r>
              <w:rPr>
                <w:rFonts w:hint="eastAsia"/>
                <w:color w:val="FF0000"/>
                <w:lang w:val="en-US" w:eastAsia="zh-CN"/>
              </w:rPr>
              <w:t>4</w:t>
            </w:r>
            <w:r>
              <w:rPr>
                <w:rFonts w:hint="eastAsia"/>
                <w:color w:val="FF0000"/>
              </w:rPr>
              <w:t>台</w:t>
            </w:r>
            <w:r>
              <w:rPr>
                <w:rFonts w:hint="eastAsia"/>
                <w:color w:val="FF0000"/>
                <w:lang w:val="en-US" w:eastAsia="zh-CN"/>
              </w:rPr>
              <w:t>锡膏印刷机</w:t>
            </w:r>
            <w:r>
              <w:rPr>
                <w:rFonts w:hint="eastAsia"/>
                <w:color w:val="FF0000"/>
              </w:rPr>
              <w:t>，</w:t>
            </w:r>
            <w:r>
              <w:rPr>
                <w:rFonts w:hint="eastAsia"/>
                <w:color w:val="FF0000"/>
                <w:lang w:val="en-US" w:eastAsia="zh-CN"/>
              </w:rPr>
              <w:t>在锡膏印刷机上方设置集气罩，集气罩尺寸1m×0.5m，废气收集效率以90%计，擦拭废气经集气罩收集通过一套过滤棉+二级活性炭吸附装置（编号：TA001）处理后，尾气经一根25m高的排气筒（编号：DA001）排放。</w:t>
            </w:r>
          </w:p>
          <w:p w14:paraId="228410C5">
            <w:pPr>
              <w:pStyle w:val="51"/>
              <w:keepNext w:val="0"/>
              <w:keepLines w:val="0"/>
              <w:numPr>
                <w:ilvl w:val="0"/>
                <w:numId w:val="0"/>
              </w:numPr>
              <w:suppressLineNumbers w:val="0"/>
              <w:spacing w:before="0" w:beforeAutospacing="0" w:after="0" w:afterAutospacing="0"/>
              <w:ind w:leftChars="200" w:right="0" w:rightChars="0"/>
              <w:rPr>
                <w:rFonts w:hint="default"/>
              </w:rPr>
            </w:pPr>
            <w:r>
              <w:rPr>
                <w:rFonts w:hint="eastAsia"/>
                <w:lang w:val="en-US" w:eastAsia="zh-CN"/>
              </w:rPr>
              <w:t>②</w:t>
            </w:r>
            <w:r>
              <w:rPr>
                <w:rFonts w:hint="eastAsia"/>
              </w:rPr>
              <w:t>回流焊废气</w:t>
            </w:r>
          </w:p>
          <w:p w14:paraId="08E61235">
            <w:pPr>
              <w:pStyle w:val="51"/>
              <w:keepNext w:val="0"/>
              <w:keepLines w:val="0"/>
              <w:suppressLineNumbers w:val="0"/>
              <w:spacing w:before="0" w:beforeAutospacing="0" w:after="0" w:afterAutospacing="0"/>
              <w:ind w:left="0" w:right="0"/>
              <w:rPr>
                <w:rFonts w:hint="default"/>
              </w:rPr>
            </w:pPr>
            <w:r>
              <w:rPr>
                <w:rFonts w:hint="eastAsia"/>
              </w:rPr>
              <w:t>本项目设置</w:t>
            </w:r>
            <w:r>
              <w:rPr>
                <w:rFonts w:hint="eastAsia"/>
                <w:lang w:val="en-US" w:eastAsia="zh-CN"/>
              </w:rPr>
              <w:t>24</w:t>
            </w:r>
            <w:r>
              <w:rPr>
                <w:rFonts w:hint="eastAsia"/>
              </w:rPr>
              <w:t>台回流焊机，回流焊机在生产过程除物料进出口外，其余部分均为密闭结构，设备进出口两端直接连接集气管道，收集效率约为9</w:t>
            </w:r>
            <w:r>
              <w:rPr>
                <w:rFonts w:hint="eastAsia"/>
                <w:lang w:val="en-US" w:eastAsia="zh-CN"/>
              </w:rPr>
              <w:t>5</w:t>
            </w:r>
            <w:r>
              <w:rPr>
                <w:rFonts w:hint="eastAsia"/>
              </w:rPr>
              <w:t>%。回流焊废气经集气管道微负压收集后，通过一套过滤棉+二级活性炭吸附装置（编号：TA001）处理后，尾气经一根</w:t>
            </w:r>
            <w:r>
              <w:rPr>
                <w:rFonts w:hint="eastAsia"/>
                <w:lang w:val="en-US" w:eastAsia="zh-CN"/>
              </w:rPr>
              <w:t>25</w:t>
            </w:r>
            <w:r>
              <w:rPr>
                <w:rFonts w:hint="eastAsia"/>
              </w:rPr>
              <w:t>m高的排气筒（编号：DA001）排放。</w:t>
            </w:r>
          </w:p>
          <w:p w14:paraId="1949D191">
            <w:pPr>
              <w:pStyle w:val="51"/>
              <w:keepNext w:val="0"/>
              <w:keepLines w:val="0"/>
              <w:suppressLineNumbers w:val="0"/>
              <w:spacing w:before="0" w:beforeAutospacing="0" w:after="0" w:afterAutospacing="0"/>
              <w:ind w:left="0" w:right="0"/>
              <w:rPr>
                <w:rFonts w:hint="default"/>
              </w:rPr>
            </w:pPr>
            <w:r>
              <w:rPr>
                <w:rFonts w:hint="eastAsia"/>
                <w:lang w:val="en-US" w:eastAsia="zh-CN"/>
              </w:rPr>
              <w:t>③</w:t>
            </w:r>
            <w:r>
              <w:rPr>
                <w:rFonts w:hint="eastAsia"/>
              </w:rPr>
              <w:t>手工焊焊锡废气</w:t>
            </w:r>
          </w:p>
          <w:p w14:paraId="4F2E850F">
            <w:pPr>
              <w:pStyle w:val="51"/>
              <w:keepNext w:val="0"/>
              <w:keepLines w:val="0"/>
              <w:suppressLineNumbers w:val="0"/>
              <w:spacing w:before="0" w:beforeAutospacing="0" w:after="0" w:afterAutospacing="0"/>
              <w:ind w:left="0" w:right="0"/>
              <w:rPr>
                <w:rFonts w:hint="default"/>
              </w:rPr>
            </w:pPr>
            <w:commentRangeStart w:id="0"/>
            <w:r>
              <w:rPr>
                <w:rFonts w:hint="eastAsia"/>
              </w:rPr>
              <w:t>本项目共设置25个人工焊接工位，</w:t>
            </w:r>
            <w:commentRangeEnd w:id="0"/>
            <w:r>
              <w:commentReference w:id="0"/>
            </w:r>
            <w:r>
              <w:rPr>
                <w:rFonts w:hint="eastAsia"/>
              </w:rPr>
              <w:t>在每个人工焊接工位设置集气罩（</w:t>
            </w:r>
            <w:r>
              <w:rPr>
                <w:rFonts w:hint="eastAsia"/>
                <w:lang w:val="en-US" w:eastAsia="zh-CN"/>
              </w:rPr>
              <w:t>圆形集气罩，</w:t>
            </w:r>
            <w:r>
              <w:rPr>
                <w:rFonts w:hint="eastAsia"/>
                <w:color w:val="FF0000"/>
              </w:rPr>
              <w:t>集气罩尺寸</w:t>
            </w:r>
            <w:r>
              <w:rPr>
                <w:rFonts w:hint="eastAsia"/>
                <w:color w:val="FF0000"/>
                <w:lang w:val="en-US" w:eastAsia="zh-CN"/>
              </w:rPr>
              <w:t>r=</w:t>
            </w:r>
            <w:commentRangeStart w:id="1"/>
            <w:r>
              <w:rPr>
                <w:rFonts w:hint="eastAsia"/>
                <w:color w:val="FF0000"/>
              </w:rPr>
              <w:t>0.1m</w:t>
            </w:r>
            <w:commentRangeEnd w:id="1"/>
            <w:r>
              <w:rPr>
                <w:color w:val="FF0000"/>
              </w:rPr>
              <w:commentReference w:id="1"/>
            </w:r>
            <w:r>
              <w:rPr>
                <w:rFonts w:hint="eastAsia"/>
              </w:rPr>
              <w:t>），</w:t>
            </w:r>
            <w:r>
              <w:rPr>
                <w:rFonts w:hint="eastAsia"/>
                <w:color w:val="auto"/>
              </w:rPr>
              <w:t>收集效率以</w:t>
            </w:r>
            <w:r>
              <w:rPr>
                <w:rFonts w:hint="eastAsia"/>
                <w:color w:val="auto"/>
                <w:lang w:val="en-US" w:eastAsia="zh-CN"/>
              </w:rPr>
              <w:t>90</w:t>
            </w:r>
            <w:r>
              <w:rPr>
                <w:rFonts w:hint="eastAsia"/>
                <w:color w:val="auto"/>
              </w:rPr>
              <w:t>%计，</w:t>
            </w:r>
            <w:r>
              <w:rPr>
                <w:rFonts w:hint="eastAsia"/>
              </w:rPr>
              <w:t>手工焊废气经集气罩收集</w:t>
            </w:r>
            <w:r>
              <w:rPr>
                <w:rFonts w:hint="eastAsia"/>
                <w:lang w:val="en-US" w:eastAsia="zh-CN"/>
              </w:rPr>
              <w:t>后</w:t>
            </w:r>
            <w:r>
              <w:rPr>
                <w:rFonts w:hint="eastAsia"/>
              </w:rPr>
              <w:t>通过一套过滤棉+二级活性炭吸附装置（编号：TA001）处理后，尾气经一根</w:t>
            </w:r>
            <w:r>
              <w:rPr>
                <w:rFonts w:hint="eastAsia"/>
                <w:lang w:val="en-US" w:eastAsia="zh-CN"/>
              </w:rPr>
              <w:t>25</w:t>
            </w:r>
            <w:r>
              <w:rPr>
                <w:rFonts w:hint="eastAsia"/>
              </w:rPr>
              <w:t>m高的排气筒（编号：DA001）排放。</w:t>
            </w:r>
          </w:p>
          <w:p w14:paraId="50EC7676">
            <w:pPr>
              <w:pStyle w:val="51"/>
              <w:keepNext w:val="0"/>
              <w:keepLines w:val="0"/>
              <w:suppressLineNumbers w:val="0"/>
              <w:spacing w:before="0" w:beforeAutospacing="0" w:after="0" w:afterAutospacing="0"/>
              <w:ind w:left="0" w:right="0"/>
              <w:rPr>
                <w:rFonts w:hint="default"/>
              </w:rPr>
            </w:pPr>
            <w:r>
              <w:rPr>
                <w:rFonts w:hint="eastAsia"/>
                <w:lang w:val="en-US" w:eastAsia="zh-CN"/>
              </w:rPr>
              <w:t>③固化</w:t>
            </w:r>
            <w:r>
              <w:rPr>
                <w:rFonts w:hint="eastAsia"/>
              </w:rPr>
              <w:t>废气</w:t>
            </w:r>
          </w:p>
          <w:p w14:paraId="2ABD2E2E">
            <w:pPr>
              <w:pStyle w:val="79"/>
              <w:keepNext w:val="0"/>
              <w:keepLines w:val="0"/>
              <w:pageBreakBefore w:val="0"/>
              <w:widowControl w:val="0"/>
              <w:kinsoku/>
              <w:wordWrap/>
              <w:overflowPunct/>
              <w:topLinePunct w:val="0"/>
              <w:autoSpaceDE/>
              <w:autoSpaceDN/>
              <w:bidi w:val="0"/>
              <w:adjustRightInd w:val="0"/>
              <w:snapToGrid w:val="0"/>
              <w:spacing w:before="0" w:beforeLines="0"/>
              <w:textAlignment w:val="auto"/>
              <w:rPr>
                <w:rFonts w:hint="eastAsia"/>
              </w:rPr>
            </w:pPr>
            <w:r>
              <w:rPr>
                <w:rFonts w:hint="eastAsia"/>
                <w:b w:val="0"/>
                <w:bCs w:val="0"/>
              </w:rPr>
              <w:t>本项目设置</w:t>
            </w:r>
            <w:r>
              <w:rPr>
                <w:rFonts w:hint="eastAsia"/>
                <w:b w:val="0"/>
                <w:bCs w:val="0"/>
                <w:lang w:val="en-US" w:eastAsia="zh-CN"/>
              </w:rPr>
              <w:t>10</w:t>
            </w:r>
            <w:r>
              <w:rPr>
                <w:rFonts w:hint="eastAsia"/>
                <w:b w:val="0"/>
                <w:bCs w:val="0"/>
              </w:rPr>
              <w:t>台</w:t>
            </w:r>
            <w:r>
              <w:rPr>
                <w:rFonts w:hint="eastAsia"/>
                <w:b w:val="0"/>
                <w:bCs w:val="0"/>
                <w:lang w:val="en-US" w:eastAsia="zh-CN"/>
              </w:rPr>
              <w:t>隧道炉</w:t>
            </w:r>
            <w:r>
              <w:rPr>
                <w:rFonts w:hint="eastAsia"/>
                <w:b w:val="0"/>
                <w:bCs w:val="0"/>
              </w:rPr>
              <w:t>，</w:t>
            </w:r>
            <w:r>
              <w:rPr>
                <w:rFonts w:hint="eastAsia"/>
                <w:b w:val="0"/>
                <w:bCs w:val="0"/>
                <w:lang w:val="en-US" w:eastAsia="zh-CN"/>
              </w:rPr>
              <w:t>隧道炉密闭，产生的废气经集气管道收集</w:t>
            </w:r>
            <w:r>
              <w:rPr>
                <w:rFonts w:hint="eastAsia"/>
                <w:b w:val="0"/>
                <w:bCs w:val="0"/>
              </w:rPr>
              <w:t>，收集效率约为</w:t>
            </w:r>
            <w:r>
              <w:rPr>
                <w:rFonts w:hint="eastAsia"/>
                <w:b w:val="0"/>
                <w:bCs w:val="0"/>
                <w:lang w:val="en-US" w:eastAsia="zh-CN"/>
              </w:rPr>
              <w:t>95</w:t>
            </w:r>
            <w:r>
              <w:rPr>
                <w:rFonts w:hint="eastAsia"/>
                <w:b w:val="0"/>
                <w:bCs w:val="0"/>
              </w:rPr>
              <w:t>%。固化废气经负压收集后通过一套过滤棉+二级活性炭吸附装置（编号：TA001）处理后，尾气经一根</w:t>
            </w:r>
            <w:r>
              <w:rPr>
                <w:rFonts w:hint="eastAsia"/>
                <w:b w:val="0"/>
                <w:bCs w:val="0"/>
                <w:lang w:val="en-US" w:eastAsia="zh-CN"/>
              </w:rPr>
              <w:t>25</w:t>
            </w:r>
            <w:r>
              <w:rPr>
                <w:rFonts w:hint="eastAsia"/>
                <w:b w:val="0"/>
                <w:bCs w:val="0"/>
              </w:rPr>
              <w:t>m高的排气筒（编号：DA001）排放。</w:t>
            </w:r>
          </w:p>
          <w:p w14:paraId="397C77C5">
            <w:pPr>
              <w:pStyle w:val="79"/>
              <w:rPr>
                <w:rFonts w:hint="default" w:eastAsia="宋体"/>
                <w:lang w:val="en-US" w:eastAsia="zh-CN"/>
              </w:rPr>
            </w:pPr>
            <w:r>
              <w:rPr>
                <w:rFonts w:hint="eastAsia"/>
                <w:lang w:eastAsia="zh-CN"/>
              </w:rPr>
              <w:t>（</w:t>
            </w:r>
            <w:r>
              <w:rPr>
                <w:rFonts w:hint="eastAsia"/>
                <w:lang w:val="en-US" w:eastAsia="zh-CN"/>
              </w:rPr>
              <w:t>3</w:t>
            </w:r>
            <w:r>
              <w:rPr>
                <w:rFonts w:hint="eastAsia"/>
                <w:lang w:eastAsia="zh-CN"/>
              </w:rPr>
              <w:t>）</w:t>
            </w:r>
            <w:r>
              <w:rPr>
                <w:rFonts w:hint="eastAsia"/>
                <w:lang w:val="en-US" w:eastAsia="zh-CN"/>
              </w:rPr>
              <w:t>风量核算</w:t>
            </w:r>
          </w:p>
          <w:p w14:paraId="25AB69BE">
            <w:pPr>
              <w:pStyle w:val="51"/>
              <w:keepNext w:val="0"/>
              <w:keepLines w:val="0"/>
              <w:suppressLineNumbers w:val="0"/>
              <w:spacing w:before="0" w:beforeAutospacing="0" w:after="0" w:afterAutospacing="0"/>
              <w:ind w:left="0" w:right="0"/>
              <w:rPr>
                <w:rFonts w:hint="default"/>
              </w:rPr>
            </w:pPr>
            <w:r>
              <w:rPr>
                <w:rFonts w:hint="eastAsia"/>
                <w:lang w:val="en-US" w:eastAsia="zh-CN"/>
              </w:rPr>
              <w:t>1）</w:t>
            </w:r>
            <w:r>
              <w:rPr>
                <w:rFonts w:hint="eastAsia"/>
              </w:rPr>
              <w:t>根据《废气处理工程技术手册》（王纯、张殿印 主编，化学工业出版社）中“表17-8”，整体密闭罩排气量计算公式为：</w:t>
            </w:r>
          </w:p>
          <w:p w14:paraId="2D37E6B2">
            <w:pPr>
              <w:pStyle w:val="51"/>
              <w:keepNext w:val="0"/>
              <w:keepLines w:val="0"/>
              <w:suppressLineNumbers w:val="0"/>
              <w:spacing w:before="0" w:beforeAutospacing="0" w:after="0" w:afterAutospacing="0"/>
              <w:ind w:left="0" w:right="0"/>
              <w:jc w:val="center"/>
              <w:rPr>
                <w:rFonts w:hint="eastAsia" w:eastAsia="宋体"/>
                <w:i/>
                <w:iCs/>
                <w:lang w:val="en-US" w:eastAsia="zh-CN"/>
              </w:rPr>
            </w:pPr>
            <w:r>
              <w:rPr>
                <w:rFonts w:hint="eastAsia"/>
                <w:i/>
                <w:iCs/>
              </w:rPr>
              <w:t>Q=Fv</w:t>
            </w:r>
            <w:r>
              <w:rPr>
                <w:rFonts w:hint="eastAsia"/>
                <w:i w:val="0"/>
                <w:iCs w:val="0"/>
                <w:lang w:val="en-US" w:eastAsia="zh-CN"/>
              </w:rPr>
              <w:t>或υ</w:t>
            </w:r>
            <w:r>
              <w:rPr>
                <w:rFonts w:hint="eastAsia"/>
                <w:i w:val="0"/>
                <w:iCs w:val="0"/>
                <w:vertAlign w:val="subscript"/>
                <w:lang w:val="en-US" w:eastAsia="zh-CN"/>
              </w:rPr>
              <w:t>0</w:t>
            </w:r>
            <w:r>
              <w:rPr>
                <w:rFonts w:hint="eastAsia"/>
                <w:i w:val="0"/>
                <w:iCs w:val="0"/>
                <w:lang w:val="en-US" w:eastAsia="zh-CN"/>
              </w:rPr>
              <w:t>·n</w:t>
            </w:r>
          </w:p>
          <w:p w14:paraId="4E4E8106">
            <w:pPr>
              <w:pStyle w:val="51"/>
              <w:keepNext w:val="0"/>
              <w:keepLines w:val="0"/>
              <w:suppressLineNumbers w:val="0"/>
              <w:spacing w:before="0" w:beforeAutospacing="0" w:after="0" w:afterAutospacing="0"/>
              <w:ind w:left="0" w:right="0"/>
              <w:rPr>
                <w:rFonts w:hint="default"/>
              </w:rPr>
            </w:pPr>
            <w:r>
              <w:rPr>
                <w:rFonts w:hint="eastAsia"/>
              </w:rPr>
              <w:t>式中：Q—排风罩集气风量，单位为m</w:t>
            </w:r>
            <w:r>
              <w:rPr>
                <w:rFonts w:hint="eastAsia"/>
                <w:vertAlign w:val="superscript"/>
              </w:rPr>
              <w:t>3</w:t>
            </w:r>
            <w:r>
              <w:rPr>
                <w:rFonts w:hint="eastAsia"/>
              </w:rPr>
              <w:t>/h；</w:t>
            </w:r>
          </w:p>
          <w:p w14:paraId="0D6F48C3">
            <w:pPr>
              <w:pStyle w:val="51"/>
              <w:keepNext w:val="0"/>
              <w:keepLines w:val="0"/>
              <w:suppressLineNumbers w:val="0"/>
              <w:spacing w:before="0" w:beforeAutospacing="0" w:after="0" w:afterAutospacing="0"/>
              <w:ind w:left="0" w:right="0" w:firstLine="1200" w:firstLineChars="500"/>
              <w:rPr>
                <w:rFonts w:hint="default"/>
              </w:rPr>
            </w:pPr>
            <w:r>
              <w:rPr>
                <w:rFonts w:hint="eastAsia"/>
              </w:rPr>
              <w:t>F—缝隙面积，单位m</w:t>
            </w:r>
            <w:r>
              <w:rPr>
                <w:rFonts w:hint="eastAsia"/>
                <w:vertAlign w:val="superscript"/>
              </w:rPr>
              <w:t>2</w:t>
            </w:r>
            <w:r>
              <w:rPr>
                <w:rFonts w:hint="eastAsia"/>
              </w:rPr>
              <w:t>；单台设备约有0.04m</w:t>
            </w:r>
            <w:r>
              <w:rPr>
                <w:rFonts w:hint="eastAsia"/>
                <w:vertAlign w:val="superscript"/>
              </w:rPr>
              <w:t>2</w:t>
            </w:r>
            <w:r>
              <w:rPr>
                <w:rFonts w:hint="eastAsia"/>
              </w:rPr>
              <w:t>进风面积；</w:t>
            </w:r>
          </w:p>
          <w:p w14:paraId="6FB94776">
            <w:pPr>
              <w:pStyle w:val="51"/>
              <w:keepNext w:val="0"/>
              <w:keepLines w:val="0"/>
              <w:suppressLineNumbers w:val="0"/>
              <w:spacing w:before="0" w:beforeAutospacing="0" w:after="0" w:afterAutospacing="0"/>
              <w:ind w:left="0" w:right="0" w:firstLine="1200" w:firstLineChars="500"/>
              <w:rPr>
                <w:rFonts w:hint="eastAsia"/>
              </w:rPr>
            </w:pPr>
            <w:r>
              <w:rPr>
                <w:rFonts w:hint="eastAsia"/>
              </w:rPr>
              <w:t>v—缝隙风速，近似5m/s。</w:t>
            </w:r>
          </w:p>
          <w:p w14:paraId="37665F0D">
            <w:pPr>
              <w:pStyle w:val="51"/>
              <w:keepNext w:val="0"/>
              <w:keepLines w:val="0"/>
              <w:suppressLineNumbers w:val="0"/>
              <w:spacing w:before="0" w:beforeAutospacing="0" w:after="0" w:afterAutospacing="0"/>
              <w:ind w:left="0" w:right="0" w:firstLine="1200" w:firstLineChars="500"/>
              <w:rPr>
                <w:rFonts w:hint="default"/>
              </w:rPr>
            </w:pPr>
            <w:r>
              <w:rPr>
                <w:rFonts w:hint="default"/>
              </w:rPr>
              <w:t>υ</w:t>
            </w:r>
            <w:r>
              <w:rPr>
                <w:rFonts w:hint="default"/>
                <w:vertAlign w:val="subscript"/>
              </w:rPr>
              <w:t>0</w:t>
            </w:r>
            <w:r>
              <w:rPr>
                <w:rFonts w:hint="default"/>
              </w:rPr>
              <w:t>—</w:t>
            </w:r>
            <w:r>
              <w:rPr>
                <w:rFonts w:hint="eastAsia"/>
              </w:rPr>
              <w:t>排风</w:t>
            </w:r>
            <w:r>
              <w:rPr>
                <w:rFonts w:hint="default"/>
              </w:rPr>
              <w:t>罩</w:t>
            </w:r>
            <w:r>
              <w:rPr>
                <w:rFonts w:hint="eastAsia"/>
              </w:rPr>
              <w:t>罩内容积，单位m</w:t>
            </w:r>
            <w:r>
              <w:rPr>
                <w:rFonts w:hint="default"/>
                <w:vertAlign w:val="superscript"/>
              </w:rPr>
              <w:t>3</w:t>
            </w:r>
            <w:r>
              <w:rPr>
                <w:rFonts w:hint="eastAsia"/>
              </w:rPr>
              <w:t>；</w:t>
            </w:r>
          </w:p>
          <w:p w14:paraId="240AFF12">
            <w:pPr>
              <w:pStyle w:val="51"/>
              <w:keepNext w:val="0"/>
              <w:keepLines w:val="0"/>
              <w:suppressLineNumbers w:val="0"/>
              <w:spacing w:before="0" w:beforeAutospacing="0" w:after="0" w:afterAutospacing="0"/>
              <w:ind w:left="0" w:right="0" w:firstLine="1200" w:firstLineChars="500"/>
              <w:rPr>
                <w:rFonts w:hint="default" w:eastAsia="宋体"/>
                <w:lang w:val="en-US" w:eastAsia="zh-CN"/>
              </w:rPr>
            </w:pPr>
            <w:r>
              <w:rPr>
                <w:rFonts w:hint="eastAsia"/>
              </w:rPr>
              <w:t>n—换气次数，次/h。</w:t>
            </w:r>
          </w:p>
          <w:p w14:paraId="4970E2D4">
            <w:pPr>
              <w:keepNext w:val="0"/>
              <w:keepLines w:val="0"/>
              <w:suppressLineNumbers w:val="0"/>
              <w:spacing w:before="0" w:beforeAutospacing="0" w:after="0" w:afterAutospacing="0" w:line="360" w:lineRule="auto"/>
              <w:ind w:left="0" w:right="0" w:firstLine="480" w:firstLineChars="200"/>
              <w:rPr>
                <w:rFonts w:hint="default"/>
                <w:sz w:val="24"/>
              </w:rPr>
            </w:pPr>
            <w:r>
              <w:rPr>
                <w:rFonts w:hint="eastAsia"/>
                <w:sz w:val="24"/>
              </w:rPr>
              <w:t>2）根据</w:t>
            </w:r>
            <w:r>
              <w:rPr>
                <w:rFonts w:hint="default"/>
                <w:sz w:val="24"/>
              </w:rPr>
              <w:t>《排风罩的分类及技术条件》（GB/T 16578-2008）中单个集气罩集气风量计算公式：</w:t>
            </w:r>
          </w:p>
          <w:p w14:paraId="2CAE7047">
            <w:pPr>
              <w:keepNext w:val="0"/>
              <w:keepLines w:val="0"/>
              <w:suppressLineNumbers w:val="0"/>
              <w:spacing w:before="0" w:beforeAutospacing="0" w:after="0" w:afterAutospacing="0" w:line="360" w:lineRule="auto"/>
              <w:ind w:left="0" w:right="0"/>
              <w:jc w:val="center"/>
              <w:rPr>
                <w:rFonts w:hint="default"/>
                <w:kern w:val="0"/>
                <w:sz w:val="24"/>
              </w:rPr>
            </w:pPr>
            <w:r>
              <w:rPr>
                <w:rFonts w:hint="default"/>
                <w:kern w:val="0"/>
                <w:sz w:val="24"/>
              </w:rPr>
              <w:t>Q=（a×b）×V</w:t>
            </w:r>
            <w:r>
              <w:rPr>
                <w:rFonts w:hint="default"/>
                <w:kern w:val="0"/>
                <w:sz w:val="24"/>
                <w:vertAlign w:val="subscript"/>
              </w:rPr>
              <w:t>0</w:t>
            </w:r>
            <w:r>
              <w:rPr>
                <w:rFonts w:hint="default"/>
                <w:kern w:val="0"/>
                <w:sz w:val="24"/>
              </w:rPr>
              <w:t>×3600</w:t>
            </w:r>
          </w:p>
          <w:p w14:paraId="2F948CB6">
            <w:pPr>
              <w:keepNext w:val="0"/>
              <w:keepLines w:val="0"/>
              <w:suppressLineNumbers w:val="0"/>
              <w:spacing w:before="0" w:beforeAutospacing="0" w:after="0" w:afterAutospacing="0" w:line="360" w:lineRule="auto"/>
              <w:ind w:left="0" w:right="0" w:firstLine="480" w:firstLineChars="200"/>
              <w:rPr>
                <w:rFonts w:hint="default"/>
                <w:kern w:val="0"/>
                <w:sz w:val="24"/>
              </w:rPr>
            </w:pPr>
            <w:r>
              <w:rPr>
                <w:rFonts w:hint="default"/>
                <w:kern w:val="0"/>
                <w:sz w:val="24"/>
              </w:rPr>
              <w:t>式中：Q—为集气罩集气风量，单位为m</w:t>
            </w:r>
            <w:r>
              <w:rPr>
                <w:rFonts w:hint="default"/>
                <w:kern w:val="0"/>
                <w:sz w:val="24"/>
                <w:vertAlign w:val="superscript"/>
              </w:rPr>
              <w:t>3</w:t>
            </w:r>
            <w:r>
              <w:rPr>
                <w:rFonts w:hint="default"/>
                <w:kern w:val="0"/>
                <w:sz w:val="24"/>
              </w:rPr>
              <w:t>/h；</w:t>
            </w:r>
          </w:p>
          <w:p w14:paraId="761F09E9">
            <w:pPr>
              <w:keepNext w:val="0"/>
              <w:keepLines w:val="0"/>
              <w:suppressLineNumbers w:val="0"/>
              <w:spacing w:before="0" w:beforeAutospacing="0" w:after="0" w:afterAutospacing="0" w:line="360" w:lineRule="auto"/>
              <w:ind w:left="0" w:right="0" w:firstLine="960" w:firstLineChars="400"/>
              <w:rPr>
                <w:rFonts w:hint="default"/>
                <w:kern w:val="0"/>
                <w:sz w:val="24"/>
              </w:rPr>
            </w:pPr>
            <w:r>
              <w:rPr>
                <w:rFonts w:hint="default"/>
                <w:kern w:val="0"/>
                <w:sz w:val="24"/>
              </w:rPr>
              <w:t>（a×b）—为集气罩集气面积，单位为m</w:t>
            </w:r>
            <w:r>
              <w:rPr>
                <w:rFonts w:hint="default"/>
                <w:kern w:val="0"/>
                <w:sz w:val="24"/>
                <w:vertAlign w:val="superscript"/>
              </w:rPr>
              <w:t>2</w:t>
            </w:r>
            <w:r>
              <w:rPr>
                <w:rFonts w:hint="default"/>
                <w:kern w:val="0"/>
                <w:sz w:val="24"/>
              </w:rPr>
              <w:t>；</w:t>
            </w:r>
          </w:p>
          <w:p w14:paraId="71D53985">
            <w:pPr>
              <w:keepNext w:val="0"/>
              <w:keepLines w:val="0"/>
              <w:suppressLineNumbers w:val="0"/>
              <w:spacing w:before="0" w:beforeAutospacing="0" w:after="0" w:afterAutospacing="0" w:line="360" w:lineRule="auto"/>
              <w:ind w:left="0" w:right="0" w:firstLine="1200" w:firstLineChars="500"/>
              <w:rPr>
                <w:rFonts w:hint="default" w:ascii="Times New Roman" w:hAnsi="Times New Roman" w:eastAsia="宋体" w:cs="Times New Roman"/>
                <w:kern w:val="0"/>
                <w:sz w:val="24"/>
              </w:rPr>
            </w:pPr>
            <w:r>
              <w:rPr>
                <w:rFonts w:hint="default" w:ascii="Times New Roman" w:hAnsi="Times New Roman" w:eastAsia="宋体" w:cs="Times New Roman"/>
                <w:kern w:val="0"/>
                <w:sz w:val="24"/>
              </w:rPr>
              <w:t>V</w:t>
            </w:r>
            <w:r>
              <w:rPr>
                <w:rFonts w:hint="default" w:ascii="Times New Roman" w:hAnsi="Times New Roman" w:eastAsia="宋体" w:cs="Times New Roman"/>
                <w:kern w:val="0"/>
                <w:sz w:val="24"/>
                <w:vertAlign w:val="subscript"/>
              </w:rPr>
              <w:t>0</w:t>
            </w:r>
            <w:r>
              <w:rPr>
                <w:rFonts w:hint="default" w:ascii="Times New Roman" w:hAnsi="Times New Roman" w:eastAsia="宋体" w:cs="Times New Roman"/>
                <w:kern w:val="0"/>
                <w:sz w:val="24"/>
              </w:rPr>
              <w:t>——污染源气体流速</w:t>
            </w:r>
            <w:r>
              <w:rPr>
                <w:rFonts w:hint="eastAsia" w:ascii="Times New Roman" w:hAnsi="Times New Roman" w:eastAsia="宋体" w:cs="Times New Roman"/>
                <w:kern w:val="0"/>
                <w:sz w:val="24"/>
              </w:rPr>
              <w:t>，1m/s</w:t>
            </w:r>
            <w:r>
              <w:rPr>
                <w:rFonts w:hint="default" w:ascii="Times New Roman" w:hAnsi="Times New Roman" w:eastAsia="宋体" w:cs="Times New Roman"/>
                <w:kern w:val="0"/>
                <w:sz w:val="24"/>
              </w:rPr>
              <w:t>，</w:t>
            </w:r>
            <w:r>
              <w:rPr>
                <w:rFonts w:hint="eastAsia" w:ascii="Times New Roman" w:hAnsi="Times New Roman" w:eastAsia="宋体" w:cs="Times New Roman"/>
                <w:kern w:val="0"/>
                <w:sz w:val="24"/>
              </w:rPr>
              <w:t>取自《局部排风设施控制风速检测与评估控制规范》（AQ/T4274-2016）</w:t>
            </w:r>
            <w:r>
              <w:rPr>
                <w:rFonts w:hint="default" w:ascii="Times New Roman" w:hAnsi="Times New Roman" w:eastAsia="宋体" w:cs="Times New Roman"/>
                <w:kern w:val="0"/>
                <w:sz w:val="24"/>
              </w:rPr>
              <w:t>。</w:t>
            </w:r>
          </w:p>
          <w:p w14:paraId="1DB55EE7">
            <w:pPr>
              <w:pStyle w:val="51"/>
              <w:keepNext w:val="0"/>
              <w:keepLines w:val="0"/>
              <w:suppressLineNumbers w:val="0"/>
              <w:spacing w:before="0" w:beforeAutospacing="0" w:after="0" w:afterAutospacing="0"/>
              <w:ind w:left="0" w:right="0"/>
              <w:rPr>
                <w:rFonts w:hint="eastAsia"/>
                <w:color w:val="auto"/>
                <w:sz w:val="24"/>
                <w:szCs w:val="24"/>
                <w:lang w:eastAsia="zh-CN"/>
              </w:rPr>
            </w:pPr>
            <w:r>
              <w:rPr>
                <w:rFonts w:hint="default"/>
                <w:color w:val="FF0000"/>
                <w:sz w:val="24"/>
                <w:szCs w:val="24"/>
              </w:rPr>
              <w:t>项目设置4台锡膏印刷机，锡膏印刷机</w:t>
            </w:r>
            <w:r>
              <w:rPr>
                <w:rFonts w:hint="eastAsia"/>
                <w:color w:val="FF0000"/>
                <w:sz w:val="24"/>
                <w:szCs w:val="24"/>
                <w:lang w:val="en-US" w:eastAsia="zh-CN"/>
              </w:rPr>
              <w:t>上方设置集气罩，集气罩尺寸</w:t>
            </w:r>
            <w:r>
              <w:rPr>
                <w:rFonts w:hint="eastAsia"/>
                <w:color w:val="FF0000"/>
                <w:lang w:val="en-US" w:eastAsia="zh-CN"/>
              </w:rPr>
              <w:t>1m×0.5m，</w:t>
            </w:r>
            <w:r>
              <w:rPr>
                <w:rFonts w:hint="eastAsia"/>
                <w:color w:val="FF0000"/>
                <w:sz w:val="24"/>
                <w:szCs w:val="24"/>
                <w:lang w:val="en-US" w:eastAsia="zh-CN"/>
              </w:rPr>
              <w:t>因此参照（2）核算风量为Q=1×0.5×1×3600×4=7200</w:t>
            </w:r>
            <w:r>
              <w:rPr>
                <w:rFonts w:hint="default"/>
                <w:color w:val="FF0000"/>
                <w:sz w:val="24"/>
                <w:szCs w:val="24"/>
              </w:rPr>
              <w:t>m</w:t>
            </w:r>
            <w:r>
              <w:rPr>
                <w:rFonts w:hint="default"/>
                <w:color w:val="FF0000"/>
                <w:sz w:val="24"/>
                <w:szCs w:val="24"/>
                <w:vertAlign w:val="superscript"/>
              </w:rPr>
              <w:t>3</w:t>
            </w:r>
            <w:r>
              <w:rPr>
                <w:rFonts w:hint="default"/>
                <w:color w:val="FF0000"/>
                <w:sz w:val="24"/>
                <w:szCs w:val="24"/>
              </w:rPr>
              <w:t>/h</w:t>
            </w:r>
            <w:r>
              <w:rPr>
                <w:rFonts w:hint="eastAsia"/>
                <w:color w:val="FF0000"/>
                <w:sz w:val="24"/>
                <w:szCs w:val="24"/>
                <w:lang w:eastAsia="zh-CN"/>
              </w:rPr>
              <w:t>；</w:t>
            </w:r>
            <w:r>
              <w:rPr>
                <w:rFonts w:hint="default"/>
                <w:color w:val="FF0000"/>
                <w:sz w:val="24"/>
                <w:szCs w:val="24"/>
              </w:rPr>
              <w:t>项目</w:t>
            </w:r>
            <w:r>
              <w:rPr>
                <w:rFonts w:hint="eastAsia"/>
                <w:color w:val="FF0000"/>
                <w:sz w:val="24"/>
                <w:szCs w:val="24"/>
                <w:lang w:val="en-US" w:eastAsia="zh-CN"/>
              </w:rPr>
              <w:t>设置24台回流焊机，回流焊机属于整体密闭罩，因此参照（1）核算风量为Q=0.02</w:t>
            </w:r>
            <w:r>
              <w:rPr>
                <w:rFonts w:hint="default"/>
                <w:color w:val="FF0000"/>
                <w:sz w:val="24"/>
                <w:szCs w:val="24"/>
              </w:rPr>
              <w:t>×</w:t>
            </w:r>
            <w:r>
              <w:rPr>
                <w:rFonts w:hint="eastAsia"/>
                <w:color w:val="FF0000"/>
                <w:sz w:val="24"/>
                <w:szCs w:val="24"/>
                <w:lang w:val="en-US" w:eastAsia="zh-CN"/>
              </w:rPr>
              <w:t>5</w:t>
            </w:r>
            <w:r>
              <w:rPr>
                <w:rFonts w:hint="default"/>
                <w:color w:val="FF0000"/>
                <w:sz w:val="24"/>
                <w:szCs w:val="24"/>
              </w:rPr>
              <w:t>×</w:t>
            </w:r>
            <w:r>
              <w:rPr>
                <w:rFonts w:hint="eastAsia"/>
                <w:color w:val="FF0000"/>
                <w:sz w:val="24"/>
                <w:szCs w:val="24"/>
              </w:rPr>
              <w:t>3600×</w:t>
            </w:r>
            <w:r>
              <w:rPr>
                <w:rFonts w:hint="eastAsia"/>
                <w:color w:val="FF0000"/>
                <w:sz w:val="24"/>
                <w:szCs w:val="24"/>
                <w:lang w:val="en-US" w:eastAsia="zh-CN"/>
              </w:rPr>
              <w:t>24=8640</w:t>
            </w:r>
            <w:r>
              <w:rPr>
                <w:rFonts w:hint="default"/>
                <w:color w:val="FF0000"/>
                <w:sz w:val="24"/>
                <w:szCs w:val="24"/>
              </w:rPr>
              <w:t>m</w:t>
            </w:r>
            <w:r>
              <w:rPr>
                <w:rFonts w:hint="default"/>
                <w:color w:val="FF0000"/>
                <w:sz w:val="24"/>
                <w:szCs w:val="24"/>
                <w:vertAlign w:val="superscript"/>
              </w:rPr>
              <w:t>3</w:t>
            </w:r>
            <w:r>
              <w:rPr>
                <w:rFonts w:hint="default"/>
                <w:color w:val="FF0000"/>
                <w:sz w:val="24"/>
                <w:szCs w:val="24"/>
              </w:rPr>
              <w:t>/h</w:t>
            </w:r>
            <w:r>
              <w:rPr>
                <w:rFonts w:hint="eastAsia"/>
                <w:color w:val="FF0000"/>
                <w:sz w:val="24"/>
                <w:szCs w:val="24"/>
                <w:lang w:eastAsia="zh-CN"/>
              </w:rPr>
              <w:t>；</w:t>
            </w:r>
            <w:r>
              <w:rPr>
                <w:rFonts w:hint="default"/>
                <w:color w:val="FF0000"/>
                <w:sz w:val="24"/>
                <w:szCs w:val="24"/>
              </w:rPr>
              <w:t>项目</w:t>
            </w:r>
            <w:r>
              <w:rPr>
                <w:rFonts w:hint="eastAsia"/>
                <w:color w:val="FF0000"/>
                <w:sz w:val="24"/>
                <w:szCs w:val="24"/>
                <w:lang w:val="en-US" w:eastAsia="zh-CN"/>
              </w:rPr>
              <w:t>设置25个人工焊接工位，人工焊接集气罩尺寸为r=0.1m，因此参照（2）核算风量为Q=</w:t>
            </w:r>
            <w:r>
              <w:rPr>
                <w:rFonts w:hint="eastAsia"/>
                <w:color w:val="FF0000"/>
                <w:sz w:val="24"/>
                <w:szCs w:val="24"/>
              </w:rPr>
              <w:t>（</w:t>
            </w:r>
            <w:r>
              <w:rPr>
                <w:rFonts w:hint="eastAsia"/>
                <w:color w:val="FF0000"/>
                <w:sz w:val="24"/>
                <w:szCs w:val="24"/>
                <w:lang w:val="en-US" w:eastAsia="zh-CN"/>
              </w:rPr>
              <w:t>π</w:t>
            </w:r>
            <w:r>
              <w:rPr>
                <w:rFonts w:hint="eastAsia"/>
                <w:color w:val="FF0000"/>
                <w:sz w:val="24"/>
                <w:szCs w:val="24"/>
              </w:rPr>
              <w:t>×0.1</w:t>
            </w:r>
            <w:r>
              <w:rPr>
                <w:rFonts w:hint="eastAsia"/>
                <w:color w:val="FF0000"/>
                <w:sz w:val="24"/>
                <w:szCs w:val="24"/>
                <w:lang w:val="en-US" w:eastAsia="zh-CN"/>
              </w:rPr>
              <w:t>×0.1</w:t>
            </w:r>
            <w:r>
              <w:rPr>
                <w:rFonts w:hint="eastAsia"/>
                <w:color w:val="FF0000"/>
                <w:sz w:val="24"/>
                <w:szCs w:val="24"/>
              </w:rPr>
              <w:t>）×1×3600×25</w:t>
            </w:r>
            <w:r>
              <w:rPr>
                <w:rFonts w:hint="eastAsia"/>
                <w:color w:val="FF0000"/>
                <w:sz w:val="24"/>
                <w:szCs w:val="24"/>
                <w:lang w:val="en-US" w:eastAsia="zh-CN"/>
              </w:rPr>
              <w:t>=2827</w:t>
            </w:r>
            <w:r>
              <w:rPr>
                <w:rFonts w:hint="default"/>
                <w:color w:val="FF0000"/>
                <w:sz w:val="24"/>
                <w:szCs w:val="24"/>
              </w:rPr>
              <w:t>m</w:t>
            </w:r>
            <w:r>
              <w:rPr>
                <w:rFonts w:hint="default"/>
                <w:color w:val="FF0000"/>
                <w:sz w:val="24"/>
                <w:szCs w:val="24"/>
                <w:vertAlign w:val="superscript"/>
              </w:rPr>
              <w:t>3</w:t>
            </w:r>
            <w:r>
              <w:rPr>
                <w:rFonts w:hint="default"/>
                <w:color w:val="FF0000"/>
                <w:sz w:val="24"/>
                <w:szCs w:val="24"/>
              </w:rPr>
              <w:t>/h</w:t>
            </w:r>
            <w:r>
              <w:rPr>
                <w:rFonts w:hint="eastAsia"/>
                <w:color w:val="FF0000"/>
                <w:sz w:val="24"/>
                <w:szCs w:val="24"/>
                <w:lang w:eastAsia="zh-CN"/>
              </w:rPr>
              <w:t>；</w:t>
            </w:r>
            <w:r>
              <w:rPr>
                <w:rFonts w:hint="default"/>
                <w:color w:val="FF0000"/>
                <w:sz w:val="24"/>
                <w:szCs w:val="24"/>
              </w:rPr>
              <w:t>项目</w:t>
            </w:r>
            <w:r>
              <w:rPr>
                <w:rFonts w:hint="eastAsia"/>
                <w:color w:val="FF0000"/>
                <w:sz w:val="24"/>
                <w:szCs w:val="24"/>
                <w:lang w:val="en-US" w:eastAsia="zh-CN"/>
              </w:rPr>
              <w:t>设置10台隧道炉，隧道炉密闭，腔体尺寸约为1m×0.3m×8m，</w:t>
            </w:r>
            <w:r>
              <w:rPr>
                <w:rFonts w:hint="eastAsia"/>
                <w:color w:val="FF0000"/>
                <w:sz w:val="24"/>
                <w:szCs w:val="24"/>
                <w:lang w:eastAsia="zh-CN"/>
              </w:rPr>
              <w:t>换气次数（n）取</w:t>
            </w:r>
            <w:r>
              <w:rPr>
                <w:rFonts w:hint="eastAsia"/>
                <w:color w:val="FF0000"/>
                <w:sz w:val="24"/>
                <w:szCs w:val="24"/>
                <w:lang w:val="en-US" w:eastAsia="zh-CN"/>
              </w:rPr>
              <w:t>6</w:t>
            </w:r>
            <w:r>
              <w:rPr>
                <w:rFonts w:hint="eastAsia"/>
                <w:color w:val="FF0000"/>
                <w:sz w:val="24"/>
                <w:szCs w:val="24"/>
                <w:lang w:eastAsia="zh-CN"/>
              </w:rPr>
              <w:t>0次/h，因此参照（1）核算风量为Q=</w:t>
            </w:r>
            <w:r>
              <w:rPr>
                <w:rFonts w:hint="eastAsia"/>
                <w:color w:val="FF0000"/>
                <w:sz w:val="24"/>
                <w:szCs w:val="24"/>
                <w:lang w:val="en-US" w:eastAsia="zh-CN"/>
              </w:rPr>
              <w:t>1×0.3×8</w:t>
            </w:r>
            <w:r>
              <w:rPr>
                <w:rFonts w:hint="eastAsia"/>
                <w:color w:val="FF0000"/>
                <w:sz w:val="24"/>
                <w:szCs w:val="24"/>
                <w:lang w:eastAsia="zh-CN"/>
              </w:rPr>
              <w:t>×</w:t>
            </w:r>
            <w:r>
              <w:rPr>
                <w:rFonts w:hint="eastAsia"/>
                <w:color w:val="FF0000"/>
                <w:sz w:val="24"/>
                <w:szCs w:val="24"/>
                <w:lang w:val="en-US" w:eastAsia="zh-CN"/>
              </w:rPr>
              <w:t>40×10</w:t>
            </w:r>
            <w:r>
              <w:rPr>
                <w:rFonts w:hint="eastAsia"/>
                <w:color w:val="FF0000"/>
                <w:sz w:val="24"/>
                <w:szCs w:val="24"/>
                <w:lang w:eastAsia="zh-CN"/>
              </w:rPr>
              <w:t>=</w:t>
            </w:r>
            <w:r>
              <w:rPr>
                <w:rFonts w:hint="eastAsia"/>
                <w:color w:val="FF0000"/>
                <w:sz w:val="24"/>
                <w:szCs w:val="24"/>
                <w:lang w:val="en-US" w:eastAsia="zh-CN"/>
              </w:rPr>
              <w:t>1440</w:t>
            </w:r>
            <w:r>
              <w:rPr>
                <w:rFonts w:hint="eastAsia"/>
                <w:color w:val="FF0000"/>
                <w:sz w:val="24"/>
                <w:szCs w:val="24"/>
                <w:lang w:eastAsia="zh-CN"/>
              </w:rPr>
              <w:t>m</w:t>
            </w:r>
            <w:r>
              <w:rPr>
                <w:rFonts w:hint="eastAsia"/>
                <w:color w:val="FF0000"/>
                <w:sz w:val="24"/>
                <w:szCs w:val="24"/>
                <w:vertAlign w:val="superscript"/>
                <w:lang w:eastAsia="zh-CN"/>
              </w:rPr>
              <w:t>3</w:t>
            </w:r>
            <w:r>
              <w:rPr>
                <w:rFonts w:hint="eastAsia"/>
                <w:color w:val="FF0000"/>
                <w:sz w:val="24"/>
                <w:szCs w:val="24"/>
                <w:lang w:eastAsia="zh-CN"/>
              </w:rPr>
              <w:t>/h。</w:t>
            </w:r>
          </w:p>
          <w:p w14:paraId="33C4F4FC">
            <w:pPr>
              <w:keepNext w:val="0"/>
              <w:keepLines w:val="0"/>
              <w:suppressLineNumbers w:val="0"/>
              <w:spacing w:before="0" w:beforeAutospacing="0" w:after="0" w:afterAutospacing="0" w:line="360" w:lineRule="auto"/>
              <w:ind w:left="0" w:right="0" w:firstLine="480" w:firstLineChars="200"/>
              <w:rPr>
                <w:rFonts w:hint="eastAsia" w:ascii="Times New Roman" w:hAnsi="Times New Roman" w:eastAsia="宋体" w:cs="Times New Roman"/>
                <w:color w:val="FF0000"/>
                <w:kern w:val="0"/>
                <w:sz w:val="24"/>
                <w:szCs w:val="24"/>
              </w:rPr>
            </w:pPr>
            <w:r>
              <w:rPr>
                <w:rFonts w:hint="eastAsia"/>
                <w:color w:val="FF0000"/>
                <w:sz w:val="24"/>
                <w:szCs w:val="24"/>
                <w:lang w:val="en-US" w:eastAsia="zh-CN"/>
              </w:rPr>
              <w:t>综上，收集总风量为20107m</w:t>
            </w:r>
            <w:r>
              <w:rPr>
                <w:rFonts w:hint="eastAsia"/>
                <w:color w:val="FF0000"/>
                <w:sz w:val="24"/>
                <w:szCs w:val="24"/>
                <w:vertAlign w:val="superscript"/>
                <w:lang w:val="en-US" w:eastAsia="zh-CN"/>
              </w:rPr>
              <w:t>3</w:t>
            </w:r>
            <w:r>
              <w:rPr>
                <w:rFonts w:hint="eastAsia"/>
                <w:color w:val="FF0000"/>
                <w:sz w:val="24"/>
                <w:szCs w:val="24"/>
                <w:lang w:val="en-US" w:eastAsia="zh-CN"/>
              </w:rPr>
              <w:t>/h，</w:t>
            </w:r>
            <w:r>
              <w:rPr>
                <w:rFonts w:hint="eastAsia"/>
                <w:color w:val="FF0000"/>
                <w:sz w:val="24"/>
                <w:szCs w:val="24"/>
              </w:rPr>
              <w:t>考虑</w:t>
            </w:r>
            <w:r>
              <w:rPr>
                <w:rFonts w:hint="default"/>
                <w:color w:val="FF0000"/>
                <w:sz w:val="24"/>
                <w:szCs w:val="24"/>
              </w:rPr>
              <w:t>一定的风压损失，风机</w:t>
            </w:r>
            <w:r>
              <w:rPr>
                <w:rFonts w:hint="eastAsia"/>
                <w:color w:val="FF0000"/>
                <w:sz w:val="24"/>
                <w:szCs w:val="24"/>
              </w:rPr>
              <w:t>设计</w:t>
            </w:r>
            <w:r>
              <w:rPr>
                <w:rFonts w:hint="default"/>
                <w:color w:val="FF0000"/>
                <w:sz w:val="24"/>
                <w:szCs w:val="24"/>
              </w:rPr>
              <w:t>风量取</w:t>
            </w:r>
            <w:r>
              <w:rPr>
                <w:rFonts w:hint="eastAsia"/>
                <w:color w:val="FF0000"/>
                <w:sz w:val="24"/>
                <w:szCs w:val="24"/>
                <w:lang w:val="en-US" w:eastAsia="zh-CN"/>
              </w:rPr>
              <w:t>21000</w:t>
            </w:r>
            <w:r>
              <w:rPr>
                <w:rFonts w:hint="default"/>
                <w:color w:val="FF0000"/>
                <w:sz w:val="24"/>
                <w:szCs w:val="24"/>
              </w:rPr>
              <w:t>m</w:t>
            </w:r>
            <w:r>
              <w:rPr>
                <w:rFonts w:hint="default"/>
                <w:color w:val="FF0000"/>
                <w:sz w:val="24"/>
                <w:szCs w:val="24"/>
                <w:vertAlign w:val="superscript"/>
              </w:rPr>
              <w:t>3</w:t>
            </w:r>
            <w:r>
              <w:rPr>
                <w:rFonts w:hint="default"/>
                <w:color w:val="FF0000"/>
                <w:sz w:val="24"/>
                <w:szCs w:val="24"/>
              </w:rPr>
              <w:t>/h</w:t>
            </w:r>
            <w:r>
              <w:rPr>
                <w:rFonts w:hint="eastAsia"/>
                <w:color w:val="FF0000"/>
                <w:sz w:val="24"/>
                <w:szCs w:val="24"/>
                <w:lang w:eastAsia="zh-CN"/>
              </w:rPr>
              <w:t>。</w:t>
            </w:r>
          </w:p>
          <w:p w14:paraId="45B82809">
            <w:pPr>
              <w:pStyle w:val="79"/>
            </w:pPr>
            <w:r>
              <w:rPr>
                <w:rFonts w:hint="eastAsia"/>
              </w:rPr>
              <w:t>1</w:t>
            </w:r>
            <w:r>
              <w:t>.</w:t>
            </w:r>
            <w:r>
              <w:rPr>
                <w:rFonts w:hint="eastAsia"/>
                <w:lang w:val="en-US" w:eastAsia="zh-CN"/>
              </w:rPr>
              <w:t xml:space="preserve">3 </w:t>
            </w:r>
            <w:r>
              <w:rPr>
                <w:rFonts w:hint="eastAsia"/>
              </w:rPr>
              <w:t>废气产排情况</w:t>
            </w:r>
          </w:p>
          <w:p w14:paraId="1AB71B92">
            <w:pPr>
              <w:pStyle w:val="51"/>
              <w:ind w:firstLine="480"/>
            </w:pPr>
            <w:r>
              <w:rPr>
                <w:rFonts w:hint="eastAsia"/>
              </w:rPr>
              <w:t>过滤棉对</w:t>
            </w:r>
            <w:r>
              <w:rPr>
                <w:rFonts w:hint="eastAsia"/>
                <w:lang w:val="en-US" w:eastAsia="zh-CN"/>
              </w:rPr>
              <w:t>颗粒物、</w:t>
            </w:r>
            <w:r>
              <w:rPr>
                <w:rFonts w:hint="eastAsia"/>
              </w:rPr>
              <w:t>锡及其化合物的去除效率以</w:t>
            </w:r>
            <w:r>
              <w:rPr>
                <w:rFonts w:hint="eastAsia"/>
                <w:lang w:val="en-US" w:eastAsia="zh-CN"/>
              </w:rPr>
              <w:t>6</w:t>
            </w:r>
            <w:r>
              <w:rPr>
                <w:rFonts w:hint="eastAsia"/>
              </w:rPr>
              <w:t>0%计，两级活性炭吸附装置对非甲烷总烃去除效率以90%计。各污染物产生及排放情况见表4-2；废气排放口基本情况见表4-3；废气监测要求见表4-4。</w:t>
            </w:r>
          </w:p>
          <w:p w14:paraId="4D80F022">
            <w:pPr>
              <w:pStyle w:val="51"/>
              <w:ind w:firstLine="480"/>
            </w:pPr>
          </w:p>
          <w:p w14:paraId="227603E7">
            <w:pPr>
              <w:pStyle w:val="51"/>
              <w:ind w:firstLine="480"/>
            </w:pPr>
          </w:p>
          <w:p w14:paraId="705F37C3">
            <w:pPr>
              <w:pStyle w:val="51"/>
              <w:ind w:firstLine="480"/>
            </w:pPr>
          </w:p>
          <w:p w14:paraId="1798BD09">
            <w:pPr>
              <w:pStyle w:val="51"/>
              <w:ind w:firstLine="480"/>
            </w:pPr>
          </w:p>
          <w:p w14:paraId="0369DE28">
            <w:pPr>
              <w:pStyle w:val="51"/>
              <w:ind w:firstLine="480"/>
            </w:pPr>
          </w:p>
          <w:p w14:paraId="36AE706E">
            <w:pPr>
              <w:pStyle w:val="51"/>
              <w:ind w:firstLine="480"/>
            </w:pPr>
            <w:r>
              <w:rPr>
                <w:rFonts w:hint="eastAsia"/>
              </w:rPr>
              <w:t xml:space="preserve"> </w:t>
            </w:r>
          </w:p>
        </w:tc>
      </w:tr>
    </w:tbl>
    <w:p w14:paraId="01A1E44B">
      <w:pPr>
        <w:pStyle w:val="51"/>
        <w:ind w:firstLine="480"/>
        <w:rPr>
          <w:snapToGrid w:val="0"/>
        </w:rPr>
      </w:pPr>
    </w:p>
    <w:p w14:paraId="3BD68308">
      <w:pPr>
        <w:pStyle w:val="51"/>
        <w:ind w:firstLine="480"/>
        <w:rPr>
          <w:snapToGrid w:val="0"/>
        </w:rPr>
        <w:sectPr>
          <w:pgSz w:w="11907" w:h="16840"/>
          <w:pgMar w:top="1418" w:right="1440" w:bottom="1418" w:left="1440" w:header="851" w:footer="851" w:gutter="0"/>
          <w:pgBorders>
            <w:top w:val="none" w:sz="0" w:space="0"/>
            <w:left w:val="none" w:sz="0" w:space="0"/>
            <w:bottom w:val="none" w:sz="0" w:space="0"/>
            <w:right w:val="none" w:sz="0" w:space="0"/>
          </w:pgBorders>
          <w:cols w:space="720" w:num="1"/>
          <w:docGrid w:linePitch="312" w:charSpace="0"/>
        </w:sectPr>
      </w:pP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20376"/>
      </w:tblGrid>
      <w:tr w14:paraId="63322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93" w:type="pct"/>
            <w:shd w:val="clear" w:color="auto" w:fill="auto"/>
            <w:vAlign w:val="center"/>
          </w:tcPr>
          <w:p w14:paraId="47C147F0">
            <w:pPr>
              <w:pStyle w:val="77"/>
              <w:spacing w:line="240" w:lineRule="auto"/>
            </w:pPr>
            <w:r>
              <w:rPr>
                <w:rFonts w:hint="eastAsia"/>
              </w:rPr>
              <w:t>运营</w:t>
            </w:r>
          </w:p>
          <w:p w14:paraId="5CF19C1A">
            <w:pPr>
              <w:pStyle w:val="77"/>
              <w:spacing w:line="240" w:lineRule="auto"/>
            </w:pPr>
            <w:r>
              <w:rPr>
                <w:rFonts w:hint="eastAsia"/>
              </w:rPr>
              <w:t>期环</w:t>
            </w:r>
          </w:p>
          <w:p w14:paraId="3BFE6A16">
            <w:pPr>
              <w:pStyle w:val="77"/>
              <w:spacing w:line="240" w:lineRule="auto"/>
            </w:pPr>
            <w:r>
              <w:rPr>
                <w:rFonts w:hint="eastAsia"/>
              </w:rPr>
              <w:t>境影</w:t>
            </w:r>
          </w:p>
          <w:p w14:paraId="2A38A343">
            <w:pPr>
              <w:pStyle w:val="77"/>
              <w:spacing w:line="240" w:lineRule="auto"/>
            </w:pPr>
            <w:r>
              <w:rPr>
                <w:rFonts w:hint="eastAsia"/>
              </w:rPr>
              <w:t>响和</w:t>
            </w:r>
          </w:p>
          <w:p w14:paraId="59DC0FF0">
            <w:pPr>
              <w:pStyle w:val="77"/>
              <w:spacing w:line="240" w:lineRule="auto"/>
            </w:pPr>
            <w:r>
              <w:rPr>
                <w:rFonts w:hint="eastAsia"/>
              </w:rPr>
              <w:t>保护</w:t>
            </w:r>
          </w:p>
          <w:p w14:paraId="73FBF829">
            <w:pPr>
              <w:pStyle w:val="77"/>
              <w:spacing w:line="240" w:lineRule="auto"/>
              <w:rPr>
                <w:snapToGrid w:val="0"/>
              </w:rPr>
            </w:pPr>
            <w:r>
              <w:rPr>
                <w:rFonts w:hint="eastAsia"/>
              </w:rPr>
              <w:t>措施</w:t>
            </w:r>
          </w:p>
        </w:tc>
        <w:tc>
          <w:tcPr>
            <w:tcW w:w="4807" w:type="pct"/>
            <w:shd w:val="clear" w:color="auto" w:fill="auto"/>
            <w:vAlign w:val="center"/>
          </w:tcPr>
          <w:p w14:paraId="50BBB151">
            <w:pPr>
              <w:adjustRightInd w:val="0"/>
              <w:snapToGrid w:val="0"/>
              <w:spacing w:line="360" w:lineRule="auto"/>
              <w:jc w:val="center"/>
              <w:rPr>
                <w:rStyle w:val="199"/>
                <w:rFonts w:hint="eastAsia"/>
                <w:color w:val="auto"/>
                <w:szCs w:val="21"/>
              </w:rPr>
            </w:pPr>
          </w:p>
          <w:p w14:paraId="7156032B">
            <w:pPr>
              <w:adjustRightInd w:val="0"/>
              <w:snapToGrid w:val="0"/>
              <w:spacing w:line="360" w:lineRule="auto"/>
              <w:jc w:val="center"/>
              <w:rPr>
                <w:rStyle w:val="199"/>
                <w:color w:val="auto"/>
                <w:szCs w:val="21"/>
              </w:rPr>
            </w:pPr>
            <w:r>
              <w:rPr>
                <w:rStyle w:val="199"/>
                <w:rFonts w:hint="eastAsia"/>
                <w:color w:val="auto"/>
                <w:szCs w:val="21"/>
              </w:rPr>
              <w:t xml:space="preserve">表4-2 </w:t>
            </w:r>
            <w:r>
              <w:rPr>
                <w:rStyle w:val="199"/>
                <w:color w:val="auto"/>
                <w:szCs w:val="21"/>
              </w:rPr>
              <w:t>本项目废气污染源源强核算结果汇总表</w:t>
            </w:r>
          </w:p>
          <w:tbl>
            <w:tblPr>
              <w:tblStyle w:val="2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8"/>
              <w:gridCol w:w="1334"/>
              <w:gridCol w:w="1775"/>
              <w:gridCol w:w="1578"/>
              <w:gridCol w:w="1684"/>
              <w:gridCol w:w="1517"/>
              <w:gridCol w:w="1005"/>
              <w:gridCol w:w="1173"/>
              <w:gridCol w:w="1173"/>
              <w:gridCol w:w="1174"/>
              <w:gridCol w:w="1810"/>
              <w:gridCol w:w="1662"/>
              <w:gridCol w:w="1499"/>
              <w:gridCol w:w="866"/>
            </w:tblGrid>
            <w:tr w14:paraId="639E0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471" w:type="pct"/>
                  <w:vMerge w:val="restart"/>
                  <w:noWrap/>
                  <w:vAlign w:val="center"/>
                </w:tcPr>
                <w:p w14:paraId="0BC47AF7">
                  <w:pPr>
                    <w:adjustRightInd w:val="0"/>
                    <w:snapToGrid w:val="0"/>
                    <w:jc w:val="center"/>
                    <w:rPr>
                      <w:b/>
                      <w:bCs/>
                      <w:color w:val="auto"/>
                      <w:szCs w:val="21"/>
                    </w:rPr>
                  </w:pPr>
                  <w:r>
                    <w:rPr>
                      <w:rFonts w:hint="eastAsia"/>
                      <w:b/>
                      <w:bCs/>
                      <w:color w:val="auto"/>
                      <w:szCs w:val="21"/>
                    </w:rPr>
                    <w:t>产排污环节</w:t>
                  </w:r>
                </w:p>
              </w:tc>
              <w:tc>
                <w:tcPr>
                  <w:tcW w:w="331" w:type="pct"/>
                  <w:vMerge w:val="restart"/>
                  <w:noWrap/>
                  <w:vAlign w:val="center"/>
                </w:tcPr>
                <w:p w14:paraId="0BAE1067">
                  <w:pPr>
                    <w:adjustRightInd w:val="0"/>
                    <w:snapToGrid w:val="0"/>
                    <w:jc w:val="center"/>
                    <w:rPr>
                      <w:b/>
                      <w:bCs/>
                      <w:color w:val="auto"/>
                      <w:szCs w:val="21"/>
                    </w:rPr>
                  </w:pPr>
                  <w:r>
                    <w:rPr>
                      <w:b/>
                      <w:bCs/>
                      <w:color w:val="auto"/>
                      <w:szCs w:val="21"/>
                    </w:rPr>
                    <w:t>污染物</w:t>
                  </w:r>
                </w:p>
              </w:tc>
              <w:tc>
                <w:tcPr>
                  <w:tcW w:w="1250" w:type="pct"/>
                  <w:gridSpan w:val="3"/>
                  <w:noWrap/>
                  <w:vAlign w:val="center"/>
                </w:tcPr>
                <w:p w14:paraId="40389DFE">
                  <w:pPr>
                    <w:adjustRightInd w:val="0"/>
                    <w:snapToGrid w:val="0"/>
                    <w:jc w:val="center"/>
                    <w:rPr>
                      <w:b/>
                      <w:bCs/>
                      <w:color w:val="auto"/>
                      <w:szCs w:val="21"/>
                    </w:rPr>
                  </w:pPr>
                  <w:r>
                    <w:rPr>
                      <w:b/>
                      <w:bCs/>
                      <w:color w:val="auto"/>
                      <w:szCs w:val="21"/>
                    </w:rPr>
                    <w:t>污染物产生情况</w:t>
                  </w:r>
                </w:p>
              </w:tc>
              <w:tc>
                <w:tcPr>
                  <w:tcW w:w="1499" w:type="pct"/>
                  <w:gridSpan w:val="5"/>
                  <w:noWrap/>
                  <w:vAlign w:val="center"/>
                </w:tcPr>
                <w:p w14:paraId="5711E51A">
                  <w:pPr>
                    <w:adjustRightInd w:val="0"/>
                    <w:snapToGrid w:val="0"/>
                    <w:jc w:val="center"/>
                    <w:rPr>
                      <w:b/>
                      <w:bCs/>
                      <w:color w:val="auto"/>
                      <w:szCs w:val="21"/>
                    </w:rPr>
                  </w:pPr>
                  <w:r>
                    <w:rPr>
                      <w:b/>
                      <w:bCs/>
                      <w:color w:val="auto"/>
                      <w:szCs w:val="21"/>
                    </w:rPr>
                    <w:t>治理设施</w:t>
                  </w:r>
                </w:p>
              </w:tc>
              <w:tc>
                <w:tcPr>
                  <w:tcW w:w="1233" w:type="pct"/>
                  <w:gridSpan w:val="3"/>
                  <w:noWrap/>
                  <w:vAlign w:val="center"/>
                </w:tcPr>
                <w:p w14:paraId="648EE964">
                  <w:pPr>
                    <w:adjustRightInd w:val="0"/>
                    <w:snapToGrid w:val="0"/>
                    <w:jc w:val="center"/>
                    <w:rPr>
                      <w:b/>
                      <w:bCs/>
                      <w:color w:val="auto"/>
                      <w:szCs w:val="21"/>
                    </w:rPr>
                  </w:pPr>
                  <w:r>
                    <w:rPr>
                      <w:b/>
                      <w:bCs/>
                      <w:color w:val="auto"/>
                      <w:szCs w:val="21"/>
                    </w:rPr>
                    <w:t>污染物排放</w:t>
                  </w:r>
                </w:p>
              </w:tc>
              <w:tc>
                <w:tcPr>
                  <w:tcW w:w="214" w:type="pct"/>
                  <w:vMerge w:val="restart"/>
                  <w:noWrap/>
                  <w:vAlign w:val="center"/>
                </w:tcPr>
                <w:p w14:paraId="599C7E17">
                  <w:pPr>
                    <w:adjustRightInd w:val="0"/>
                    <w:snapToGrid w:val="0"/>
                    <w:jc w:val="center"/>
                    <w:rPr>
                      <w:b/>
                      <w:bCs/>
                      <w:color w:val="auto"/>
                      <w:szCs w:val="21"/>
                    </w:rPr>
                  </w:pPr>
                  <w:r>
                    <w:rPr>
                      <w:rFonts w:hint="eastAsia"/>
                      <w:b/>
                      <w:bCs/>
                      <w:color w:val="auto"/>
                      <w:szCs w:val="21"/>
                    </w:rPr>
                    <w:t>排放方式</w:t>
                  </w:r>
                </w:p>
              </w:tc>
            </w:tr>
            <w:tr w14:paraId="1F2B7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471" w:type="pct"/>
                  <w:vMerge w:val="continue"/>
                  <w:noWrap/>
                  <w:vAlign w:val="center"/>
                </w:tcPr>
                <w:p w14:paraId="416F225F">
                  <w:pPr>
                    <w:adjustRightInd w:val="0"/>
                    <w:snapToGrid w:val="0"/>
                    <w:jc w:val="center"/>
                    <w:rPr>
                      <w:color w:val="auto"/>
                      <w:szCs w:val="21"/>
                    </w:rPr>
                  </w:pPr>
                </w:p>
              </w:tc>
              <w:tc>
                <w:tcPr>
                  <w:tcW w:w="331" w:type="pct"/>
                  <w:vMerge w:val="continue"/>
                  <w:noWrap/>
                  <w:vAlign w:val="center"/>
                </w:tcPr>
                <w:p w14:paraId="5F867359">
                  <w:pPr>
                    <w:adjustRightInd w:val="0"/>
                    <w:snapToGrid w:val="0"/>
                    <w:jc w:val="center"/>
                    <w:rPr>
                      <w:color w:val="auto"/>
                      <w:szCs w:val="21"/>
                    </w:rPr>
                  </w:pPr>
                </w:p>
              </w:tc>
              <w:tc>
                <w:tcPr>
                  <w:tcW w:w="440" w:type="pct"/>
                  <w:noWrap/>
                  <w:vAlign w:val="center"/>
                </w:tcPr>
                <w:p w14:paraId="677BC12A">
                  <w:pPr>
                    <w:adjustRightInd w:val="0"/>
                    <w:snapToGrid w:val="0"/>
                    <w:jc w:val="center"/>
                    <w:rPr>
                      <w:b/>
                      <w:bCs/>
                      <w:color w:val="auto"/>
                      <w:szCs w:val="21"/>
                    </w:rPr>
                  </w:pPr>
                  <w:r>
                    <w:rPr>
                      <w:b/>
                      <w:bCs/>
                      <w:color w:val="auto"/>
                      <w:szCs w:val="21"/>
                    </w:rPr>
                    <w:t>产生浓度（mg/m</w:t>
                  </w:r>
                  <w:r>
                    <w:rPr>
                      <w:b/>
                      <w:bCs/>
                      <w:color w:val="auto"/>
                      <w:szCs w:val="21"/>
                      <w:vertAlign w:val="superscript"/>
                    </w:rPr>
                    <w:t>3</w:t>
                  </w:r>
                  <w:r>
                    <w:rPr>
                      <w:b/>
                      <w:bCs/>
                      <w:color w:val="auto"/>
                      <w:szCs w:val="21"/>
                    </w:rPr>
                    <w:t>）</w:t>
                  </w:r>
                </w:p>
              </w:tc>
              <w:tc>
                <w:tcPr>
                  <w:tcW w:w="391" w:type="pct"/>
                  <w:noWrap/>
                  <w:vAlign w:val="center"/>
                </w:tcPr>
                <w:p w14:paraId="11AE4579">
                  <w:pPr>
                    <w:adjustRightInd w:val="0"/>
                    <w:snapToGrid w:val="0"/>
                    <w:jc w:val="center"/>
                    <w:rPr>
                      <w:b/>
                      <w:bCs/>
                      <w:color w:val="auto"/>
                      <w:szCs w:val="21"/>
                    </w:rPr>
                  </w:pPr>
                  <w:r>
                    <w:rPr>
                      <w:rFonts w:hint="eastAsia"/>
                      <w:b/>
                      <w:bCs/>
                      <w:color w:val="auto"/>
                      <w:szCs w:val="21"/>
                    </w:rPr>
                    <w:t>产生</w:t>
                  </w:r>
                  <w:r>
                    <w:rPr>
                      <w:b/>
                      <w:bCs/>
                      <w:color w:val="auto"/>
                      <w:szCs w:val="21"/>
                    </w:rPr>
                    <w:t>速率（kg/h）</w:t>
                  </w:r>
                </w:p>
              </w:tc>
              <w:tc>
                <w:tcPr>
                  <w:tcW w:w="417" w:type="pct"/>
                  <w:noWrap/>
                  <w:vAlign w:val="center"/>
                </w:tcPr>
                <w:p w14:paraId="65ABE4EF">
                  <w:pPr>
                    <w:adjustRightInd w:val="0"/>
                    <w:snapToGrid w:val="0"/>
                    <w:jc w:val="center"/>
                    <w:rPr>
                      <w:b/>
                      <w:bCs/>
                      <w:color w:val="auto"/>
                      <w:szCs w:val="21"/>
                    </w:rPr>
                  </w:pPr>
                  <w:r>
                    <w:rPr>
                      <w:b/>
                      <w:bCs/>
                      <w:color w:val="auto"/>
                      <w:szCs w:val="21"/>
                    </w:rPr>
                    <w:t>产生量（t/a）</w:t>
                  </w:r>
                </w:p>
              </w:tc>
              <w:tc>
                <w:tcPr>
                  <w:tcW w:w="376" w:type="pct"/>
                  <w:noWrap/>
                  <w:vAlign w:val="center"/>
                </w:tcPr>
                <w:p w14:paraId="0E7A8496">
                  <w:pPr>
                    <w:adjustRightInd w:val="0"/>
                    <w:snapToGrid w:val="0"/>
                    <w:jc w:val="center"/>
                    <w:rPr>
                      <w:b/>
                      <w:bCs/>
                      <w:color w:val="auto"/>
                      <w:szCs w:val="21"/>
                    </w:rPr>
                  </w:pPr>
                  <w:r>
                    <w:rPr>
                      <w:rFonts w:hint="eastAsia"/>
                      <w:b/>
                      <w:bCs/>
                      <w:color w:val="auto"/>
                      <w:szCs w:val="21"/>
                    </w:rPr>
                    <w:t>治理工艺</w:t>
                  </w:r>
                </w:p>
              </w:tc>
              <w:tc>
                <w:tcPr>
                  <w:tcW w:w="249" w:type="pct"/>
                  <w:noWrap/>
                  <w:vAlign w:val="center"/>
                </w:tcPr>
                <w:p w14:paraId="0D3D2737">
                  <w:pPr>
                    <w:adjustRightInd w:val="0"/>
                    <w:snapToGrid w:val="0"/>
                    <w:jc w:val="center"/>
                    <w:rPr>
                      <w:b/>
                      <w:bCs/>
                      <w:color w:val="auto"/>
                      <w:szCs w:val="21"/>
                    </w:rPr>
                  </w:pPr>
                  <w:r>
                    <w:rPr>
                      <w:rFonts w:hint="eastAsia"/>
                      <w:b/>
                      <w:bCs/>
                      <w:color w:val="auto"/>
                      <w:szCs w:val="21"/>
                    </w:rPr>
                    <w:t>风机风量</w:t>
                  </w:r>
                </w:p>
              </w:tc>
              <w:tc>
                <w:tcPr>
                  <w:tcW w:w="291" w:type="pct"/>
                  <w:noWrap/>
                  <w:vAlign w:val="center"/>
                </w:tcPr>
                <w:p w14:paraId="7E162FB6">
                  <w:pPr>
                    <w:adjustRightInd w:val="0"/>
                    <w:snapToGrid w:val="0"/>
                    <w:jc w:val="center"/>
                    <w:rPr>
                      <w:b/>
                      <w:bCs/>
                      <w:color w:val="auto"/>
                      <w:szCs w:val="21"/>
                    </w:rPr>
                  </w:pPr>
                  <w:r>
                    <w:rPr>
                      <w:b/>
                      <w:bCs/>
                      <w:color w:val="auto"/>
                      <w:szCs w:val="21"/>
                    </w:rPr>
                    <w:t>收集效率%</w:t>
                  </w:r>
                </w:p>
              </w:tc>
              <w:tc>
                <w:tcPr>
                  <w:tcW w:w="291" w:type="pct"/>
                  <w:noWrap/>
                  <w:vAlign w:val="center"/>
                </w:tcPr>
                <w:p w14:paraId="343144F1">
                  <w:pPr>
                    <w:adjustRightInd w:val="0"/>
                    <w:snapToGrid w:val="0"/>
                    <w:jc w:val="center"/>
                    <w:rPr>
                      <w:b/>
                      <w:bCs/>
                      <w:color w:val="auto"/>
                      <w:szCs w:val="21"/>
                    </w:rPr>
                  </w:pPr>
                  <w:r>
                    <w:rPr>
                      <w:b/>
                      <w:bCs/>
                      <w:color w:val="auto"/>
                      <w:szCs w:val="21"/>
                    </w:rPr>
                    <w:t>去除效率%</w:t>
                  </w:r>
                </w:p>
              </w:tc>
              <w:tc>
                <w:tcPr>
                  <w:tcW w:w="291" w:type="pct"/>
                  <w:noWrap/>
                  <w:vAlign w:val="center"/>
                </w:tcPr>
                <w:p w14:paraId="612E93B6">
                  <w:pPr>
                    <w:adjustRightInd w:val="0"/>
                    <w:snapToGrid w:val="0"/>
                    <w:jc w:val="center"/>
                    <w:rPr>
                      <w:b/>
                      <w:bCs/>
                      <w:color w:val="auto"/>
                      <w:szCs w:val="21"/>
                    </w:rPr>
                  </w:pPr>
                  <w:r>
                    <w:rPr>
                      <w:b/>
                      <w:bCs/>
                      <w:color w:val="auto"/>
                      <w:szCs w:val="21"/>
                    </w:rPr>
                    <w:t>技术可行性</w:t>
                  </w:r>
                </w:p>
              </w:tc>
              <w:tc>
                <w:tcPr>
                  <w:tcW w:w="449" w:type="pct"/>
                  <w:noWrap/>
                  <w:vAlign w:val="center"/>
                </w:tcPr>
                <w:p w14:paraId="52E595DE">
                  <w:pPr>
                    <w:adjustRightInd w:val="0"/>
                    <w:snapToGrid w:val="0"/>
                    <w:jc w:val="center"/>
                    <w:rPr>
                      <w:b/>
                      <w:bCs/>
                      <w:color w:val="auto"/>
                      <w:szCs w:val="21"/>
                    </w:rPr>
                  </w:pPr>
                  <w:r>
                    <w:rPr>
                      <w:b/>
                      <w:bCs/>
                      <w:color w:val="auto"/>
                      <w:szCs w:val="21"/>
                    </w:rPr>
                    <w:t>排放浓度（mg/m</w:t>
                  </w:r>
                  <w:r>
                    <w:rPr>
                      <w:b/>
                      <w:bCs/>
                      <w:color w:val="auto"/>
                      <w:szCs w:val="21"/>
                      <w:vertAlign w:val="superscript"/>
                    </w:rPr>
                    <w:t>3</w:t>
                  </w:r>
                  <w:r>
                    <w:rPr>
                      <w:b/>
                      <w:bCs/>
                      <w:color w:val="auto"/>
                      <w:szCs w:val="21"/>
                    </w:rPr>
                    <w:t>）</w:t>
                  </w:r>
                </w:p>
              </w:tc>
              <w:tc>
                <w:tcPr>
                  <w:tcW w:w="412" w:type="pct"/>
                  <w:noWrap/>
                  <w:vAlign w:val="center"/>
                </w:tcPr>
                <w:p w14:paraId="4CB33CF0">
                  <w:pPr>
                    <w:adjustRightInd w:val="0"/>
                    <w:snapToGrid w:val="0"/>
                    <w:jc w:val="center"/>
                    <w:rPr>
                      <w:b/>
                      <w:bCs/>
                      <w:color w:val="auto"/>
                      <w:szCs w:val="21"/>
                    </w:rPr>
                  </w:pPr>
                  <w:r>
                    <w:rPr>
                      <w:b/>
                      <w:bCs/>
                      <w:color w:val="auto"/>
                      <w:szCs w:val="21"/>
                    </w:rPr>
                    <w:t>排放速率（kg/h）</w:t>
                  </w:r>
                </w:p>
              </w:tc>
              <w:tc>
                <w:tcPr>
                  <w:tcW w:w="371" w:type="pct"/>
                  <w:noWrap/>
                  <w:vAlign w:val="center"/>
                </w:tcPr>
                <w:p w14:paraId="1335B47B">
                  <w:pPr>
                    <w:adjustRightInd w:val="0"/>
                    <w:snapToGrid w:val="0"/>
                    <w:jc w:val="center"/>
                    <w:rPr>
                      <w:b/>
                      <w:bCs/>
                      <w:color w:val="auto"/>
                      <w:szCs w:val="21"/>
                    </w:rPr>
                  </w:pPr>
                  <w:r>
                    <w:rPr>
                      <w:b/>
                      <w:bCs/>
                      <w:color w:val="auto"/>
                      <w:szCs w:val="21"/>
                    </w:rPr>
                    <w:t>排放量（t/a）</w:t>
                  </w:r>
                </w:p>
              </w:tc>
              <w:tc>
                <w:tcPr>
                  <w:tcW w:w="214" w:type="pct"/>
                  <w:vMerge w:val="continue"/>
                  <w:noWrap/>
                  <w:vAlign w:val="center"/>
                </w:tcPr>
                <w:p w14:paraId="0E599EBD">
                  <w:pPr>
                    <w:adjustRightInd w:val="0"/>
                    <w:snapToGrid w:val="0"/>
                    <w:jc w:val="center"/>
                    <w:rPr>
                      <w:color w:val="auto"/>
                      <w:szCs w:val="21"/>
                    </w:rPr>
                  </w:pPr>
                </w:p>
              </w:tc>
            </w:tr>
            <w:tr w14:paraId="2EE20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471" w:type="pct"/>
                  <w:noWrap/>
                  <w:vAlign w:val="center"/>
                </w:tcPr>
                <w:p w14:paraId="0F8FD86F">
                  <w:pPr>
                    <w:adjustRightInd w:val="0"/>
                    <w:snapToGrid w:val="0"/>
                    <w:jc w:val="center"/>
                    <w:rPr>
                      <w:rFonts w:hint="default" w:eastAsia="宋体"/>
                      <w:color w:val="FF0000"/>
                      <w:lang w:val="en-US" w:eastAsia="zh-CN"/>
                    </w:rPr>
                  </w:pPr>
                  <w:r>
                    <w:rPr>
                      <w:rFonts w:hint="eastAsia"/>
                      <w:color w:val="FF0000"/>
                      <w:lang w:val="en-US" w:eastAsia="zh-CN"/>
                    </w:rPr>
                    <w:t>擦拭废气</w:t>
                  </w:r>
                </w:p>
              </w:tc>
              <w:tc>
                <w:tcPr>
                  <w:tcW w:w="331" w:type="pct"/>
                  <w:noWrap/>
                  <w:vAlign w:val="center"/>
                </w:tcPr>
                <w:p w14:paraId="6DDD517D">
                  <w:pPr>
                    <w:adjustRightInd w:val="0"/>
                    <w:snapToGrid w:val="0"/>
                    <w:jc w:val="center"/>
                    <w:rPr>
                      <w:rFonts w:hint="default" w:eastAsia="宋体"/>
                      <w:color w:val="FF0000"/>
                      <w:szCs w:val="21"/>
                      <w:lang w:val="en-US" w:eastAsia="zh-CN"/>
                    </w:rPr>
                  </w:pPr>
                  <w:r>
                    <w:rPr>
                      <w:rFonts w:hint="eastAsia"/>
                      <w:color w:val="FF0000"/>
                      <w:szCs w:val="21"/>
                      <w:lang w:val="en-US" w:eastAsia="zh-CN"/>
                    </w:rPr>
                    <w:t>非甲烷总烃</w:t>
                  </w:r>
                </w:p>
              </w:tc>
              <w:tc>
                <w:tcPr>
                  <w:tcW w:w="440" w:type="pct"/>
                  <w:shd w:val="clear" w:color="auto" w:fill="auto"/>
                  <w:noWrap/>
                  <w:vAlign w:val="center"/>
                </w:tcPr>
                <w:p w14:paraId="4492F808">
                  <w:pPr>
                    <w:adjustRightInd w:val="0"/>
                    <w:snapToGrid w:val="0"/>
                    <w:jc w:val="center"/>
                    <w:rPr>
                      <w:rFonts w:hint="default" w:cs="Times New Roman"/>
                      <w:color w:val="FF0000"/>
                      <w:szCs w:val="21"/>
                      <w:lang w:val="en-US" w:eastAsia="zh-CN"/>
                    </w:rPr>
                  </w:pPr>
                  <w:r>
                    <w:rPr>
                      <w:rFonts w:hint="eastAsia" w:cs="Times New Roman"/>
                      <w:color w:val="FF0000"/>
                      <w:szCs w:val="21"/>
                      <w:lang w:val="en-US" w:eastAsia="zh-CN"/>
                    </w:rPr>
                    <w:t>2.593</w:t>
                  </w:r>
                </w:p>
              </w:tc>
              <w:tc>
                <w:tcPr>
                  <w:tcW w:w="391" w:type="pct"/>
                  <w:shd w:val="clear" w:color="auto" w:fill="auto"/>
                  <w:noWrap/>
                  <w:vAlign w:val="center"/>
                </w:tcPr>
                <w:p w14:paraId="7A769581">
                  <w:pPr>
                    <w:adjustRightInd w:val="0"/>
                    <w:snapToGrid w:val="0"/>
                    <w:jc w:val="center"/>
                    <w:rPr>
                      <w:rFonts w:hint="default" w:ascii="Times New Roman" w:hAnsi="Times New Roman" w:eastAsia="宋体" w:cs="Times New Roman"/>
                      <w:color w:val="FF0000"/>
                      <w:szCs w:val="21"/>
                      <w:lang w:val="en-US" w:eastAsia="zh-CN"/>
                    </w:rPr>
                  </w:pPr>
                  <w:r>
                    <w:rPr>
                      <w:rFonts w:hint="eastAsia" w:cs="Times New Roman"/>
                      <w:color w:val="FF0000"/>
                      <w:szCs w:val="21"/>
                      <w:lang w:val="en-US" w:eastAsia="zh-CN"/>
                    </w:rPr>
                    <w:t>0.054</w:t>
                  </w:r>
                </w:p>
              </w:tc>
              <w:tc>
                <w:tcPr>
                  <w:tcW w:w="417" w:type="pct"/>
                  <w:shd w:val="clear" w:color="auto" w:fill="auto"/>
                  <w:noWrap/>
                  <w:vAlign w:val="center"/>
                </w:tcPr>
                <w:p w14:paraId="002EAF26">
                  <w:pPr>
                    <w:adjustRightInd w:val="0"/>
                    <w:snapToGrid w:val="0"/>
                    <w:jc w:val="center"/>
                    <w:rPr>
                      <w:rFonts w:hint="default" w:ascii="Times New Roman" w:hAnsi="Times New Roman" w:eastAsia="宋体" w:cs="Times New Roman"/>
                      <w:color w:val="FF0000"/>
                      <w:szCs w:val="21"/>
                      <w:lang w:val="en-US" w:eastAsia="zh-CN"/>
                    </w:rPr>
                  </w:pPr>
                  <w:r>
                    <w:rPr>
                      <w:rFonts w:hint="eastAsia" w:cs="Times New Roman"/>
                      <w:color w:val="FF0000"/>
                      <w:szCs w:val="21"/>
                      <w:lang w:val="en-US" w:eastAsia="zh-CN"/>
                    </w:rPr>
                    <w:t>0.392</w:t>
                  </w:r>
                </w:p>
              </w:tc>
              <w:tc>
                <w:tcPr>
                  <w:tcW w:w="376" w:type="pct"/>
                  <w:vMerge w:val="restart"/>
                  <w:noWrap/>
                  <w:vAlign w:val="center"/>
                </w:tcPr>
                <w:p w14:paraId="02CEA511">
                  <w:pPr>
                    <w:adjustRightInd w:val="0"/>
                    <w:snapToGrid w:val="0"/>
                    <w:jc w:val="center"/>
                    <w:rPr>
                      <w:bCs/>
                      <w:color w:val="auto"/>
                      <w:szCs w:val="21"/>
                    </w:rPr>
                  </w:pPr>
                  <w:r>
                    <w:rPr>
                      <w:rFonts w:hint="eastAsia"/>
                      <w:bCs/>
                      <w:color w:val="auto"/>
                      <w:szCs w:val="21"/>
                    </w:rPr>
                    <w:t>过滤棉+二级活性炭吸附</w:t>
                  </w:r>
                </w:p>
              </w:tc>
              <w:tc>
                <w:tcPr>
                  <w:tcW w:w="249" w:type="pct"/>
                  <w:vMerge w:val="restart"/>
                  <w:noWrap/>
                  <w:vAlign w:val="center"/>
                </w:tcPr>
                <w:p w14:paraId="2E7881D6">
                  <w:pPr>
                    <w:adjustRightInd w:val="0"/>
                    <w:snapToGrid w:val="0"/>
                    <w:jc w:val="center"/>
                    <w:rPr>
                      <w:rFonts w:hint="default" w:eastAsia="宋体"/>
                      <w:color w:val="FF0000"/>
                      <w:szCs w:val="21"/>
                      <w:lang w:val="en-US" w:eastAsia="zh-CN"/>
                    </w:rPr>
                  </w:pPr>
                  <w:r>
                    <w:rPr>
                      <w:rFonts w:hint="eastAsia"/>
                      <w:color w:val="FF0000"/>
                      <w:szCs w:val="21"/>
                      <w:lang w:val="en-US" w:eastAsia="zh-CN"/>
                    </w:rPr>
                    <w:t>21000m</w:t>
                  </w:r>
                  <w:r>
                    <w:rPr>
                      <w:rFonts w:hint="eastAsia"/>
                      <w:color w:val="FF0000"/>
                      <w:szCs w:val="21"/>
                      <w:vertAlign w:val="superscript"/>
                      <w:lang w:val="en-US" w:eastAsia="zh-CN"/>
                    </w:rPr>
                    <w:t>3</w:t>
                  </w:r>
                  <w:r>
                    <w:rPr>
                      <w:rFonts w:hint="eastAsia"/>
                      <w:color w:val="FF0000"/>
                      <w:szCs w:val="21"/>
                      <w:lang w:val="en-US" w:eastAsia="zh-CN"/>
                    </w:rPr>
                    <w:t>/h</w:t>
                  </w:r>
                </w:p>
              </w:tc>
              <w:tc>
                <w:tcPr>
                  <w:tcW w:w="291" w:type="pct"/>
                  <w:noWrap/>
                  <w:vAlign w:val="center"/>
                </w:tcPr>
                <w:p w14:paraId="70E2F789">
                  <w:pPr>
                    <w:adjustRightInd w:val="0"/>
                    <w:snapToGrid w:val="0"/>
                    <w:jc w:val="center"/>
                    <w:rPr>
                      <w:rFonts w:hint="default" w:eastAsia="宋体"/>
                      <w:color w:val="FF0000"/>
                      <w:szCs w:val="21"/>
                      <w:lang w:val="en-US" w:eastAsia="zh-CN"/>
                    </w:rPr>
                  </w:pPr>
                  <w:r>
                    <w:rPr>
                      <w:rFonts w:hint="eastAsia"/>
                      <w:color w:val="FF0000"/>
                      <w:szCs w:val="21"/>
                      <w:lang w:val="en-US" w:eastAsia="zh-CN"/>
                    </w:rPr>
                    <w:t>90</w:t>
                  </w:r>
                </w:p>
              </w:tc>
              <w:tc>
                <w:tcPr>
                  <w:tcW w:w="291" w:type="pct"/>
                  <w:noWrap/>
                  <w:vAlign w:val="center"/>
                </w:tcPr>
                <w:p w14:paraId="5AB70FA1">
                  <w:pPr>
                    <w:adjustRightInd w:val="0"/>
                    <w:snapToGrid w:val="0"/>
                    <w:jc w:val="center"/>
                    <w:rPr>
                      <w:rFonts w:hint="default"/>
                      <w:color w:val="FF0000"/>
                      <w:szCs w:val="21"/>
                      <w:lang w:val="en-US" w:eastAsia="zh-CN"/>
                    </w:rPr>
                  </w:pPr>
                  <w:r>
                    <w:rPr>
                      <w:rFonts w:hint="eastAsia"/>
                      <w:color w:val="FF0000"/>
                      <w:szCs w:val="21"/>
                      <w:lang w:val="en-US" w:eastAsia="zh-CN"/>
                    </w:rPr>
                    <w:t>90</w:t>
                  </w:r>
                </w:p>
              </w:tc>
              <w:tc>
                <w:tcPr>
                  <w:tcW w:w="291" w:type="pct"/>
                  <w:vMerge w:val="restart"/>
                  <w:noWrap/>
                  <w:vAlign w:val="center"/>
                </w:tcPr>
                <w:p w14:paraId="3A92AC45">
                  <w:pPr>
                    <w:adjustRightInd w:val="0"/>
                    <w:snapToGrid w:val="0"/>
                    <w:jc w:val="center"/>
                    <w:rPr>
                      <w:rFonts w:hint="eastAsia" w:eastAsia="宋体"/>
                      <w:color w:val="auto"/>
                      <w:szCs w:val="21"/>
                      <w:lang w:val="en-US" w:eastAsia="zh-CN"/>
                    </w:rPr>
                  </w:pPr>
                  <w:r>
                    <w:rPr>
                      <w:rFonts w:hint="eastAsia"/>
                      <w:color w:val="auto"/>
                      <w:szCs w:val="21"/>
                      <w:lang w:val="en-US" w:eastAsia="zh-CN"/>
                    </w:rPr>
                    <w:t>可行</w:t>
                  </w:r>
                </w:p>
              </w:tc>
              <w:tc>
                <w:tcPr>
                  <w:tcW w:w="449" w:type="pct"/>
                  <w:shd w:val="clear" w:color="auto" w:fill="auto"/>
                  <w:noWrap/>
                  <w:vAlign w:val="center"/>
                </w:tcPr>
                <w:p w14:paraId="6105EDB3">
                  <w:pPr>
                    <w:adjustRightInd w:val="0"/>
                    <w:snapToGrid w:val="0"/>
                    <w:jc w:val="center"/>
                    <w:rPr>
                      <w:rFonts w:hint="default" w:ascii="Times New Roman" w:hAnsi="Times New Roman" w:eastAsia="宋体" w:cs="Times New Roman"/>
                      <w:color w:val="FF0000"/>
                      <w:szCs w:val="21"/>
                      <w:lang w:val="en-US" w:eastAsia="zh-CN"/>
                    </w:rPr>
                  </w:pPr>
                  <w:r>
                    <w:rPr>
                      <w:rFonts w:hint="eastAsia" w:cs="Times New Roman"/>
                      <w:color w:val="FF0000"/>
                      <w:szCs w:val="21"/>
                      <w:lang w:val="en-US" w:eastAsia="zh-CN"/>
                    </w:rPr>
                    <w:t>0.233</w:t>
                  </w:r>
                </w:p>
              </w:tc>
              <w:tc>
                <w:tcPr>
                  <w:tcW w:w="412" w:type="pct"/>
                  <w:shd w:val="clear" w:color="auto" w:fill="auto"/>
                  <w:noWrap/>
                  <w:vAlign w:val="center"/>
                </w:tcPr>
                <w:p w14:paraId="5B0A3BD0">
                  <w:pPr>
                    <w:adjustRightInd w:val="0"/>
                    <w:snapToGrid w:val="0"/>
                    <w:jc w:val="center"/>
                    <w:rPr>
                      <w:rFonts w:hint="default" w:ascii="Times New Roman" w:hAnsi="Times New Roman" w:eastAsia="宋体" w:cs="Times New Roman"/>
                      <w:color w:val="FF0000"/>
                      <w:szCs w:val="21"/>
                      <w:lang w:val="en-US" w:eastAsia="zh-CN"/>
                    </w:rPr>
                  </w:pPr>
                  <w:r>
                    <w:rPr>
                      <w:rFonts w:hint="eastAsia" w:cs="Times New Roman"/>
                      <w:color w:val="FF0000"/>
                      <w:szCs w:val="21"/>
                      <w:lang w:val="en-US" w:eastAsia="zh-CN"/>
                    </w:rPr>
                    <w:t>0.005</w:t>
                  </w:r>
                </w:p>
              </w:tc>
              <w:tc>
                <w:tcPr>
                  <w:tcW w:w="371" w:type="pct"/>
                  <w:shd w:val="clear" w:color="auto" w:fill="auto"/>
                  <w:noWrap/>
                  <w:vAlign w:val="center"/>
                </w:tcPr>
                <w:p w14:paraId="1F9D3EE7">
                  <w:pPr>
                    <w:adjustRightInd w:val="0"/>
                    <w:snapToGrid w:val="0"/>
                    <w:jc w:val="center"/>
                    <w:rPr>
                      <w:rFonts w:hint="default" w:ascii="Times New Roman" w:hAnsi="Times New Roman" w:eastAsia="宋体" w:cs="Times New Roman"/>
                      <w:color w:val="FF0000"/>
                      <w:szCs w:val="21"/>
                      <w:lang w:val="en-US" w:eastAsia="zh-CN"/>
                    </w:rPr>
                  </w:pPr>
                  <w:r>
                    <w:rPr>
                      <w:rFonts w:hint="eastAsia" w:cs="Times New Roman"/>
                      <w:color w:val="FF0000"/>
                      <w:szCs w:val="21"/>
                      <w:lang w:val="en-US" w:eastAsia="zh-CN"/>
                    </w:rPr>
                    <w:t>0.035</w:t>
                  </w:r>
                </w:p>
              </w:tc>
              <w:tc>
                <w:tcPr>
                  <w:tcW w:w="214" w:type="pct"/>
                  <w:vMerge w:val="restart"/>
                  <w:noWrap/>
                  <w:vAlign w:val="center"/>
                </w:tcPr>
                <w:p w14:paraId="515508F1">
                  <w:pPr>
                    <w:adjustRightInd w:val="0"/>
                    <w:snapToGrid w:val="0"/>
                    <w:jc w:val="center"/>
                    <w:rPr>
                      <w:rFonts w:hint="eastAsia" w:eastAsia="宋体"/>
                      <w:color w:val="auto"/>
                      <w:szCs w:val="21"/>
                      <w:lang w:val="en-US" w:eastAsia="zh-CN"/>
                    </w:rPr>
                  </w:pPr>
                  <w:r>
                    <w:rPr>
                      <w:rFonts w:hint="eastAsia"/>
                      <w:color w:val="auto"/>
                      <w:szCs w:val="21"/>
                      <w:lang w:val="en-US" w:eastAsia="zh-CN"/>
                    </w:rPr>
                    <w:t>有组织</w:t>
                  </w:r>
                </w:p>
              </w:tc>
            </w:tr>
            <w:tr w14:paraId="0C7A2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1" w:type="pct"/>
                  <w:vMerge w:val="restart"/>
                  <w:noWrap/>
                  <w:vAlign w:val="center"/>
                </w:tcPr>
                <w:p w14:paraId="5FE5B23C">
                  <w:pPr>
                    <w:adjustRightInd w:val="0"/>
                    <w:snapToGrid w:val="0"/>
                    <w:jc w:val="center"/>
                    <w:rPr>
                      <w:color w:val="auto"/>
                      <w:szCs w:val="21"/>
                    </w:rPr>
                  </w:pPr>
                  <w:r>
                    <w:rPr>
                      <w:rFonts w:hint="eastAsia"/>
                      <w:color w:val="auto"/>
                    </w:rPr>
                    <w:t>回流焊废气</w:t>
                  </w:r>
                </w:p>
              </w:tc>
              <w:tc>
                <w:tcPr>
                  <w:tcW w:w="331" w:type="pct"/>
                  <w:noWrap/>
                  <w:vAlign w:val="center"/>
                </w:tcPr>
                <w:p w14:paraId="09F383AA">
                  <w:pPr>
                    <w:adjustRightInd w:val="0"/>
                    <w:snapToGrid w:val="0"/>
                    <w:jc w:val="center"/>
                    <w:rPr>
                      <w:color w:val="auto"/>
                    </w:rPr>
                  </w:pPr>
                  <w:r>
                    <w:rPr>
                      <w:rFonts w:hint="eastAsia"/>
                      <w:color w:val="auto"/>
                      <w:szCs w:val="21"/>
                    </w:rPr>
                    <w:t>非甲烷总烃</w:t>
                  </w:r>
                </w:p>
              </w:tc>
              <w:tc>
                <w:tcPr>
                  <w:tcW w:w="440" w:type="pct"/>
                  <w:shd w:val="clear" w:color="auto" w:fill="auto"/>
                  <w:noWrap/>
                  <w:vAlign w:val="center"/>
                </w:tcPr>
                <w:p w14:paraId="75C4D7E6">
                  <w:pPr>
                    <w:adjustRightInd w:val="0"/>
                    <w:snapToGrid w:val="0"/>
                    <w:jc w:val="center"/>
                    <w:rPr>
                      <w:rFonts w:hint="default" w:ascii="Times New Roman" w:hAnsi="Times New Roman" w:eastAsia="宋体" w:cs="Times New Roman"/>
                      <w:color w:val="FF0000"/>
                      <w:szCs w:val="21"/>
                      <w:lang w:val="en-US" w:eastAsia="zh-CN"/>
                    </w:rPr>
                  </w:pPr>
                  <w:r>
                    <w:rPr>
                      <w:rFonts w:hint="eastAsia" w:cs="Times New Roman"/>
                      <w:color w:val="FF0000"/>
                      <w:szCs w:val="21"/>
                      <w:lang w:val="en-US" w:eastAsia="zh-CN"/>
                    </w:rPr>
                    <w:t>33.889</w:t>
                  </w:r>
                </w:p>
              </w:tc>
              <w:tc>
                <w:tcPr>
                  <w:tcW w:w="391" w:type="pct"/>
                  <w:shd w:val="clear" w:color="auto" w:fill="auto"/>
                  <w:noWrap/>
                  <w:vAlign w:val="center"/>
                </w:tcPr>
                <w:p w14:paraId="1B9B9143">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w:t>
                  </w:r>
                  <w:r>
                    <w:rPr>
                      <w:rFonts w:hint="eastAsia" w:cs="Times New Roman"/>
                      <w:color w:val="FF0000"/>
                      <w:szCs w:val="21"/>
                      <w:lang w:val="en-US" w:eastAsia="zh-CN"/>
                    </w:rPr>
                    <w:t>712</w:t>
                  </w:r>
                </w:p>
              </w:tc>
              <w:tc>
                <w:tcPr>
                  <w:tcW w:w="417" w:type="pct"/>
                  <w:shd w:val="clear" w:color="auto" w:fill="auto"/>
                  <w:noWrap/>
                  <w:vAlign w:val="center"/>
                </w:tcPr>
                <w:p w14:paraId="3A2070CF">
                  <w:pPr>
                    <w:adjustRightInd w:val="0"/>
                    <w:snapToGrid w:val="0"/>
                    <w:jc w:val="center"/>
                    <w:rPr>
                      <w:rFonts w:hint="default" w:ascii="Times New Roman" w:hAnsi="Times New Roman" w:eastAsia="宋体" w:cs="Times New Roman"/>
                      <w:color w:val="FF0000"/>
                      <w:szCs w:val="21"/>
                      <w:lang w:val="en-US" w:eastAsia="zh-CN"/>
                    </w:rPr>
                  </w:pPr>
                  <w:r>
                    <w:rPr>
                      <w:rFonts w:hint="eastAsia" w:cs="Times New Roman"/>
                      <w:color w:val="FF0000"/>
                      <w:szCs w:val="21"/>
                      <w:lang w:val="en-US" w:eastAsia="zh-CN"/>
                    </w:rPr>
                    <w:t>5.124</w:t>
                  </w:r>
                </w:p>
              </w:tc>
              <w:tc>
                <w:tcPr>
                  <w:tcW w:w="376" w:type="pct"/>
                  <w:vMerge w:val="continue"/>
                  <w:noWrap/>
                  <w:vAlign w:val="center"/>
                </w:tcPr>
                <w:p w14:paraId="09949B41">
                  <w:pPr>
                    <w:adjustRightInd w:val="0"/>
                    <w:snapToGrid w:val="0"/>
                    <w:jc w:val="center"/>
                    <w:rPr>
                      <w:bCs/>
                      <w:color w:val="auto"/>
                      <w:szCs w:val="21"/>
                    </w:rPr>
                  </w:pPr>
                </w:p>
              </w:tc>
              <w:tc>
                <w:tcPr>
                  <w:tcW w:w="249" w:type="pct"/>
                  <w:vMerge w:val="continue"/>
                  <w:noWrap/>
                  <w:vAlign w:val="center"/>
                </w:tcPr>
                <w:p w14:paraId="2514CF3A">
                  <w:pPr>
                    <w:adjustRightInd w:val="0"/>
                    <w:snapToGrid w:val="0"/>
                    <w:jc w:val="center"/>
                    <w:rPr>
                      <w:rFonts w:hint="default" w:eastAsia="宋体"/>
                      <w:color w:val="FF0000"/>
                      <w:szCs w:val="21"/>
                      <w:lang w:val="en-US" w:eastAsia="zh-CN"/>
                    </w:rPr>
                  </w:pPr>
                </w:p>
              </w:tc>
              <w:tc>
                <w:tcPr>
                  <w:tcW w:w="291" w:type="pct"/>
                  <w:noWrap/>
                  <w:vAlign w:val="center"/>
                </w:tcPr>
                <w:p w14:paraId="2A5EA9E8">
                  <w:pPr>
                    <w:adjustRightInd w:val="0"/>
                    <w:snapToGrid w:val="0"/>
                    <w:jc w:val="center"/>
                    <w:rPr>
                      <w:rFonts w:hint="eastAsia" w:eastAsia="宋体"/>
                      <w:color w:val="FF0000"/>
                      <w:szCs w:val="21"/>
                      <w:lang w:eastAsia="zh-CN"/>
                    </w:rPr>
                  </w:pPr>
                  <w:r>
                    <w:rPr>
                      <w:rFonts w:hint="eastAsia"/>
                      <w:color w:val="FF0000"/>
                      <w:szCs w:val="21"/>
                    </w:rPr>
                    <w:t>9</w:t>
                  </w:r>
                  <w:r>
                    <w:rPr>
                      <w:rFonts w:hint="eastAsia"/>
                      <w:color w:val="FF0000"/>
                      <w:szCs w:val="21"/>
                      <w:lang w:val="en-US" w:eastAsia="zh-CN"/>
                    </w:rPr>
                    <w:t>5</w:t>
                  </w:r>
                </w:p>
              </w:tc>
              <w:tc>
                <w:tcPr>
                  <w:tcW w:w="291" w:type="pct"/>
                  <w:noWrap/>
                  <w:vAlign w:val="center"/>
                </w:tcPr>
                <w:p w14:paraId="0CA8E7DA">
                  <w:pPr>
                    <w:adjustRightInd w:val="0"/>
                    <w:snapToGrid w:val="0"/>
                    <w:jc w:val="center"/>
                    <w:rPr>
                      <w:rFonts w:hint="default" w:eastAsia="宋体"/>
                      <w:color w:val="FF0000"/>
                      <w:szCs w:val="21"/>
                      <w:lang w:val="en-US" w:eastAsia="zh-CN"/>
                    </w:rPr>
                  </w:pPr>
                  <w:r>
                    <w:rPr>
                      <w:rFonts w:hint="eastAsia"/>
                      <w:color w:val="FF0000"/>
                      <w:szCs w:val="21"/>
                      <w:lang w:val="en-US" w:eastAsia="zh-CN"/>
                    </w:rPr>
                    <w:t>90</w:t>
                  </w:r>
                </w:p>
              </w:tc>
              <w:tc>
                <w:tcPr>
                  <w:tcW w:w="291" w:type="pct"/>
                  <w:vMerge w:val="continue"/>
                  <w:noWrap/>
                  <w:vAlign w:val="center"/>
                </w:tcPr>
                <w:p w14:paraId="46D33D02">
                  <w:pPr>
                    <w:adjustRightInd w:val="0"/>
                    <w:snapToGrid w:val="0"/>
                    <w:jc w:val="center"/>
                    <w:rPr>
                      <w:rFonts w:hint="eastAsia" w:eastAsia="宋体"/>
                      <w:color w:val="auto"/>
                      <w:szCs w:val="21"/>
                      <w:lang w:val="en-US" w:eastAsia="zh-CN"/>
                    </w:rPr>
                  </w:pPr>
                </w:p>
              </w:tc>
              <w:tc>
                <w:tcPr>
                  <w:tcW w:w="449" w:type="pct"/>
                  <w:shd w:val="clear" w:color="auto" w:fill="auto"/>
                  <w:noWrap/>
                  <w:vAlign w:val="center"/>
                </w:tcPr>
                <w:p w14:paraId="30D85303">
                  <w:pPr>
                    <w:adjustRightInd w:val="0"/>
                    <w:snapToGrid w:val="0"/>
                    <w:jc w:val="center"/>
                    <w:rPr>
                      <w:rFonts w:hint="default" w:ascii="Times New Roman" w:hAnsi="Times New Roman" w:eastAsia="宋体" w:cs="Times New Roman"/>
                      <w:color w:val="FF0000"/>
                      <w:szCs w:val="21"/>
                      <w:lang w:val="en-US" w:eastAsia="zh-CN"/>
                    </w:rPr>
                  </w:pPr>
                  <w:r>
                    <w:rPr>
                      <w:rFonts w:hint="eastAsia" w:cs="Times New Roman"/>
                      <w:color w:val="FF0000"/>
                      <w:szCs w:val="21"/>
                      <w:lang w:val="en-US" w:eastAsia="zh-CN"/>
                    </w:rPr>
                    <w:t>3.219</w:t>
                  </w:r>
                </w:p>
              </w:tc>
              <w:tc>
                <w:tcPr>
                  <w:tcW w:w="412" w:type="pct"/>
                  <w:shd w:val="clear" w:color="auto" w:fill="auto"/>
                  <w:noWrap/>
                  <w:vAlign w:val="center"/>
                </w:tcPr>
                <w:p w14:paraId="75F57965">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w:t>
                  </w:r>
                  <w:r>
                    <w:rPr>
                      <w:rFonts w:hint="eastAsia" w:cs="Times New Roman"/>
                      <w:color w:val="FF0000"/>
                      <w:szCs w:val="21"/>
                      <w:lang w:val="en-US" w:eastAsia="zh-CN"/>
                    </w:rPr>
                    <w:t>68</w:t>
                  </w:r>
                </w:p>
              </w:tc>
              <w:tc>
                <w:tcPr>
                  <w:tcW w:w="371" w:type="pct"/>
                  <w:shd w:val="clear" w:color="auto" w:fill="auto"/>
                  <w:noWrap/>
                  <w:vAlign w:val="center"/>
                </w:tcPr>
                <w:p w14:paraId="653F19B1">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w:t>
                  </w:r>
                  <w:r>
                    <w:rPr>
                      <w:rFonts w:hint="eastAsia" w:cs="Times New Roman"/>
                      <w:color w:val="FF0000"/>
                      <w:szCs w:val="21"/>
                      <w:lang w:val="en-US" w:eastAsia="zh-CN"/>
                    </w:rPr>
                    <w:t>487</w:t>
                  </w:r>
                </w:p>
              </w:tc>
              <w:tc>
                <w:tcPr>
                  <w:tcW w:w="214" w:type="pct"/>
                  <w:vMerge w:val="continue"/>
                  <w:noWrap/>
                  <w:vAlign w:val="center"/>
                </w:tcPr>
                <w:p w14:paraId="39AB89C1">
                  <w:pPr>
                    <w:adjustRightInd w:val="0"/>
                    <w:snapToGrid w:val="0"/>
                    <w:jc w:val="center"/>
                    <w:rPr>
                      <w:rFonts w:hint="eastAsia" w:eastAsia="宋体"/>
                      <w:color w:val="auto"/>
                      <w:szCs w:val="21"/>
                      <w:lang w:val="en-US" w:eastAsia="zh-CN"/>
                    </w:rPr>
                  </w:pPr>
                </w:p>
              </w:tc>
            </w:tr>
            <w:tr w14:paraId="4C114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471" w:type="pct"/>
                  <w:vMerge w:val="continue"/>
                  <w:noWrap/>
                  <w:vAlign w:val="center"/>
                </w:tcPr>
                <w:p w14:paraId="2C556DC1">
                  <w:pPr>
                    <w:adjustRightInd w:val="0"/>
                    <w:snapToGrid w:val="0"/>
                    <w:jc w:val="center"/>
                    <w:rPr>
                      <w:rFonts w:hint="eastAsia"/>
                      <w:color w:val="auto"/>
                    </w:rPr>
                  </w:pPr>
                </w:p>
              </w:tc>
              <w:tc>
                <w:tcPr>
                  <w:tcW w:w="331" w:type="pct"/>
                  <w:noWrap/>
                  <w:vAlign w:val="center"/>
                </w:tcPr>
                <w:p w14:paraId="56681047">
                  <w:pPr>
                    <w:adjustRightInd w:val="0"/>
                    <w:snapToGrid w:val="0"/>
                    <w:jc w:val="center"/>
                    <w:rPr>
                      <w:rFonts w:hint="eastAsia" w:eastAsia="宋体"/>
                      <w:color w:val="auto"/>
                      <w:szCs w:val="21"/>
                      <w:lang w:val="en-US" w:eastAsia="zh-CN"/>
                    </w:rPr>
                  </w:pPr>
                  <w:r>
                    <w:rPr>
                      <w:rFonts w:hint="eastAsia"/>
                      <w:color w:val="auto"/>
                      <w:szCs w:val="21"/>
                      <w:lang w:val="en-US" w:eastAsia="zh-CN"/>
                    </w:rPr>
                    <w:t>颗粒物</w:t>
                  </w:r>
                </w:p>
              </w:tc>
              <w:tc>
                <w:tcPr>
                  <w:tcW w:w="440" w:type="pct"/>
                  <w:shd w:val="clear" w:color="auto" w:fill="auto"/>
                  <w:noWrap/>
                  <w:vAlign w:val="center"/>
                </w:tcPr>
                <w:p w14:paraId="06755F03">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w:t>
                  </w:r>
                  <w:r>
                    <w:rPr>
                      <w:rFonts w:hint="eastAsia" w:cs="Times New Roman"/>
                      <w:color w:val="FF0000"/>
                      <w:szCs w:val="21"/>
                      <w:lang w:val="en-US" w:eastAsia="zh-CN"/>
                    </w:rPr>
                    <w:t>106</w:t>
                  </w:r>
                </w:p>
              </w:tc>
              <w:tc>
                <w:tcPr>
                  <w:tcW w:w="391" w:type="pct"/>
                  <w:shd w:val="clear" w:color="auto" w:fill="auto"/>
                  <w:noWrap/>
                  <w:vAlign w:val="center"/>
                </w:tcPr>
                <w:p w14:paraId="1F53F5EC">
                  <w:pPr>
                    <w:adjustRightInd w:val="0"/>
                    <w:snapToGrid w:val="0"/>
                    <w:jc w:val="center"/>
                    <w:rPr>
                      <w:rFonts w:hint="eastAsia"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w:t>
                  </w:r>
                  <w:r>
                    <w:rPr>
                      <w:rFonts w:hint="eastAsia" w:cs="Times New Roman"/>
                      <w:color w:val="FF0000"/>
                      <w:szCs w:val="21"/>
                      <w:lang w:val="en-US" w:eastAsia="zh-CN"/>
                    </w:rPr>
                    <w:t>2</w:t>
                  </w:r>
                </w:p>
              </w:tc>
              <w:tc>
                <w:tcPr>
                  <w:tcW w:w="417" w:type="pct"/>
                  <w:shd w:val="clear" w:color="auto" w:fill="auto"/>
                  <w:noWrap/>
                  <w:vAlign w:val="center"/>
                </w:tcPr>
                <w:p w14:paraId="70185DA6">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w:t>
                  </w:r>
                  <w:r>
                    <w:rPr>
                      <w:rFonts w:hint="eastAsia" w:cs="Times New Roman"/>
                      <w:color w:val="FF0000"/>
                      <w:szCs w:val="21"/>
                      <w:lang w:val="en-US" w:eastAsia="zh-CN"/>
                    </w:rPr>
                    <w:t>16</w:t>
                  </w:r>
                </w:p>
              </w:tc>
              <w:tc>
                <w:tcPr>
                  <w:tcW w:w="376" w:type="pct"/>
                  <w:vMerge w:val="continue"/>
                  <w:noWrap/>
                  <w:vAlign w:val="center"/>
                </w:tcPr>
                <w:p w14:paraId="45BCAB22">
                  <w:pPr>
                    <w:adjustRightInd w:val="0"/>
                    <w:snapToGrid w:val="0"/>
                    <w:jc w:val="center"/>
                    <w:rPr>
                      <w:bCs/>
                      <w:color w:val="auto"/>
                      <w:szCs w:val="21"/>
                    </w:rPr>
                  </w:pPr>
                </w:p>
              </w:tc>
              <w:tc>
                <w:tcPr>
                  <w:tcW w:w="249" w:type="pct"/>
                  <w:vMerge w:val="continue"/>
                  <w:noWrap/>
                  <w:vAlign w:val="center"/>
                </w:tcPr>
                <w:p w14:paraId="6177AD36">
                  <w:pPr>
                    <w:adjustRightInd w:val="0"/>
                    <w:snapToGrid w:val="0"/>
                    <w:jc w:val="center"/>
                    <w:rPr>
                      <w:color w:val="FF0000"/>
                      <w:szCs w:val="21"/>
                    </w:rPr>
                  </w:pPr>
                </w:p>
              </w:tc>
              <w:tc>
                <w:tcPr>
                  <w:tcW w:w="291" w:type="pct"/>
                  <w:noWrap/>
                  <w:vAlign w:val="center"/>
                </w:tcPr>
                <w:p w14:paraId="614B7617">
                  <w:pPr>
                    <w:adjustRightInd w:val="0"/>
                    <w:snapToGrid w:val="0"/>
                    <w:jc w:val="center"/>
                    <w:rPr>
                      <w:rFonts w:hint="default" w:eastAsia="宋体"/>
                      <w:color w:val="FF0000"/>
                      <w:szCs w:val="21"/>
                      <w:lang w:val="en-US" w:eastAsia="zh-CN"/>
                    </w:rPr>
                  </w:pPr>
                  <w:r>
                    <w:rPr>
                      <w:rFonts w:hint="eastAsia"/>
                      <w:color w:val="FF0000"/>
                      <w:szCs w:val="21"/>
                      <w:lang w:val="en-US" w:eastAsia="zh-CN"/>
                    </w:rPr>
                    <w:t>95</w:t>
                  </w:r>
                </w:p>
              </w:tc>
              <w:tc>
                <w:tcPr>
                  <w:tcW w:w="291" w:type="pct"/>
                  <w:noWrap/>
                  <w:vAlign w:val="center"/>
                </w:tcPr>
                <w:p w14:paraId="75D873A9">
                  <w:pPr>
                    <w:adjustRightInd w:val="0"/>
                    <w:snapToGrid w:val="0"/>
                    <w:jc w:val="center"/>
                    <w:rPr>
                      <w:rFonts w:hint="default"/>
                      <w:color w:val="FF0000"/>
                      <w:szCs w:val="21"/>
                      <w:lang w:val="en-US" w:eastAsia="zh-CN"/>
                    </w:rPr>
                  </w:pPr>
                  <w:r>
                    <w:rPr>
                      <w:rFonts w:hint="eastAsia"/>
                      <w:color w:val="FF0000"/>
                      <w:szCs w:val="21"/>
                      <w:lang w:val="en-US" w:eastAsia="zh-CN"/>
                    </w:rPr>
                    <w:t>60</w:t>
                  </w:r>
                </w:p>
              </w:tc>
              <w:tc>
                <w:tcPr>
                  <w:tcW w:w="291" w:type="pct"/>
                  <w:vMerge w:val="continue"/>
                  <w:noWrap/>
                  <w:vAlign w:val="center"/>
                </w:tcPr>
                <w:p w14:paraId="7E1C5736">
                  <w:pPr>
                    <w:adjustRightInd w:val="0"/>
                    <w:snapToGrid w:val="0"/>
                    <w:jc w:val="center"/>
                    <w:rPr>
                      <w:color w:val="auto"/>
                      <w:szCs w:val="21"/>
                    </w:rPr>
                  </w:pPr>
                </w:p>
              </w:tc>
              <w:tc>
                <w:tcPr>
                  <w:tcW w:w="449" w:type="pct"/>
                  <w:shd w:val="clear" w:color="auto" w:fill="auto"/>
                  <w:noWrap/>
                  <w:vAlign w:val="center"/>
                </w:tcPr>
                <w:p w14:paraId="436F462E">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w:t>
                  </w:r>
                  <w:r>
                    <w:rPr>
                      <w:rFonts w:hint="eastAsia" w:cs="Times New Roman"/>
                      <w:color w:val="FF0000"/>
                      <w:szCs w:val="21"/>
                      <w:lang w:val="en-US" w:eastAsia="zh-CN"/>
                    </w:rPr>
                    <w:t>40</w:t>
                  </w:r>
                </w:p>
              </w:tc>
              <w:tc>
                <w:tcPr>
                  <w:tcW w:w="412" w:type="pct"/>
                  <w:shd w:val="clear" w:color="auto" w:fill="auto"/>
                  <w:noWrap/>
                  <w:vAlign w:val="center"/>
                </w:tcPr>
                <w:p w14:paraId="7539797A">
                  <w:pPr>
                    <w:adjustRightInd w:val="0"/>
                    <w:snapToGrid w:val="0"/>
                    <w:jc w:val="center"/>
                    <w:rPr>
                      <w:rFonts w:hint="eastAsia"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0.000</w:t>
                  </w:r>
                  <w:r>
                    <w:rPr>
                      <w:rFonts w:hint="eastAsia" w:cs="Times New Roman"/>
                      <w:color w:val="FF0000"/>
                      <w:szCs w:val="21"/>
                      <w:lang w:val="en-US" w:eastAsia="zh-CN"/>
                    </w:rPr>
                    <w:t>8</w:t>
                  </w:r>
                </w:p>
              </w:tc>
              <w:tc>
                <w:tcPr>
                  <w:tcW w:w="371" w:type="pct"/>
                  <w:shd w:val="clear" w:color="auto" w:fill="auto"/>
                  <w:noWrap/>
                  <w:vAlign w:val="center"/>
                </w:tcPr>
                <w:p w14:paraId="27E6A905">
                  <w:pPr>
                    <w:adjustRightInd w:val="0"/>
                    <w:snapToGrid w:val="0"/>
                    <w:jc w:val="center"/>
                    <w:rPr>
                      <w:rFonts w:hint="eastAsia"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w:t>
                  </w:r>
                  <w:r>
                    <w:rPr>
                      <w:rFonts w:hint="eastAsia" w:cs="Times New Roman"/>
                      <w:color w:val="FF0000"/>
                      <w:szCs w:val="21"/>
                      <w:lang w:val="en-US" w:eastAsia="zh-CN"/>
                    </w:rPr>
                    <w:t>6</w:t>
                  </w:r>
                </w:p>
              </w:tc>
              <w:tc>
                <w:tcPr>
                  <w:tcW w:w="214" w:type="pct"/>
                  <w:vMerge w:val="continue"/>
                  <w:noWrap/>
                  <w:vAlign w:val="center"/>
                </w:tcPr>
                <w:p w14:paraId="4EE76A2B">
                  <w:pPr>
                    <w:adjustRightInd w:val="0"/>
                    <w:snapToGrid w:val="0"/>
                    <w:jc w:val="center"/>
                    <w:rPr>
                      <w:color w:val="auto"/>
                      <w:szCs w:val="21"/>
                    </w:rPr>
                  </w:pPr>
                </w:p>
              </w:tc>
            </w:tr>
            <w:tr w14:paraId="05DB1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471" w:type="pct"/>
                  <w:vMerge w:val="continue"/>
                  <w:noWrap/>
                  <w:vAlign w:val="center"/>
                </w:tcPr>
                <w:p w14:paraId="69EBA59D">
                  <w:pPr>
                    <w:adjustRightInd w:val="0"/>
                    <w:snapToGrid w:val="0"/>
                    <w:jc w:val="center"/>
                    <w:rPr>
                      <w:color w:val="auto"/>
                    </w:rPr>
                  </w:pPr>
                </w:p>
              </w:tc>
              <w:tc>
                <w:tcPr>
                  <w:tcW w:w="331" w:type="pct"/>
                  <w:noWrap/>
                  <w:vAlign w:val="center"/>
                </w:tcPr>
                <w:p w14:paraId="34F474B7">
                  <w:pPr>
                    <w:adjustRightInd w:val="0"/>
                    <w:snapToGrid w:val="0"/>
                    <w:jc w:val="center"/>
                    <w:rPr>
                      <w:color w:val="auto"/>
                    </w:rPr>
                  </w:pPr>
                  <w:r>
                    <w:rPr>
                      <w:rFonts w:hint="eastAsia"/>
                      <w:color w:val="auto"/>
                    </w:rPr>
                    <w:t>锡及其化合物</w:t>
                  </w:r>
                </w:p>
              </w:tc>
              <w:tc>
                <w:tcPr>
                  <w:tcW w:w="440" w:type="pct"/>
                  <w:shd w:val="clear" w:color="auto" w:fill="auto"/>
                  <w:noWrap/>
                  <w:vAlign w:val="center"/>
                </w:tcPr>
                <w:p w14:paraId="0AB7B43A">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w:t>
                  </w:r>
                  <w:r>
                    <w:rPr>
                      <w:rFonts w:hint="eastAsia" w:cs="Times New Roman"/>
                      <w:color w:val="FF0000"/>
                      <w:szCs w:val="21"/>
                      <w:lang w:val="en-US" w:eastAsia="zh-CN"/>
                    </w:rPr>
                    <w:t>93</w:t>
                  </w:r>
                </w:p>
              </w:tc>
              <w:tc>
                <w:tcPr>
                  <w:tcW w:w="391" w:type="pct"/>
                  <w:shd w:val="clear" w:color="auto" w:fill="auto"/>
                  <w:noWrap/>
                  <w:vAlign w:val="center"/>
                </w:tcPr>
                <w:p w14:paraId="4489C480">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w:t>
                  </w:r>
                  <w:r>
                    <w:rPr>
                      <w:rFonts w:hint="eastAsia" w:cs="Times New Roman"/>
                      <w:color w:val="FF0000"/>
                      <w:szCs w:val="21"/>
                      <w:lang w:val="en-US" w:eastAsia="zh-CN"/>
                    </w:rPr>
                    <w:t>2</w:t>
                  </w:r>
                </w:p>
              </w:tc>
              <w:tc>
                <w:tcPr>
                  <w:tcW w:w="417" w:type="pct"/>
                  <w:shd w:val="clear" w:color="auto" w:fill="auto"/>
                  <w:noWrap/>
                  <w:vAlign w:val="center"/>
                </w:tcPr>
                <w:p w14:paraId="74443B83">
                  <w:pPr>
                    <w:adjustRightInd w:val="0"/>
                    <w:snapToGrid w:val="0"/>
                    <w:spacing w:line="240" w:lineRule="auto"/>
                    <w:jc w:val="center"/>
                    <w:rPr>
                      <w:rFonts w:hint="default" w:ascii="Times New Roman" w:hAnsi="Times New Roman" w:eastAsia="宋体" w:cs="Times New Roman"/>
                      <w:color w:val="FF0000"/>
                      <w:szCs w:val="21"/>
                      <w:lang w:val="en-US" w:eastAsia="zh-CN"/>
                    </w:rPr>
                  </w:pPr>
                  <w:r>
                    <w:rPr>
                      <w:rFonts w:hint="default" w:ascii="Times New Roman" w:hAnsi="Times New Roman" w:eastAsia="宋体" w:cs="Times New Roman"/>
                      <w:color w:val="FF0000"/>
                      <w:szCs w:val="21"/>
                      <w:lang w:val="en-US" w:eastAsia="zh-CN"/>
                    </w:rPr>
                    <w:t>0.0</w:t>
                  </w:r>
                  <w:r>
                    <w:rPr>
                      <w:rFonts w:hint="eastAsia" w:cs="Times New Roman"/>
                      <w:color w:val="FF0000"/>
                      <w:szCs w:val="21"/>
                      <w:lang w:val="en-US" w:eastAsia="zh-CN"/>
                    </w:rPr>
                    <w:t>14</w:t>
                  </w:r>
                </w:p>
              </w:tc>
              <w:tc>
                <w:tcPr>
                  <w:tcW w:w="376" w:type="pct"/>
                  <w:vMerge w:val="continue"/>
                  <w:noWrap/>
                  <w:vAlign w:val="center"/>
                </w:tcPr>
                <w:p w14:paraId="78AC08B2">
                  <w:pPr>
                    <w:adjustRightInd w:val="0"/>
                    <w:snapToGrid w:val="0"/>
                    <w:jc w:val="center"/>
                    <w:rPr>
                      <w:bCs/>
                      <w:color w:val="auto"/>
                      <w:szCs w:val="21"/>
                    </w:rPr>
                  </w:pPr>
                </w:p>
              </w:tc>
              <w:tc>
                <w:tcPr>
                  <w:tcW w:w="249" w:type="pct"/>
                  <w:vMerge w:val="continue"/>
                  <w:noWrap/>
                  <w:vAlign w:val="center"/>
                </w:tcPr>
                <w:p w14:paraId="7AD69B75">
                  <w:pPr>
                    <w:adjustRightInd w:val="0"/>
                    <w:snapToGrid w:val="0"/>
                    <w:jc w:val="center"/>
                    <w:rPr>
                      <w:color w:val="FF0000"/>
                      <w:szCs w:val="21"/>
                    </w:rPr>
                  </w:pPr>
                </w:p>
              </w:tc>
              <w:tc>
                <w:tcPr>
                  <w:tcW w:w="291" w:type="pct"/>
                  <w:noWrap/>
                  <w:vAlign w:val="center"/>
                </w:tcPr>
                <w:p w14:paraId="1616CF04">
                  <w:pPr>
                    <w:adjustRightInd w:val="0"/>
                    <w:snapToGrid w:val="0"/>
                    <w:jc w:val="center"/>
                    <w:rPr>
                      <w:rFonts w:hint="eastAsia" w:eastAsia="宋体"/>
                      <w:color w:val="FF0000"/>
                      <w:szCs w:val="21"/>
                      <w:lang w:eastAsia="zh-CN"/>
                    </w:rPr>
                  </w:pPr>
                  <w:r>
                    <w:rPr>
                      <w:rFonts w:hint="eastAsia"/>
                      <w:color w:val="FF0000"/>
                      <w:szCs w:val="21"/>
                    </w:rPr>
                    <w:t>9</w:t>
                  </w:r>
                  <w:r>
                    <w:rPr>
                      <w:rFonts w:hint="eastAsia"/>
                      <w:color w:val="FF0000"/>
                      <w:szCs w:val="21"/>
                      <w:lang w:val="en-US" w:eastAsia="zh-CN"/>
                    </w:rPr>
                    <w:t>5</w:t>
                  </w:r>
                </w:p>
              </w:tc>
              <w:tc>
                <w:tcPr>
                  <w:tcW w:w="291" w:type="pct"/>
                  <w:noWrap/>
                  <w:vAlign w:val="center"/>
                </w:tcPr>
                <w:p w14:paraId="04109B82">
                  <w:pPr>
                    <w:adjustRightInd w:val="0"/>
                    <w:snapToGrid w:val="0"/>
                    <w:jc w:val="center"/>
                    <w:rPr>
                      <w:rFonts w:hint="default" w:eastAsia="宋体"/>
                      <w:color w:val="FF0000"/>
                      <w:szCs w:val="21"/>
                      <w:lang w:val="en-US" w:eastAsia="zh-CN"/>
                    </w:rPr>
                  </w:pPr>
                  <w:r>
                    <w:rPr>
                      <w:rFonts w:hint="eastAsia"/>
                      <w:color w:val="FF0000"/>
                      <w:szCs w:val="21"/>
                      <w:lang w:val="en-US" w:eastAsia="zh-CN"/>
                    </w:rPr>
                    <w:t>60</w:t>
                  </w:r>
                </w:p>
              </w:tc>
              <w:tc>
                <w:tcPr>
                  <w:tcW w:w="291" w:type="pct"/>
                  <w:vMerge w:val="continue"/>
                  <w:noWrap/>
                  <w:vAlign w:val="center"/>
                </w:tcPr>
                <w:p w14:paraId="0C2A6F8B">
                  <w:pPr>
                    <w:adjustRightInd w:val="0"/>
                    <w:snapToGrid w:val="0"/>
                    <w:jc w:val="center"/>
                    <w:rPr>
                      <w:color w:val="auto"/>
                      <w:szCs w:val="21"/>
                    </w:rPr>
                  </w:pPr>
                </w:p>
              </w:tc>
              <w:tc>
                <w:tcPr>
                  <w:tcW w:w="449" w:type="pct"/>
                  <w:shd w:val="clear" w:color="auto" w:fill="auto"/>
                  <w:noWrap/>
                  <w:vAlign w:val="center"/>
                </w:tcPr>
                <w:p w14:paraId="05067AE4">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w:t>
                  </w:r>
                  <w:r>
                    <w:rPr>
                      <w:rFonts w:hint="eastAsia" w:cs="Times New Roman"/>
                      <w:color w:val="FF0000"/>
                      <w:szCs w:val="21"/>
                      <w:lang w:val="en-US" w:eastAsia="zh-CN"/>
                    </w:rPr>
                    <w:t>35</w:t>
                  </w:r>
                </w:p>
              </w:tc>
              <w:tc>
                <w:tcPr>
                  <w:tcW w:w="412" w:type="pct"/>
                  <w:shd w:val="clear" w:color="auto" w:fill="auto"/>
                  <w:noWrap/>
                  <w:vAlign w:val="center"/>
                </w:tcPr>
                <w:p w14:paraId="0D1A80E8">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0.000</w:t>
                  </w:r>
                  <w:r>
                    <w:rPr>
                      <w:rFonts w:hint="eastAsia" w:cs="Times New Roman"/>
                      <w:color w:val="FF0000"/>
                      <w:szCs w:val="21"/>
                      <w:lang w:val="en-US" w:eastAsia="zh-CN"/>
                    </w:rPr>
                    <w:t>7</w:t>
                  </w:r>
                </w:p>
              </w:tc>
              <w:tc>
                <w:tcPr>
                  <w:tcW w:w="371" w:type="pct"/>
                  <w:shd w:val="clear" w:color="auto" w:fill="auto"/>
                  <w:noWrap/>
                  <w:vAlign w:val="center"/>
                </w:tcPr>
                <w:p w14:paraId="5239326A">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w:t>
                  </w:r>
                  <w:r>
                    <w:rPr>
                      <w:rFonts w:hint="eastAsia" w:cs="Times New Roman"/>
                      <w:color w:val="FF0000"/>
                      <w:szCs w:val="21"/>
                      <w:lang w:val="en-US" w:eastAsia="zh-CN"/>
                    </w:rPr>
                    <w:t>5</w:t>
                  </w:r>
                </w:p>
              </w:tc>
              <w:tc>
                <w:tcPr>
                  <w:tcW w:w="214" w:type="pct"/>
                  <w:vMerge w:val="continue"/>
                  <w:noWrap/>
                  <w:vAlign w:val="center"/>
                </w:tcPr>
                <w:p w14:paraId="335959E9">
                  <w:pPr>
                    <w:adjustRightInd w:val="0"/>
                    <w:snapToGrid w:val="0"/>
                    <w:jc w:val="center"/>
                    <w:rPr>
                      <w:color w:val="auto"/>
                      <w:szCs w:val="21"/>
                    </w:rPr>
                  </w:pPr>
                </w:p>
              </w:tc>
            </w:tr>
            <w:tr w14:paraId="7514E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471" w:type="pct"/>
                  <w:vMerge w:val="restart"/>
                  <w:noWrap/>
                  <w:vAlign w:val="center"/>
                </w:tcPr>
                <w:p w14:paraId="30D87E27">
                  <w:pPr>
                    <w:adjustRightInd w:val="0"/>
                    <w:snapToGrid w:val="0"/>
                    <w:jc w:val="center"/>
                    <w:rPr>
                      <w:rFonts w:hint="default" w:eastAsia="宋体"/>
                      <w:color w:val="auto"/>
                      <w:lang w:val="en-US" w:eastAsia="zh-CN"/>
                    </w:rPr>
                  </w:pPr>
                  <w:r>
                    <w:rPr>
                      <w:rFonts w:hint="eastAsia"/>
                      <w:color w:val="auto"/>
                      <w:lang w:val="en-US" w:eastAsia="zh-CN"/>
                    </w:rPr>
                    <w:t>手工焊废气</w:t>
                  </w:r>
                </w:p>
              </w:tc>
              <w:tc>
                <w:tcPr>
                  <w:tcW w:w="331" w:type="pct"/>
                  <w:noWrap/>
                  <w:vAlign w:val="center"/>
                </w:tcPr>
                <w:p w14:paraId="280D159E">
                  <w:pPr>
                    <w:adjustRightInd w:val="0"/>
                    <w:snapToGrid w:val="0"/>
                    <w:jc w:val="center"/>
                    <w:rPr>
                      <w:rFonts w:hint="default" w:eastAsia="宋体"/>
                      <w:color w:val="auto"/>
                      <w:lang w:val="en-US" w:eastAsia="zh-CN"/>
                    </w:rPr>
                  </w:pPr>
                  <w:r>
                    <w:rPr>
                      <w:rFonts w:hint="eastAsia"/>
                      <w:color w:val="auto"/>
                      <w:lang w:val="en-US" w:eastAsia="zh-CN"/>
                    </w:rPr>
                    <w:t>非甲烷总烃</w:t>
                  </w:r>
                </w:p>
              </w:tc>
              <w:tc>
                <w:tcPr>
                  <w:tcW w:w="440" w:type="pct"/>
                  <w:shd w:val="clear" w:color="auto" w:fill="auto"/>
                  <w:noWrap/>
                  <w:vAlign w:val="center"/>
                </w:tcPr>
                <w:p w14:paraId="4FF5C347">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w:t>
                  </w:r>
                  <w:r>
                    <w:rPr>
                      <w:rFonts w:hint="eastAsia" w:cs="Times New Roman"/>
                      <w:color w:val="FF0000"/>
                      <w:szCs w:val="21"/>
                      <w:lang w:val="en-US" w:eastAsia="zh-CN"/>
                    </w:rPr>
                    <w:t>33</w:t>
                  </w:r>
                </w:p>
              </w:tc>
              <w:tc>
                <w:tcPr>
                  <w:tcW w:w="391" w:type="pct"/>
                  <w:shd w:val="clear" w:color="auto" w:fill="auto"/>
                  <w:noWrap/>
                  <w:vAlign w:val="center"/>
                </w:tcPr>
                <w:p w14:paraId="62E4BA31">
                  <w:pPr>
                    <w:adjustRightInd w:val="0"/>
                    <w:snapToGrid w:val="0"/>
                    <w:jc w:val="center"/>
                    <w:rPr>
                      <w:rFonts w:hint="eastAsia"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0.001</w:t>
                  </w:r>
                </w:p>
              </w:tc>
              <w:tc>
                <w:tcPr>
                  <w:tcW w:w="417" w:type="pct"/>
                  <w:shd w:val="clear" w:color="auto" w:fill="auto"/>
                  <w:noWrap/>
                  <w:vAlign w:val="bottom"/>
                </w:tcPr>
                <w:p w14:paraId="2DB49EA8">
                  <w:pPr>
                    <w:adjustRightInd w:val="0"/>
                    <w:snapToGrid w:val="0"/>
                    <w:jc w:val="center"/>
                    <w:rPr>
                      <w:rFonts w:hint="eastAsia" w:ascii="Times New Roman" w:hAnsi="Times New Roman" w:eastAsia="宋体" w:cs="Times New Roman"/>
                      <w:color w:val="FF0000"/>
                      <w:szCs w:val="21"/>
                      <w:lang w:val="en-US" w:eastAsia="zh-CN"/>
                    </w:rPr>
                  </w:pPr>
                  <w:r>
                    <w:rPr>
                      <w:rFonts w:hint="default" w:ascii="Times New Roman" w:hAnsi="Times New Roman" w:eastAsia="宋体" w:cs="Times New Roman"/>
                      <w:color w:val="FF0000"/>
                      <w:szCs w:val="21"/>
                      <w:lang w:val="en-US" w:eastAsia="zh-CN"/>
                    </w:rPr>
                    <w:t>0.005</w:t>
                  </w:r>
                </w:p>
              </w:tc>
              <w:tc>
                <w:tcPr>
                  <w:tcW w:w="376" w:type="pct"/>
                  <w:vMerge w:val="continue"/>
                  <w:noWrap/>
                  <w:vAlign w:val="center"/>
                </w:tcPr>
                <w:p w14:paraId="6B7DECAC">
                  <w:pPr>
                    <w:adjustRightInd w:val="0"/>
                    <w:snapToGrid w:val="0"/>
                    <w:jc w:val="center"/>
                    <w:rPr>
                      <w:bCs/>
                      <w:color w:val="auto"/>
                      <w:szCs w:val="21"/>
                    </w:rPr>
                  </w:pPr>
                </w:p>
              </w:tc>
              <w:tc>
                <w:tcPr>
                  <w:tcW w:w="249" w:type="pct"/>
                  <w:vMerge w:val="continue"/>
                  <w:noWrap/>
                  <w:vAlign w:val="center"/>
                </w:tcPr>
                <w:p w14:paraId="5551443A">
                  <w:pPr>
                    <w:adjustRightInd w:val="0"/>
                    <w:snapToGrid w:val="0"/>
                    <w:jc w:val="center"/>
                    <w:rPr>
                      <w:color w:val="FF0000"/>
                      <w:szCs w:val="21"/>
                    </w:rPr>
                  </w:pPr>
                </w:p>
              </w:tc>
              <w:tc>
                <w:tcPr>
                  <w:tcW w:w="291" w:type="pct"/>
                  <w:noWrap/>
                  <w:vAlign w:val="center"/>
                </w:tcPr>
                <w:p w14:paraId="0D866CF9">
                  <w:pPr>
                    <w:adjustRightInd w:val="0"/>
                    <w:snapToGrid w:val="0"/>
                    <w:jc w:val="center"/>
                    <w:rPr>
                      <w:rFonts w:hint="default" w:eastAsia="宋体"/>
                      <w:color w:val="FF0000"/>
                      <w:szCs w:val="21"/>
                      <w:lang w:val="en-US" w:eastAsia="zh-CN"/>
                    </w:rPr>
                  </w:pPr>
                  <w:r>
                    <w:rPr>
                      <w:rFonts w:hint="eastAsia"/>
                      <w:color w:val="FF0000"/>
                      <w:szCs w:val="21"/>
                      <w:lang w:val="en-US" w:eastAsia="zh-CN"/>
                    </w:rPr>
                    <w:t>95</w:t>
                  </w:r>
                </w:p>
              </w:tc>
              <w:tc>
                <w:tcPr>
                  <w:tcW w:w="291" w:type="pct"/>
                  <w:noWrap/>
                  <w:vAlign w:val="center"/>
                </w:tcPr>
                <w:p w14:paraId="304D21DB">
                  <w:pPr>
                    <w:adjustRightInd w:val="0"/>
                    <w:snapToGrid w:val="0"/>
                    <w:jc w:val="center"/>
                    <w:rPr>
                      <w:rFonts w:hint="default" w:eastAsia="宋体"/>
                      <w:color w:val="FF0000"/>
                      <w:szCs w:val="21"/>
                      <w:lang w:val="en-US" w:eastAsia="zh-CN"/>
                    </w:rPr>
                  </w:pPr>
                  <w:r>
                    <w:rPr>
                      <w:rFonts w:hint="eastAsia"/>
                      <w:color w:val="FF0000"/>
                      <w:szCs w:val="21"/>
                      <w:lang w:val="en-US" w:eastAsia="zh-CN"/>
                    </w:rPr>
                    <w:t>90</w:t>
                  </w:r>
                </w:p>
              </w:tc>
              <w:tc>
                <w:tcPr>
                  <w:tcW w:w="291" w:type="pct"/>
                  <w:vMerge w:val="continue"/>
                  <w:noWrap/>
                  <w:vAlign w:val="center"/>
                </w:tcPr>
                <w:p w14:paraId="1DB084D1">
                  <w:pPr>
                    <w:adjustRightInd w:val="0"/>
                    <w:snapToGrid w:val="0"/>
                    <w:jc w:val="center"/>
                    <w:rPr>
                      <w:color w:val="auto"/>
                      <w:szCs w:val="21"/>
                    </w:rPr>
                  </w:pPr>
                </w:p>
              </w:tc>
              <w:tc>
                <w:tcPr>
                  <w:tcW w:w="449" w:type="pct"/>
                  <w:shd w:val="clear" w:color="auto" w:fill="auto"/>
                  <w:noWrap/>
                  <w:vAlign w:val="center"/>
                </w:tcPr>
                <w:p w14:paraId="200091F0">
                  <w:pPr>
                    <w:adjustRightInd w:val="0"/>
                    <w:snapToGrid w:val="0"/>
                    <w:jc w:val="center"/>
                    <w:rPr>
                      <w:rFonts w:hint="eastAsia"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w:t>
                  </w:r>
                  <w:r>
                    <w:rPr>
                      <w:rFonts w:hint="eastAsia" w:cs="Times New Roman"/>
                      <w:color w:val="FF0000"/>
                      <w:szCs w:val="21"/>
                      <w:lang w:val="en-US" w:eastAsia="zh-CN"/>
                    </w:rPr>
                    <w:t>3</w:t>
                  </w:r>
                </w:p>
              </w:tc>
              <w:tc>
                <w:tcPr>
                  <w:tcW w:w="412" w:type="pct"/>
                  <w:shd w:val="clear" w:color="auto" w:fill="auto"/>
                  <w:noWrap/>
                  <w:vAlign w:val="center"/>
                </w:tcPr>
                <w:p w14:paraId="16DC7731">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0.0001</w:t>
                  </w:r>
                </w:p>
              </w:tc>
              <w:tc>
                <w:tcPr>
                  <w:tcW w:w="371" w:type="pct"/>
                  <w:shd w:val="clear" w:color="auto" w:fill="auto"/>
                  <w:noWrap/>
                  <w:vAlign w:val="center"/>
                </w:tcPr>
                <w:p w14:paraId="35742EA4">
                  <w:pPr>
                    <w:adjustRightInd w:val="0"/>
                    <w:snapToGrid w:val="0"/>
                    <w:jc w:val="center"/>
                    <w:rPr>
                      <w:rFonts w:hint="eastAsia"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0.0005</w:t>
                  </w:r>
                </w:p>
              </w:tc>
              <w:tc>
                <w:tcPr>
                  <w:tcW w:w="214" w:type="pct"/>
                  <w:vMerge w:val="continue"/>
                  <w:noWrap/>
                  <w:vAlign w:val="center"/>
                </w:tcPr>
                <w:p w14:paraId="58007707">
                  <w:pPr>
                    <w:adjustRightInd w:val="0"/>
                    <w:snapToGrid w:val="0"/>
                    <w:jc w:val="center"/>
                    <w:rPr>
                      <w:color w:val="auto"/>
                      <w:szCs w:val="21"/>
                    </w:rPr>
                  </w:pPr>
                </w:p>
              </w:tc>
            </w:tr>
            <w:tr w14:paraId="178F1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471" w:type="pct"/>
                  <w:vMerge w:val="continue"/>
                  <w:noWrap/>
                  <w:vAlign w:val="center"/>
                </w:tcPr>
                <w:p w14:paraId="3345E7C8">
                  <w:pPr>
                    <w:adjustRightInd w:val="0"/>
                    <w:snapToGrid w:val="0"/>
                    <w:jc w:val="center"/>
                    <w:rPr>
                      <w:rFonts w:hint="eastAsia"/>
                      <w:color w:val="auto"/>
                      <w:lang w:val="en-US" w:eastAsia="zh-CN"/>
                    </w:rPr>
                  </w:pPr>
                </w:p>
              </w:tc>
              <w:tc>
                <w:tcPr>
                  <w:tcW w:w="331" w:type="pct"/>
                  <w:noWrap/>
                  <w:vAlign w:val="center"/>
                </w:tcPr>
                <w:p w14:paraId="40D27218">
                  <w:pPr>
                    <w:adjustRightInd w:val="0"/>
                    <w:snapToGrid w:val="0"/>
                    <w:jc w:val="center"/>
                    <w:rPr>
                      <w:rFonts w:hint="default"/>
                      <w:color w:val="auto"/>
                      <w:lang w:val="en-US" w:eastAsia="zh-CN"/>
                    </w:rPr>
                  </w:pPr>
                  <w:r>
                    <w:rPr>
                      <w:rFonts w:hint="eastAsia"/>
                      <w:color w:val="auto"/>
                      <w:lang w:val="en-US" w:eastAsia="zh-CN"/>
                    </w:rPr>
                    <w:t>颗粒物</w:t>
                  </w:r>
                </w:p>
              </w:tc>
              <w:tc>
                <w:tcPr>
                  <w:tcW w:w="440" w:type="pct"/>
                  <w:shd w:val="clear" w:color="auto" w:fill="auto"/>
                  <w:noWrap/>
                  <w:vAlign w:val="center"/>
                </w:tcPr>
                <w:p w14:paraId="0BD7E973">
                  <w:pPr>
                    <w:adjustRightInd w:val="0"/>
                    <w:snapToGrid w:val="0"/>
                    <w:jc w:val="center"/>
                    <w:rPr>
                      <w:rFonts w:hint="eastAsia"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0.001</w:t>
                  </w:r>
                </w:p>
              </w:tc>
              <w:tc>
                <w:tcPr>
                  <w:tcW w:w="391" w:type="pct"/>
                  <w:shd w:val="clear" w:color="auto" w:fill="auto"/>
                  <w:noWrap/>
                  <w:vAlign w:val="center"/>
                </w:tcPr>
                <w:p w14:paraId="7B25C7E3">
                  <w:pPr>
                    <w:adjustRightInd w:val="0"/>
                    <w:snapToGrid w:val="0"/>
                    <w:jc w:val="center"/>
                    <w:rPr>
                      <w:rFonts w:hint="eastAsia"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0.0000</w:t>
                  </w:r>
                  <w:r>
                    <w:rPr>
                      <w:rFonts w:hint="eastAsia" w:cs="Times New Roman"/>
                      <w:color w:val="FF0000"/>
                      <w:szCs w:val="21"/>
                      <w:lang w:val="en-US" w:eastAsia="zh-CN"/>
                    </w:rPr>
                    <w:t>1</w:t>
                  </w:r>
                </w:p>
              </w:tc>
              <w:tc>
                <w:tcPr>
                  <w:tcW w:w="417" w:type="pct"/>
                  <w:shd w:val="clear" w:color="auto" w:fill="auto"/>
                  <w:noWrap/>
                  <w:vAlign w:val="center"/>
                </w:tcPr>
                <w:p w14:paraId="55C4DC32">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0.0001</w:t>
                  </w:r>
                </w:p>
              </w:tc>
              <w:tc>
                <w:tcPr>
                  <w:tcW w:w="376" w:type="pct"/>
                  <w:vMerge w:val="continue"/>
                  <w:noWrap/>
                  <w:vAlign w:val="center"/>
                </w:tcPr>
                <w:p w14:paraId="7CA62DBF">
                  <w:pPr>
                    <w:adjustRightInd w:val="0"/>
                    <w:snapToGrid w:val="0"/>
                    <w:jc w:val="center"/>
                    <w:rPr>
                      <w:bCs/>
                      <w:color w:val="auto"/>
                      <w:szCs w:val="21"/>
                    </w:rPr>
                  </w:pPr>
                </w:p>
              </w:tc>
              <w:tc>
                <w:tcPr>
                  <w:tcW w:w="249" w:type="pct"/>
                  <w:vMerge w:val="continue"/>
                  <w:noWrap/>
                  <w:vAlign w:val="center"/>
                </w:tcPr>
                <w:p w14:paraId="1E67A73E">
                  <w:pPr>
                    <w:adjustRightInd w:val="0"/>
                    <w:snapToGrid w:val="0"/>
                    <w:jc w:val="center"/>
                    <w:rPr>
                      <w:color w:val="FF0000"/>
                      <w:szCs w:val="21"/>
                    </w:rPr>
                  </w:pPr>
                </w:p>
              </w:tc>
              <w:tc>
                <w:tcPr>
                  <w:tcW w:w="291" w:type="pct"/>
                  <w:noWrap/>
                  <w:vAlign w:val="center"/>
                </w:tcPr>
                <w:p w14:paraId="4B7CBCA7">
                  <w:pPr>
                    <w:adjustRightInd w:val="0"/>
                    <w:snapToGrid w:val="0"/>
                    <w:jc w:val="center"/>
                    <w:rPr>
                      <w:rFonts w:hint="default"/>
                      <w:color w:val="FF0000"/>
                      <w:szCs w:val="21"/>
                      <w:lang w:val="en-US" w:eastAsia="zh-CN"/>
                    </w:rPr>
                  </w:pPr>
                  <w:r>
                    <w:rPr>
                      <w:rFonts w:hint="eastAsia"/>
                      <w:color w:val="FF0000"/>
                      <w:szCs w:val="21"/>
                      <w:lang w:val="en-US" w:eastAsia="zh-CN"/>
                    </w:rPr>
                    <w:t>95</w:t>
                  </w:r>
                </w:p>
              </w:tc>
              <w:tc>
                <w:tcPr>
                  <w:tcW w:w="291" w:type="pct"/>
                  <w:noWrap/>
                  <w:vAlign w:val="center"/>
                </w:tcPr>
                <w:p w14:paraId="30B0E201">
                  <w:pPr>
                    <w:adjustRightInd w:val="0"/>
                    <w:snapToGrid w:val="0"/>
                    <w:jc w:val="center"/>
                    <w:rPr>
                      <w:rFonts w:hint="default"/>
                      <w:color w:val="FF0000"/>
                      <w:szCs w:val="21"/>
                      <w:lang w:val="en-US" w:eastAsia="zh-CN"/>
                    </w:rPr>
                  </w:pPr>
                  <w:r>
                    <w:rPr>
                      <w:rFonts w:hint="eastAsia"/>
                      <w:color w:val="FF0000"/>
                      <w:szCs w:val="21"/>
                      <w:lang w:val="en-US" w:eastAsia="zh-CN"/>
                    </w:rPr>
                    <w:t>60</w:t>
                  </w:r>
                </w:p>
              </w:tc>
              <w:tc>
                <w:tcPr>
                  <w:tcW w:w="291" w:type="pct"/>
                  <w:vMerge w:val="continue"/>
                  <w:noWrap/>
                  <w:vAlign w:val="center"/>
                </w:tcPr>
                <w:p w14:paraId="294A2E80">
                  <w:pPr>
                    <w:adjustRightInd w:val="0"/>
                    <w:snapToGrid w:val="0"/>
                    <w:jc w:val="center"/>
                    <w:rPr>
                      <w:color w:val="auto"/>
                      <w:szCs w:val="21"/>
                    </w:rPr>
                  </w:pPr>
                </w:p>
              </w:tc>
              <w:tc>
                <w:tcPr>
                  <w:tcW w:w="449" w:type="pct"/>
                  <w:shd w:val="clear" w:color="auto" w:fill="auto"/>
                  <w:noWrap/>
                  <w:vAlign w:val="center"/>
                </w:tcPr>
                <w:p w14:paraId="16BFB2BF">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0.000</w:t>
                  </w:r>
                  <w:r>
                    <w:rPr>
                      <w:rFonts w:hint="eastAsia" w:cs="Times New Roman"/>
                      <w:color w:val="FF0000"/>
                      <w:szCs w:val="21"/>
                      <w:lang w:val="en-US" w:eastAsia="zh-CN"/>
                    </w:rPr>
                    <w:t>2</w:t>
                  </w:r>
                </w:p>
              </w:tc>
              <w:tc>
                <w:tcPr>
                  <w:tcW w:w="412" w:type="pct"/>
                  <w:shd w:val="clear" w:color="auto" w:fill="auto"/>
                  <w:noWrap/>
                  <w:vAlign w:val="center"/>
                </w:tcPr>
                <w:p w14:paraId="3D1515DF">
                  <w:pPr>
                    <w:adjustRightInd w:val="0"/>
                    <w:snapToGrid w:val="0"/>
                    <w:jc w:val="center"/>
                    <w:rPr>
                      <w:rFonts w:hint="eastAsia"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0.00000</w:t>
                  </w:r>
                  <w:r>
                    <w:rPr>
                      <w:rFonts w:hint="eastAsia" w:cs="Times New Roman"/>
                      <w:color w:val="FF0000"/>
                      <w:szCs w:val="21"/>
                      <w:lang w:val="en-US" w:eastAsia="zh-CN"/>
                    </w:rPr>
                    <w:t>4</w:t>
                  </w:r>
                </w:p>
              </w:tc>
              <w:tc>
                <w:tcPr>
                  <w:tcW w:w="371" w:type="pct"/>
                  <w:shd w:val="clear" w:color="auto" w:fill="auto"/>
                  <w:noWrap/>
                  <w:vAlign w:val="center"/>
                </w:tcPr>
                <w:p w14:paraId="7E145B77">
                  <w:pPr>
                    <w:adjustRightInd w:val="0"/>
                    <w:snapToGrid w:val="0"/>
                    <w:jc w:val="center"/>
                    <w:rPr>
                      <w:rFonts w:hint="eastAsia"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0.0000</w:t>
                  </w:r>
                  <w:r>
                    <w:rPr>
                      <w:rFonts w:hint="eastAsia" w:cs="Times New Roman"/>
                      <w:color w:val="FF0000"/>
                      <w:szCs w:val="21"/>
                      <w:lang w:val="en-US" w:eastAsia="zh-CN"/>
                    </w:rPr>
                    <w:t>3</w:t>
                  </w:r>
                </w:p>
              </w:tc>
              <w:tc>
                <w:tcPr>
                  <w:tcW w:w="214" w:type="pct"/>
                  <w:vMerge w:val="continue"/>
                  <w:noWrap/>
                  <w:vAlign w:val="center"/>
                </w:tcPr>
                <w:p w14:paraId="0FC39916">
                  <w:pPr>
                    <w:adjustRightInd w:val="0"/>
                    <w:snapToGrid w:val="0"/>
                    <w:jc w:val="center"/>
                    <w:rPr>
                      <w:color w:val="auto"/>
                      <w:szCs w:val="21"/>
                    </w:rPr>
                  </w:pPr>
                </w:p>
              </w:tc>
            </w:tr>
            <w:tr w14:paraId="0C883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471" w:type="pct"/>
                  <w:vMerge w:val="continue"/>
                  <w:noWrap/>
                  <w:vAlign w:val="center"/>
                </w:tcPr>
                <w:p w14:paraId="609F9388">
                  <w:pPr>
                    <w:adjustRightInd w:val="0"/>
                    <w:snapToGrid w:val="0"/>
                    <w:jc w:val="center"/>
                    <w:rPr>
                      <w:rFonts w:hint="eastAsia"/>
                      <w:color w:val="auto"/>
                      <w:lang w:val="en-US" w:eastAsia="zh-CN"/>
                    </w:rPr>
                  </w:pPr>
                </w:p>
              </w:tc>
              <w:tc>
                <w:tcPr>
                  <w:tcW w:w="331" w:type="pct"/>
                  <w:noWrap/>
                  <w:vAlign w:val="center"/>
                </w:tcPr>
                <w:p w14:paraId="183D9A15">
                  <w:pPr>
                    <w:adjustRightInd w:val="0"/>
                    <w:snapToGrid w:val="0"/>
                    <w:jc w:val="center"/>
                    <w:rPr>
                      <w:rFonts w:hint="default" w:eastAsia="宋体"/>
                      <w:color w:val="auto"/>
                      <w:lang w:val="en-US" w:eastAsia="zh-CN"/>
                    </w:rPr>
                  </w:pPr>
                  <w:r>
                    <w:rPr>
                      <w:rFonts w:hint="eastAsia"/>
                      <w:color w:val="auto"/>
                      <w:lang w:val="en-US" w:eastAsia="zh-CN"/>
                    </w:rPr>
                    <w:t>锡及其化合物</w:t>
                  </w:r>
                </w:p>
              </w:tc>
              <w:tc>
                <w:tcPr>
                  <w:tcW w:w="440" w:type="pct"/>
                  <w:shd w:val="clear" w:color="auto" w:fill="auto"/>
                  <w:noWrap/>
                  <w:vAlign w:val="center"/>
                </w:tcPr>
                <w:p w14:paraId="53F18BD3">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w:t>
                  </w:r>
                  <w:r>
                    <w:rPr>
                      <w:rFonts w:hint="eastAsia" w:cs="Times New Roman"/>
                      <w:color w:val="FF0000"/>
                      <w:szCs w:val="21"/>
                      <w:lang w:val="en-US" w:eastAsia="zh-CN"/>
                    </w:rPr>
                    <w:t>05</w:t>
                  </w:r>
                </w:p>
              </w:tc>
              <w:tc>
                <w:tcPr>
                  <w:tcW w:w="391" w:type="pct"/>
                  <w:shd w:val="clear" w:color="auto" w:fill="auto"/>
                  <w:noWrap/>
                  <w:vAlign w:val="center"/>
                </w:tcPr>
                <w:p w14:paraId="6C5732A4">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0.00001</w:t>
                  </w:r>
                </w:p>
              </w:tc>
              <w:tc>
                <w:tcPr>
                  <w:tcW w:w="417" w:type="pct"/>
                  <w:shd w:val="clear" w:color="auto" w:fill="auto"/>
                  <w:noWrap/>
                  <w:vAlign w:val="center"/>
                </w:tcPr>
                <w:p w14:paraId="18BDC922">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0.0001</w:t>
                  </w:r>
                </w:p>
              </w:tc>
              <w:tc>
                <w:tcPr>
                  <w:tcW w:w="376" w:type="pct"/>
                  <w:vMerge w:val="continue"/>
                  <w:noWrap/>
                  <w:vAlign w:val="center"/>
                </w:tcPr>
                <w:p w14:paraId="322259EC">
                  <w:pPr>
                    <w:adjustRightInd w:val="0"/>
                    <w:snapToGrid w:val="0"/>
                    <w:jc w:val="center"/>
                    <w:rPr>
                      <w:bCs/>
                      <w:color w:val="auto"/>
                      <w:szCs w:val="21"/>
                    </w:rPr>
                  </w:pPr>
                </w:p>
              </w:tc>
              <w:tc>
                <w:tcPr>
                  <w:tcW w:w="249" w:type="pct"/>
                  <w:vMerge w:val="continue"/>
                  <w:noWrap/>
                  <w:vAlign w:val="center"/>
                </w:tcPr>
                <w:p w14:paraId="4D7DEC71">
                  <w:pPr>
                    <w:adjustRightInd w:val="0"/>
                    <w:snapToGrid w:val="0"/>
                    <w:jc w:val="center"/>
                    <w:rPr>
                      <w:color w:val="FF0000"/>
                      <w:szCs w:val="21"/>
                    </w:rPr>
                  </w:pPr>
                </w:p>
              </w:tc>
              <w:tc>
                <w:tcPr>
                  <w:tcW w:w="291" w:type="pct"/>
                  <w:noWrap/>
                  <w:vAlign w:val="center"/>
                </w:tcPr>
                <w:p w14:paraId="09BD4D1D">
                  <w:pPr>
                    <w:adjustRightInd w:val="0"/>
                    <w:snapToGrid w:val="0"/>
                    <w:jc w:val="center"/>
                    <w:rPr>
                      <w:rFonts w:hint="default" w:eastAsia="宋体"/>
                      <w:color w:val="FF0000"/>
                      <w:szCs w:val="21"/>
                      <w:lang w:val="en-US" w:eastAsia="zh-CN"/>
                    </w:rPr>
                  </w:pPr>
                  <w:r>
                    <w:rPr>
                      <w:rFonts w:hint="eastAsia"/>
                      <w:color w:val="FF0000"/>
                      <w:szCs w:val="21"/>
                      <w:lang w:val="en-US" w:eastAsia="zh-CN"/>
                    </w:rPr>
                    <w:t>95</w:t>
                  </w:r>
                </w:p>
              </w:tc>
              <w:tc>
                <w:tcPr>
                  <w:tcW w:w="291" w:type="pct"/>
                  <w:noWrap/>
                  <w:vAlign w:val="center"/>
                </w:tcPr>
                <w:p w14:paraId="45621F12">
                  <w:pPr>
                    <w:adjustRightInd w:val="0"/>
                    <w:snapToGrid w:val="0"/>
                    <w:jc w:val="center"/>
                    <w:rPr>
                      <w:rFonts w:hint="default" w:eastAsia="宋体"/>
                      <w:color w:val="FF0000"/>
                      <w:szCs w:val="21"/>
                      <w:lang w:val="en-US" w:eastAsia="zh-CN"/>
                    </w:rPr>
                  </w:pPr>
                  <w:r>
                    <w:rPr>
                      <w:rFonts w:hint="eastAsia"/>
                      <w:color w:val="FF0000"/>
                      <w:szCs w:val="21"/>
                      <w:lang w:val="en-US" w:eastAsia="zh-CN"/>
                    </w:rPr>
                    <w:t>60</w:t>
                  </w:r>
                </w:p>
              </w:tc>
              <w:tc>
                <w:tcPr>
                  <w:tcW w:w="291" w:type="pct"/>
                  <w:vMerge w:val="continue"/>
                  <w:noWrap/>
                  <w:vAlign w:val="center"/>
                </w:tcPr>
                <w:p w14:paraId="7B87BB43">
                  <w:pPr>
                    <w:adjustRightInd w:val="0"/>
                    <w:snapToGrid w:val="0"/>
                    <w:jc w:val="center"/>
                    <w:rPr>
                      <w:color w:val="auto"/>
                      <w:szCs w:val="21"/>
                    </w:rPr>
                  </w:pPr>
                </w:p>
              </w:tc>
              <w:tc>
                <w:tcPr>
                  <w:tcW w:w="449" w:type="pct"/>
                  <w:shd w:val="clear" w:color="auto" w:fill="auto"/>
                  <w:noWrap/>
                  <w:vAlign w:val="center"/>
                </w:tcPr>
                <w:p w14:paraId="15C8A5D2">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0.000</w:t>
                  </w:r>
                  <w:r>
                    <w:rPr>
                      <w:rFonts w:hint="eastAsia" w:cs="Times New Roman"/>
                      <w:color w:val="FF0000"/>
                      <w:szCs w:val="21"/>
                      <w:lang w:val="en-US" w:eastAsia="zh-CN"/>
                    </w:rPr>
                    <w:t>2</w:t>
                  </w:r>
                </w:p>
              </w:tc>
              <w:tc>
                <w:tcPr>
                  <w:tcW w:w="412" w:type="pct"/>
                  <w:shd w:val="clear" w:color="auto" w:fill="auto"/>
                  <w:noWrap/>
                  <w:vAlign w:val="center"/>
                </w:tcPr>
                <w:p w14:paraId="62542E3F">
                  <w:pPr>
                    <w:adjustRightInd w:val="0"/>
                    <w:snapToGrid w:val="0"/>
                    <w:jc w:val="center"/>
                    <w:rPr>
                      <w:rFonts w:hint="eastAsia"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0.00000</w:t>
                  </w:r>
                  <w:r>
                    <w:rPr>
                      <w:rFonts w:hint="eastAsia" w:cs="Times New Roman"/>
                      <w:color w:val="FF0000"/>
                      <w:szCs w:val="21"/>
                      <w:lang w:val="en-US" w:eastAsia="zh-CN"/>
                    </w:rPr>
                    <w:t>4</w:t>
                  </w:r>
                </w:p>
              </w:tc>
              <w:tc>
                <w:tcPr>
                  <w:tcW w:w="371" w:type="pct"/>
                  <w:shd w:val="clear" w:color="auto" w:fill="auto"/>
                  <w:noWrap/>
                  <w:vAlign w:val="center"/>
                </w:tcPr>
                <w:p w14:paraId="62A2231E">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0.0000</w:t>
                  </w:r>
                  <w:r>
                    <w:rPr>
                      <w:rFonts w:hint="eastAsia" w:cs="Times New Roman"/>
                      <w:color w:val="FF0000"/>
                      <w:szCs w:val="21"/>
                      <w:lang w:val="en-US" w:eastAsia="zh-CN"/>
                    </w:rPr>
                    <w:t>3</w:t>
                  </w:r>
                </w:p>
              </w:tc>
              <w:tc>
                <w:tcPr>
                  <w:tcW w:w="214" w:type="pct"/>
                  <w:vMerge w:val="continue"/>
                  <w:noWrap/>
                  <w:vAlign w:val="center"/>
                </w:tcPr>
                <w:p w14:paraId="54E8C983">
                  <w:pPr>
                    <w:adjustRightInd w:val="0"/>
                    <w:snapToGrid w:val="0"/>
                    <w:jc w:val="center"/>
                    <w:rPr>
                      <w:color w:val="auto"/>
                      <w:szCs w:val="21"/>
                    </w:rPr>
                  </w:pPr>
                </w:p>
              </w:tc>
            </w:tr>
            <w:tr w14:paraId="4DD6E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jc w:val="center"/>
              </w:trPr>
              <w:tc>
                <w:tcPr>
                  <w:tcW w:w="471" w:type="pct"/>
                  <w:noWrap/>
                  <w:vAlign w:val="center"/>
                </w:tcPr>
                <w:p w14:paraId="2472A871">
                  <w:pPr>
                    <w:adjustRightInd w:val="0"/>
                    <w:snapToGrid w:val="0"/>
                    <w:jc w:val="center"/>
                    <w:rPr>
                      <w:rFonts w:hint="default"/>
                      <w:color w:val="auto"/>
                      <w:lang w:val="en-US" w:eastAsia="zh-CN"/>
                    </w:rPr>
                  </w:pPr>
                  <w:r>
                    <w:rPr>
                      <w:rFonts w:hint="eastAsia"/>
                      <w:color w:val="auto"/>
                      <w:lang w:val="en-US" w:eastAsia="zh-CN"/>
                    </w:rPr>
                    <w:t>固化废气</w:t>
                  </w:r>
                </w:p>
              </w:tc>
              <w:tc>
                <w:tcPr>
                  <w:tcW w:w="331" w:type="pct"/>
                  <w:noWrap/>
                  <w:vAlign w:val="center"/>
                </w:tcPr>
                <w:p w14:paraId="53E75211">
                  <w:pPr>
                    <w:adjustRightInd w:val="0"/>
                    <w:snapToGrid w:val="0"/>
                    <w:jc w:val="center"/>
                    <w:rPr>
                      <w:rFonts w:hint="default"/>
                      <w:color w:val="auto"/>
                      <w:lang w:val="en-US" w:eastAsia="zh-CN"/>
                    </w:rPr>
                  </w:pPr>
                  <w:r>
                    <w:rPr>
                      <w:rFonts w:hint="eastAsia"/>
                      <w:color w:val="auto"/>
                      <w:lang w:val="en-US" w:eastAsia="zh-CN"/>
                    </w:rPr>
                    <w:t>非甲烷总烃</w:t>
                  </w:r>
                </w:p>
              </w:tc>
              <w:tc>
                <w:tcPr>
                  <w:tcW w:w="440" w:type="pct"/>
                  <w:shd w:val="clear" w:color="auto" w:fill="auto"/>
                  <w:noWrap/>
                  <w:vAlign w:val="center"/>
                </w:tcPr>
                <w:p w14:paraId="71568287">
                  <w:pPr>
                    <w:adjustRightInd w:val="0"/>
                    <w:snapToGrid w:val="0"/>
                    <w:jc w:val="center"/>
                    <w:rPr>
                      <w:rFonts w:hint="default" w:ascii="Times New Roman" w:hAnsi="Times New Roman" w:eastAsia="宋体" w:cs="Times New Roman"/>
                      <w:color w:val="FF0000"/>
                      <w:szCs w:val="21"/>
                      <w:lang w:val="en-US" w:eastAsia="zh-CN"/>
                    </w:rPr>
                  </w:pPr>
                  <w:r>
                    <w:rPr>
                      <w:rFonts w:hint="eastAsia" w:cs="Times New Roman"/>
                      <w:color w:val="FF0000"/>
                      <w:szCs w:val="21"/>
                      <w:lang w:val="en-US" w:eastAsia="zh-CN"/>
                    </w:rPr>
                    <w:t>23.810</w:t>
                  </w:r>
                </w:p>
              </w:tc>
              <w:tc>
                <w:tcPr>
                  <w:tcW w:w="391" w:type="pct"/>
                  <w:shd w:val="clear" w:color="auto" w:fill="auto"/>
                  <w:noWrap/>
                  <w:vAlign w:val="center"/>
                </w:tcPr>
                <w:p w14:paraId="5F47A2B8">
                  <w:pPr>
                    <w:adjustRightInd w:val="0"/>
                    <w:snapToGrid w:val="0"/>
                    <w:jc w:val="center"/>
                    <w:rPr>
                      <w:rFonts w:hint="default" w:ascii="Times New Roman" w:hAnsi="Times New Roman" w:eastAsia="宋体" w:cs="Times New Roman"/>
                      <w:color w:val="FF0000"/>
                      <w:szCs w:val="21"/>
                      <w:lang w:val="en-US" w:eastAsia="zh-CN"/>
                    </w:rPr>
                  </w:pPr>
                  <w:r>
                    <w:rPr>
                      <w:rFonts w:hint="eastAsia" w:cs="Times New Roman"/>
                      <w:color w:val="FF0000"/>
                      <w:szCs w:val="21"/>
                      <w:lang w:val="en-US" w:eastAsia="zh-CN"/>
                    </w:rPr>
                    <w:t>0.500</w:t>
                  </w:r>
                </w:p>
              </w:tc>
              <w:tc>
                <w:tcPr>
                  <w:tcW w:w="417" w:type="pct"/>
                  <w:shd w:val="clear" w:color="auto" w:fill="auto"/>
                  <w:noWrap/>
                  <w:vAlign w:val="center"/>
                </w:tcPr>
                <w:p w14:paraId="17272D76">
                  <w:pPr>
                    <w:adjustRightInd w:val="0"/>
                    <w:snapToGrid w:val="0"/>
                    <w:jc w:val="center"/>
                    <w:rPr>
                      <w:rFonts w:hint="default" w:ascii="Times New Roman" w:hAnsi="Times New Roman" w:eastAsia="宋体" w:cs="Times New Roman"/>
                      <w:color w:val="FF0000"/>
                      <w:szCs w:val="21"/>
                      <w:lang w:val="en-US" w:eastAsia="zh-CN"/>
                    </w:rPr>
                  </w:pPr>
                  <w:r>
                    <w:rPr>
                      <w:rFonts w:hint="eastAsia" w:cs="Times New Roman"/>
                      <w:color w:val="FF0000"/>
                      <w:szCs w:val="21"/>
                      <w:lang w:val="en-US" w:eastAsia="zh-CN"/>
                    </w:rPr>
                    <w:t>3.600</w:t>
                  </w:r>
                </w:p>
              </w:tc>
              <w:tc>
                <w:tcPr>
                  <w:tcW w:w="376" w:type="pct"/>
                  <w:vMerge w:val="continue"/>
                  <w:noWrap/>
                  <w:vAlign w:val="center"/>
                </w:tcPr>
                <w:p w14:paraId="012D3CCB">
                  <w:pPr>
                    <w:adjustRightInd w:val="0"/>
                    <w:snapToGrid w:val="0"/>
                    <w:jc w:val="center"/>
                    <w:rPr>
                      <w:bCs/>
                      <w:color w:val="auto"/>
                      <w:szCs w:val="21"/>
                    </w:rPr>
                  </w:pPr>
                </w:p>
              </w:tc>
              <w:tc>
                <w:tcPr>
                  <w:tcW w:w="249" w:type="pct"/>
                  <w:vMerge w:val="continue"/>
                  <w:noWrap/>
                  <w:vAlign w:val="center"/>
                </w:tcPr>
                <w:p w14:paraId="72E35AE5">
                  <w:pPr>
                    <w:adjustRightInd w:val="0"/>
                    <w:snapToGrid w:val="0"/>
                    <w:jc w:val="center"/>
                    <w:rPr>
                      <w:color w:val="FF0000"/>
                      <w:szCs w:val="21"/>
                    </w:rPr>
                  </w:pPr>
                </w:p>
              </w:tc>
              <w:tc>
                <w:tcPr>
                  <w:tcW w:w="291" w:type="pct"/>
                  <w:noWrap/>
                  <w:vAlign w:val="center"/>
                </w:tcPr>
                <w:p w14:paraId="334B57B4">
                  <w:pPr>
                    <w:adjustRightInd w:val="0"/>
                    <w:snapToGrid w:val="0"/>
                    <w:jc w:val="center"/>
                    <w:rPr>
                      <w:rFonts w:hint="default"/>
                      <w:color w:val="FF0000"/>
                      <w:szCs w:val="21"/>
                      <w:lang w:val="en-US" w:eastAsia="zh-CN"/>
                    </w:rPr>
                  </w:pPr>
                  <w:r>
                    <w:rPr>
                      <w:rFonts w:hint="eastAsia"/>
                      <w:color w:val="FF0000"/>
                      <w:szCs w:val="21"/>
                      <w:lang w:val="en-US" w:eastAsia="zh-CN"/>
                    </w:rPr>
                    <w:t>95</w:t>
                  </w:r>
                </w:p>
              </w:tc>
              <w:tc>
                <w:tcPr>
                  <w:tcW w:w="291" w:type="pct"/>
                  <w:noWrap/>
                  <w:vAlign w:val="center"/>
                </w:tcPr>
                <w:p w14:paraId="6EC5D47F">
                  <w:pPr>
                    <w:adjustRightInd w:val="0"/>
                    <w:snapToGrid w:val="0"/>
                    <w:jc w:val="center"/>
                    <w:rPr>
                      <w:rFonts w:hint="default"/>
                      <w:color w:val="FF0000"/>
                      <w:szCs w:val="21"/>
                      <w:lang w:val="en-US" w:eastAsia="zh-CN"/>
                    </w:rPr>
                  </w:pPr>
                  <w:r>
                    <w:rPr>
                      <w:rFonts w:hint="eastAsia"/>
                      <w:color w:val="FF0000"/>
                      <w:szCs w:val="21"/>
                      <w:lang w:val="en-US" w:eastAsia="zh-CN"/>
                    </w:rPr>
                    <w:t>90</w:t>
                  </w:r>
                </w:p>
              </w:tc>
              <w:tc>
                <w:tcPr>
                  <w:tcW w:w="291" w:type="pct"/>
                  <w:vMerge w:val="continue"/>
                  <w:noWrap/>
                  <w:vAlign w:val="center"/>
                </w:tcPr>
                <w:p w14:paraId="74114797">
                  <w:pPr>
                    <w:adjustRightInd w:val="0"/>
                    <w:snapToGrid w:val="0"/>
                    <w:jc w:val="center"/>
                    <w:rPr>
                      <w:color w:val="auto"/>
                      <w:szCs w:val="21"/>
                    </w:rPr>
                  </w:pPr>
                </w:p>
              </w:tc>
              <w:tc>
                <w:tcPr>
                  <w:tcW w:w="449" w:type="pct"/>
                  <w:shd w:val="clear" w:color="auto" w:fill="auto"/>
                  <w:noWrap/>
                  <w:vAlign w:val="center"/>
                </w:tcPr>
                <w:p w14:paraId="72170E38">
                  <w:pPr>
                    <w:adjustRightInd w:val="0"/>
                    <w:snapToGrid w:val="0"/>
                    <w:jc w:val="center"/>
                    <w:rPr>
                      <w:rFonts w:hint="default" w:ascii="Times New Roman" w:hAnsi="Times New Roman" w:eastAsia="宋体" w:cs="Times New Roman"/>
                      <w:color w:val="FF0000"/>
                      <w:szCs w:val="21"/>
                      <w:lang w:val="en-US" w:eastAsia="zh-CN"/>
                    </w:rPr>
                  </w:pPr>
                  <w:r>
                    <w:rPr>
                      <w:rFonts w:hint="eastAsia" w:cs="Times New Roman"/>
                      <w:color w:val="FF0000"/>
                      <w:szCs w:val="21"/>
                      <w:lang w:val="en-US" w:eastAsia="zh-CN"/>
                    </w:rPr>
                    <w:t>2.262</w:t>
                  </w:r>
                </w:p>
              </w:tc>
              <w:tc>
                <w:tcPr>
                  <w:tcW w:w="412" w:type="pct"/>
                  <w:shd w:val="clear" w:color="auto" w:fill="auto"/>
                  <w:noWrap/>
                  <w:vAlign w:val="center"/>
                </w:tcPr>
                <w:p w14:paraId="28B105AF">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0.0</w:t>
                  </w:r>
                  <w:r>
                    <w:rPr>
                      <w:rFonts w:hint="eastAsia" w:cs="Times New Roman"/>
                      <w:color w:val="FF0000"/>
                      <w:szCs w:val="21"/>
                      <w:lang w:val="en-US" w:eastAsia="zh-CN"/>
                    </w:rPr>
                    <w:t>48</w:t>
                  </w:r>
                </w:p>
              </w:tc>
              <w:tc>
                <w:tcPr>
                  <w:tcW w:w="371" w:type="pct"/>
                  <w:shd w:val="clear" w:color="auto" w:fill="auto"/>
                  <w:noWrap/>
                  <w:vAlign w:val="center"/>
                </w:tcPr>
                <w:p w14:paraId="3743C32F">
                  <w:pPr>
                    <w:adjustRightInd w:val="0"/>
                    <w:snapToGrid w:val="0"/>
                    <w:jc w:val="center"/>
                    <w:rPr>
                      <w:rFonts w:hint="default" w:ascii="Times New Roman" w:hAnsi="Times New Roman" w:eastAsia="宋体" w:cs="Times New Roman"/>
                      <w:color w:val="FF0000"/>
                      <w:szCs w:val="21"/>
                      <w:lang w:val="en-US" w:eastAsia="zh-CN"/>
                    </w:rPr>
                  </w:pPr>
                  <w:r>
                    <w:rPr>
                      <w:rFonts w:hint="eastAsia" w:ascii="Times New Roman" w:hAnsi="Times New Roman" w:eastAsia="宋体" w:cs="Times New Roman"/>
                      <w:color w:val="FF0000"/>
                      <w:szCs w:val="21"/>
                      <w:lang w:val="en-US" w:eastAsia="zh-CN"/>
                    </w:rPr>
                    <w:t>0.</w:t>
                  </w:r>
                  <w:r>
                    <w:rPr>
                      <w:rFonts w:hint="eastAsia" w:cs="Times New Roman"/>
                      <w:color w:val="FF0000"/>
                      <w:szCs w:val="21"/>
                      <w:lang w:val="en-US" w:eastAsia="zh-CN"/>
                    </w:rPr>
                    <w:t>342</w:t>
                  </w:r>
                </w:p>
              </w:tc>
              <w:tc>
                <w:tcPr>
                  <w:tcW w:w="214" w:type="pct"/>
                  <w:vMerge w:val="continue"/>
                  <w:noWrap/>
                  <w:vAlign w:val="center"/>
                </w:tcPr>
                <w:p w14:paraId="1383B694">
                  <w:pPr>
                    <w:adjustRightInd w:val="0"/>
                    <w:snapToGrid w:val="0"/>
                    <w:jc w:val="center"/>
                    <w:rPr>
                      <w:color w:val="auto"/>
                      <w:szCs w:val="21"/>
                    </w:rPr>
                  </w:pPr>
                </w:p>
              </w:tc>
            </w:tr>
            <w:tr w14:paraId="0C147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471" w:type="pct"/>
                  <w:vMerge w:val="restart"/>
                  <w:noWrap/>
                  <w:vAlign w:val="center"/>
                </w:tcPr>
                <w:p w14:paraId="5F86D1FD">
                  <w:pPr>
                    <w:adjustRightInd w:val="0"/>
                    <w:snapToGrid w:val="0"/>
                    <w:jc w:val="center"/>
                    <w:rPr>
                      <w:rFonts w:hint="eastAsia" w:eastAsia="宋体"/>
                      <w:color w:val="auto"/>
                      <w:lang w:eastAsia="zh-CN"/>
                    </w:rPr>
                  </w:pPr>
                  <w:r>
                    <w:rPr>
                      <w:rFonts w:hint="eastAsia"/>
                      <w:color w:val="auto"/>
                    </w:rPr>
                    <w:t>生产车间</w:t>
                  </w:r>
                </w:p>
              </w:tc>
              <w:tc>
                <w:tcPr>
                  <w:tcW w:w="331" w:type="pct"/>
                  <w:shd w:val="clear" w:color="auto" w:fill="auto"/>
                  <w:noWrap/>
                  <w:vAlign w:val="center"/>
                </w:tcPr>
                <w:p w14:paraId="5232C0C8">
                  <w:pPr>
                    <w:adjustRightInd w:val="0"/>
                    <w:snapToGrid w:val="0"/>
                    <w:jc w:val="center"/>
                    <w:rPr>
                      <w:color w:val="auto"/>
                    </w:rPr>
                  </w:pPr>
                  <w:r>
                    <w:rPr>
                      <w:rFonts w:hint="eastAsia"/>
                      <w:color w:val="auto"/>
                      <w:szCs w:val="21"/>
                    </w:rPr>
                    <w:t>非甲烷总烃</w:t>
                  </w:r>
                </w:p>
              </w:tc>
              <w:tc>
                <w:tcPr>
                  <w:tcW w:w="440" w:type="pct"/>
                  <w:shd w:val="clear" w:color="auto" w:fill="auto"/>
                  <w:noWrap/>
                  <w:vAlign w:val="center"/>
                </w:tcPr>
                <w:p w14:paraId="1A3B983A">
                  <w:pPr>
                    <w:widowControl/>
                    <w:jc w:val="center"/>
                    <w:rPr>
                      <w:color w:val="FF0000"/>
                      <w:szCs w:val="21"/>
                    </w:rPr>
                  </w:pPr>
                  <w:r>
                    <w:rPr>
                      <w:rFonts w:hint="eastAsia"/>
                      <w:color w:val="FF0000"/>
                      <w:szCs w:val="21"/>
                    </w:rPr>
                    <w:t>/</w:t>
                  </w:r>
                </w:p>
              </w:tc>
              <w:tc>
                <w:tcPr>
                  <w:tcW w:w="391" w:type="pct"/>
                  <w:shd w:val="clear" w:color="auto" w:fill="auto"/>
                  <w:noWrap/>
                  <w:vAlign w:val="center"/>
                </w:tcPr>
                <w:p w14:paraId="7B4BBABE">
                  <w:pPr>
                    <w:widowControl/>
                    <w:jc w:val="center"/>
                    <w:rPr>
                      <w:rFonts w:hint="default" w:eastAsia="宋体"/>
                      <w:color w:val="FF0000"/>
                      <w:szCs w:val="21"/>
                      <w:lang w:val="en-US" w:eastAsia="zh-CN"/>
                    </w:rPr>
                  </w:pPr>
                  <w:r>
                    <w:rPr>
                      <w:rFonts w:hint="eastAsia"/>
                      <w:color w:val="FF0000"/>
                      <w:szCs w:val="21"/>
                      <w:lang w:val="en-US" w:eastAsia="zh-CN"/>
                    </w:rPr>
                    <w:t>0.066</w:t>
                  </w:r>
                </w:p>
              </w:tc>
              <w:tc>
                <w:tcPr>
                  <w:tcW w:w="417" w:type="pct"/>
                  <w:shd w:val="clear" w:color="auto" w:fill="auto"/>
                  <w:noWrap/>
                  <w:vAlign w:val="center"/>
                </w:tcPr>
                <w:p w14:paraId="2347F2C8">
                  <w:pPr>
                    <w:widowControl/>
                    <w:jc w:val="center"/>
                    <w:rPr>
                      <w:rFonts w:hint="default" w:eastAsia="宋体"/>
                      <w:color w:val="FF0000"/>
                      <w:szCs w:val="21"/>
                      <w:lang w:val="en-US" w:eastAsia="zh-CN"/>
                    </w:rPr>
                  </w:pPr>
                  <w:r>
                    <w:rPr>
                      <w:rFonts w:hint="eastAsia"/>
                      <w:color w:val="FF0000"/>
                      <w:szCs w:val="21"/>
                      <w:lang w:val="en-US" w:eastAsia="zh-CN"/>
                    </w:rPr>
                    <w:t>0.476</w:t>
                  </w:r>
                </w:p>
              </w:tc>
              <w:tc>
                <w:tcPr>
                  <w:tcW w:w="376" w:type="pct"/>
                  <w:noWrap/>
                  <w:vAlign w:val="center"/>
                </w:tcPr>
                <w:p w14:paraId="1A39B3F5">
                  <w:pPr>
                    <w:adjustRightInd w:val="0"/>
                    <w:snapToGrid w:val="0"/>
                    <w:jc w:val="center"/>
                    <w:rPr>
                      <w:bCs/>
                      <w:color w:val="auto"/>
                      <w:szCs w:val="21"/>
                    </w:rPr>
                  </w:pPr>
                  <w:r>
                    <w:rPr>
                      <w:rFonts w:hint="eastAsia"/>
                      <w:bCs/>
                      <w:color w:val="auto"/>
                      <w:szCs w:val="21"/>
                    </w:rPr>
                    <w:t>/</w:t>
                  </w:r>
                </w:p>
              </w:tc>
              <w:tc>
                <w:tcPr>
                  <w:tcW w:w="249" w:type="pct"/>
                  <w:noWrap/>
                  <w:vAlign w:val="center"/>
                </w:tcPr>
                <w:p w14:paraId="32B9748E">
                  <w:pPr>
                    <w:adjustRightInd w:val="0"/>
                    <w:snapToGrid w:val="0"/>
                    <w:jc w:val="center"/>
                    <w:rPr>
                      <w:color w:val="auto"/>
                      <w:szCs w:val="21"/>
                    </w:rPr>
                  </w:pPr>
                  <w:r>
                    <w:rPr>
                      <w:rFonts w:hint="eastAsia"/>
                      <w:color w:val="auto"/>
                      <w:szCs w:val="21"/>
                    </w:rPr>
                    <w:t>/</w:t>
                  </w:r>
                </w:p>
              </w:tc>
              <w:tc>
                <w:tcPr>
                  <w:tcW w:w="291" w:type="pct"/>
                  <w:noWrap/>
                  <w:vAlign w:val="center"/>
                </w:tcPr>
                <w:p w14:paraId="0FB9280E">
                  <w:pPr>
                    <w:adjustRightInd w:val="0"/>
                    <w:snapToGrid w:val="0"/>
                    <w:jc w:val="center"/>
                    <w:rPr>
                      <w:color w:val="auto"/>
                      <w:szCs w:val="21"/>
                    </w:rPr>
                  </w:pPr>
                  <w:r>
                    <w:rPr>
                      <w:rFonts w:hint="eastAsia"/>
                      <w:color w:val="auto"/>
                      <w:szCs w:val="21"/>
                    </w:rPr>
                    <w:t>/</w:t>
                  </w:r>
                </w:p>
              </w:tc>
              <w:tc>
                <w:tcPr>
                  <w:tcW w:w="291" w:type="pct"/>
                  <w:noWrap/>
                  <w:vAlign w:val="center"/>
                </w:tcPr>
                <w:p w14:paraId="4D426AF7">
                  <w:pPr>
                    <w:adjustRightInd w:val="0"/>
                    <w:snapToGrid w:val="0"/>
                    <w:jc w:val="center"/>
                    <w:rPr>
                      <w:color w:val="auto"/>
                      <w:szCs w:val="21"/>
                    </w:rPr>
                  </w:pPr>
                  <w:r>
                    <w:rPr>
                      <w:rFonts w:hint="eastAsia"/>
                      <w:color w:val="auto"/>
                      <w:szCs w:val="21"/>
                    </w:rPr>
                    <w:t>0</w:t>
                  </w:r>
                </w:p>
              </w:tc>
              <w:tc>
                <w:tcPr>
                  <w:tcW w:w="291" w:type="pct"/>
                  <w:noWrap/>
                  <w:vAlign w:val="center"/>
                </w:tcPr>
                <w:p w14:paraId="080E6352">
                  <w:pPr>
                    <w:adjustRightInd w:val="0"/>
                    <w:snapToGrid w:val="0"/>
                    <w:jc w:val="center"/>
                    <w:rPr>
                      <w:color w:val="auto"/>
                      <w:szCs w:val="21"/>
                    </w:rPr>
                  </w:pPr>
                  <w:r>
                    <w:rPr>
                      <w:rFonts w:hint="eastAsia"/>
                      <w:color w:val="auto"/>
                      <w:szCs w:val="21"/>
                    </w:rPr>
                    <w:t>/</w:t>
                  </w:r>
                </w:p>
              </w:tc>
              <w:tc>
                <w:tcPr>
                  <w:tcW w:w="449" w:type="pct"/>
                  <w:shd w:val="clear" w:color="auto" w:fill="auto"/>
                  <w:noWrap/>
                  <w:vAlign w:val="center"/>
                </w:tcPr>
                <w:p w14:paraId="2B04EF3F">
                  <w:pPr>
                    <w:widowControl/>
                    <w:jc w:val="center"/>
                    <w:rPr>
                      <w:color w:val="auto"/>
                      <w:szCs w:val="21"/>
                    </w:rPr>
                  </w:pPr>
                  <w:r>
                    <w:rPr>
                      <w:rFonts w:hint="eastAsia"/>
                      <w:color w:val="auto"/>
                      <w:szCs w:val="21"/>
                    </w:rPr>
                    <w:t>/</w:t>
                  </w:r>
                </w:p>
              </w:tc>
              <w:tc>
                <w:tcPr>
                  <w:tcW w:w="412" w:type="pct"/>
                  <w:shd w:val="clear" w:color="auto" w:fill="auto"/>
                  <w:noWrap/>
                  <w:vAlign w:val="center"/>
                </w:tcPr>
                <w:p w14:paraId="775B0F09">
                  <w:pPr>
                    <w:widowControl/>
                    <w:jc w:val="center"/>
                    <w:rPr>
                      <w:rFonts w:hint="default" w:ascii="Times New Roman" w:hAnsi="Times New Roman" w:eastAsia="宋体" w:cs="Times New Roman"/>
                      <w:color w:val="FF0000"/>
                      <w:kern w:val="2"/>
                      <w:sz w:val="21"/>
                      <w:szCs w:val="21"/>
                      <w:lang w:val="en-US" w:eastAsia="zh-CN" w:bidi="ar-SA"/>
                    </w:rPr>
                  </w:pPr>
                  <w:r>
                    <w:rPr>
                      <w:rFonts w:hint="eastAsia"/>
                      <w:color w:val="FF0000"/>
                      <w:szCs w:val="21"/>
                      <w:lang w:val="en-US" w:eastAsia="zh-CN"/>
                    </w:rPr>
                    <w:t>0.066</w:t>
                  </w:r>
                </w:p>
              </w:tc>
              <w:tc>
                <w:tcPr>
                  <w:tcW w:w="371" w:type="pct"/>
                  <w:shd w:val="clear" w:color="auto" w:fill="auto"/>
                  <w:noWrap/>
                  <w:vAlign w:val="center"/>
                </w:tcPr>
                <w:p w14:paraId="7B5CD396">
                  <w:pPr>
                    <w:widowControl/>
                    <w:jc w:val="center"/>
                    <w:rPr>
                      <w:rFonts w:hint="default" w:ascii="Times New Roman" w:hAnsi="Times New Roman" w:eastAsia="宋体" w:cs="Times New Roman"/>
                      <w:color w:val="FF0000"/>
                      <w:kern w:val="2"/>
                      <w:sz w:val="21"/>
                      <w:szCs w:val="21"/>
                      <w:lang w:val="en-US" w:eastAsia="zh-CN" w:bidi="ar-SA"/>
                    </w:rPr>
                  </w:pPr>
                  <w:r>
                    <w:rPr>
                      <w:rFonts w:hint="eastAsia"/>
                      <w:color w:val="FF0000"/>
                      <w:szCs w:val="21"/>
                      <w:lang w:val="en-US" w:eastAsia="zh-CN"/>
                    </w:rPr>
                    <w:t>0.476</w:t>
                  </w:r>
                </w:p>
              </w:tc>
              <w:tc>
                <w:tcPr>
                  <w:tcW w:w="214" w:type="pct"/>
                  <w:vMerge w:val="restart"/>
                  <w:noWrap/>
                  <w:vAlign w:val="center"/>
                </w:tcPr>
                <w:p w14:paraId="332E237E">
                  <w:pPr>
                    <w:adjustRightInd w:val="0"/>
                    <w:snapToGrid w:val="0"/>
                    <w:jc w:val="center"/>
                    <w:rPr>
                      <w:color w:val="auto"/>
                      <w:szCs w:val="21"/>
                    </w:rPr>
                  </w:pPr>
                  <w:r>
                    <w:rPr>
                      <w:rFonts w:hint="eastAsia"/>
                      <w:color w:val="auto"/>
                      <w:szCs w:val="21"/>
                    </w:rPr>
                    <w:t>无组织</w:t>
                  </w:r>
                </w:p>
              </w:tc>
            </w:tr>
            <w:tr w14:paraId="26099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1" w:type="pct"/>
                  <w:vMerge w:val="continue"/>
                  <w:noWrap/>
                  <w:vAlign w:val="center"/>
                </w:tcPr>
                <w:p w14:paraId="5A0976DD">
                  <w:pPr>
                    <w:adjustRightInd w:val="0"/>
                    <w:snapToGrid w:val="0"/>
                    <w:jc w:val="center"/>
                    <w:rPr>
                      <w:rFonts w:hint="eastAsia"/>
                      <w:color w:val="auto"/>
                    </w:rPr>
                  </w:pPr>
                </w:p>
              </w:tc>
              <w:tc>
                <w:tcPr>
                  <w:tcW w:w="331" w:type="pct"/>
                  <w:shd w:val="clear" w:color="auto" w:fill="auto"/>
                  <w:noWrap/>
                  <w:vAlign w:val="center"/>
                </w:tcPr>
                <w:p w14:paraId="2BDB012B">
                  <w:pPr>
                    <w:adjustRightInd w:val="0"/>
                    <w:snapToGrid w:val="0"/>
                    <w:jc w:val="center"/>
                    <w:rPr>
                      <w:rFonts w:hint="eastAsia" w:eastAsia="宋体"/>
                      <w:color w:val="auto"/>
                      <w:szCs w:val="21"/>
                      <w:lang w:val="en-US" w:eastAsia="zh-CN"/>
                    </w:rPr>
                  </w:pPr>
                  <w:r>
                    <w:rPr>
                      <w:rFonts w:hint="eastAsia"/>
                      <w:color w:val="auto"/>
                      <w:szCs w:val="21"/>
                      <w:lang w:val="en-US" w:eastAsia="zh-CN"/>
                    </w:rPr>
                    <w:t>颗粒物</w:t>
                  </w:r>
                </w:p>
              </w:tc>
              <w:tc>
                <w:tcPr>
                  <w:tcW w:w="440" w:type="pct"/>
                  <w:shd w:val="clear" w:color="auto" w:fill="auto"/>
                  <w:noWrap/>
                  <w:vAlign w:val="center"/>
                </w:tcPr>
                <w:p w14:paraId="212B291A">
                  <w:pPr>
                    <w:widowControl/>
                    <w:jc w:val="center"/>
                    <w:rPr>
                      <w:rFonts w:hint="eastAsia" w:eastAsia="宋体"/>
                      <w:color w:val="FF0000"/>
                      <w:szCs w:val="21"/>
                      <w:lang w:val="en-US" w:eastAsia="zh-CN"/>
                    </w:rPr>
                  </w:pPr>
                  <w:r>
                    <w:rPr>
                      <w:rFonts w:hint="eastAsia"/>
                      <w:color w:val="FF0000"/>
                      <w:szCs w:val="21"/>
                      <w:lang w:val="en-US" w:eastAsia="zh-CN"/>
                    </w:rPr>
                    <w:t>/</w:t>
                  </w:r>
                </w:p>
              </w:tc>
              <w:tc>
                <w:tcPr>
                  <w:tcW w:w="391" w:type="pct"/>
                  <w:shd w:val="clear" w:color="auto" w:fill="auto"/>
                  <w:noWrap/>
                  <w:vAlign w:val="center"/>
                </w:tcPr>
                <w:p w14:paraId="1E45474B">
                  <w:pPr>
                    <w:widowControl/>
                    <w:jc w:val="center"/>
                    <w:rPr>
                      <w:rFonts w:hint="default"/>
                      <w:color w:val="FF0000"/>
                      <w:szCs w:val="21"/>
                      <w:lang w:val="en-US" w:eastAsia="zh-CN"/>
                    </w:rPr>
                  </w:pPr>
                  <w:r>
                    <w:rPr>
                      <w:rFonts w:hint="eastAsia"/>
                      <w:color w:val="FF0000"/>
                      <w:szCs w:val="21"/>
                      <w:lang w:val="en-US" w:eastAsia="zh-CN"/>
                    </w:rPr>
                    <w:t>0.0001</w:t>
                  </w:r>
                </w:p>
              </w:tc>
              <w:tc>
                <w:tcPr>
                  <w:tcW w:w="417" w:type="pct"/>
                  <w:shd w:val="clear" w:color="auto" w:fill="auto"/>
                  <w:noWrap/>
                  <w:vAlign w:val="center"/>
                </w:tcPr>
                <w:p w14:paraId="0CC6C1FD">
                  <w:pPr>
                    <w:widowControl/>
                    <w:jc w:val="center"/>
                    <w:rPr>
                      <w:rFonts w:hint="default"/>
                      <w:color w:val="FF0000"/>
                      <w:szCs w:val="21"/>
                      <w:lang w:val="en-US" w:eastAsia="zh-CN"/>
                    </w:rPr>
                  </w:pPr>
                  <w:r>
                    <w:rPr>
                      <w:rFonts w:hint="eastAsia"/>
                      <w:color w:val="FF0000"/>
                      <w:szCs w:val="21"/>
                      <w:lang w:val="en-US" w:eastAsia="zh-CN"/>
                    </w:rPr>
                    <w:t>0.001</w:t>
                  </w:r>
                </w:p>
              </w:tc>
              <w:tc>
                <w:tcPr>
                  <w:tcW w:w="376" w:type="pct"/>
                  <w:noWrap/>
                  <w:vAlign w:val="center"/>
                </w:tcPr>
                <w:p w14:paraId="39D2B115">
                  <w:pPr>
                    <w:adjustRightInd w:val="0"/>
                    <w:snapToGrid w:val="0"/>
                    <w:jc w:val="center"/>
                    <w:rPr>
                      <w:rFonts w:hint="default" w:eastAsia="宋体"/>
                      <w:bCs/>
                      <w:color w:val="auto"/>
                      <w:szCs w:val="21"/>
                      <w:lang w:val="en-US" w:eastAsia="zh-CN"/>
                    </w:rPr>
                  </w:pPr>
                  <w:r>
                    <w:rPr>
                      <w:rFonts w:hint="eastAsia"/>
                      <w:bCs/>
                      <w:color w:val="auto"/>
                      <w:szCs w:val="21"/>
                      <w:lang w:val="en-US" w:eastAsia="zh-CN"/>
                    </w:rPr>
                    <w:t>/</w:t>
                  </w:r>
                </w:p>
              </w:tc>
              <w:tc>
                <w:tcPr>
                  <w:tcW w:w="249" w:type="pct"/>
                  <w:noWrap/>
                  <w:vAlign w:val="center"/>
                </w:tcPr>
                <w:p w14:paraId="64C62B2F">
                  <w:pPr>
                    <w:adjustRightInd w:val="0"/>
                    <w:snapToGrid w:val="0"/>
                    <w:jc w:val="center"/>
                    <w:rPr>
                      <w:rFonts w:hint="eastAsia" w:eastAsia="宋体"/>
                      <w:color w:val="auto"/>
                      <w:szCs w:val="21"/>
                      <w:lang w:val="en-US" w:eastAsia="zh-CN"/>
                    </w:rPr>
                  </w:pPr>
                  <w:r>
                    <w:rPr>
                      <w:rFonts w:hint="eastAsia"/>
                      <w:color w:val="auto"/>
                      <w:szCs w:val="21"/>
                      <w:lang w:val="en-US" w:eastAsia="zh-CN"/>
                    </w:rPr>
                    <w:t>/</w:t>
                  </w:r>
                </w:p>
              </w:tc>
              <w:tc>
                <w:tcPr>
                  <w:tcW w:w="291" w:type="pct"/>
                  <w:noWrap/>
                  <w:vAlign w:val="center"/>
                </w:tcPr>
                <w:p w14:paraId="18F9E19B">
                  <w:pPr>
                    <w:adjustRightInd w:val="0"/>
                    <w:snapToGrid w:val="0"/>
                    <w:jc w:val="center"/>
                    <w:rPr>
                      <w:rFonts w:hint="eastAsia" w:eastAsia="宋体"/>
                      <w:color w:val="auto"/>
                      <w:szCs w:val="21"/>
                      <w:lang w:val="en-US" w:eastAsia="zh-CN"/>
                    </w:rPr>
                  </w:pPr>
                  <w:r>
                    <w:rPr>
                      <w:rFonts w:hint="eastAsia"/>
                      <w:color w:val="auto"/>
                      <w:szCs w:val="21"/>
                      <w:lang w:val="en-US" w:eastAsia="zh-CN"/>
                    </w:rPr>
                    <w:t>/</w:t>
                  </w:r>
                </w:p>
              </w:tc>
              <w:tc>
                <w:tcPr>
                  <w:tcW w:w="291" w:type="pct"/>
                  <w:noWrap/>
                  <w:vAlign w:val="center"/>
                </w:tcPr>
                <w:p w14:paraId="5485B1C8">
                  <w:pPr>
                    <w:adjustRightInd w:val="0"/>
                    <w:snapToGrid w:val="0"/>
                    <w:jc w:val="center"/>
                    <w:rPr>
                      <w:rFonts w:hint="eastAsia" w:eastAsia="宋体"/>
                      <w:color w:val="auto"/>
                      <w:szCs w:val="21"/>
                      <w:lang w:val="en-US" w:eastAsia="zh-CN"/>
                    </w:rPr>
                  </w:pPr>
                  <w:r>
                    <w:rPr>
                      <w:rFonts w:hint="eastAsia"/>
                      <w:color w:val="auto"/>
                      <w:szCs w:val="21"/>
                      <w:lang w:val="en-US" w:eastAsia="zh-CN"/>
                    </w:rPr>
                    <w:t>0</w:t>
                  </w:r>
                </w:p>
              </w:tc>
              <w:tc>
                <w:tcPr>
                  <w:tcW w:w="291" w:type="pct"/>
                  <w:noWrap/>
                  <w:vAlign w:val="center"/>
                </w:tcPr>
                <w:p w14:paraId="5363E7AA">
                  <w:pPr>
                    <w:adjustRightInd w:val="0"/>
                    <w:snapToGrid w:val="0"/>
                    <w:jc w:val="center"/>
                    <w:rPr>
                      <w:rFonts w:hint="eastAsia" w:eastAsia="宋体"/>
                      <w:color w:val="auto"/>
                      <w:szCs w:val="21"/>
                      <w:lang w:val="en-US" w:eastAsia="zh-CN"/>
                    </w:rPr>
                  </w:pPr>
                  <w:r>
                    <w:rPr>
                      <w:rFonts w:hint="eastAsia"/>
                      <w:color w:val="auto"/>
                      <w:szCs w:val="21"/>
                      <w:lang w:val="en-US" w:eastAsia="zh-CN"/>
                    </w:rPr>
                    <w:t>/</w:t>
                  </w:r>
                </w:p>
              </w:tc>
              <w:tc>
                <w:tcPr>
                  <w:tcW w:w="449" w:type="pct"/>
                  <w:shd w:val="clear" w:color="auto" w:fill="auto"/>
                  <w:noWrap/>
                  <w:vAlign w:val="center"/>
                </w:tcPr>
                <w:p w14:paraId="45509E1A">
                  <w:pPr>
                    <w:widowControl/>
                    <w:jc w:val="center"/>
                    <w:rPr>
                      <w:rFonts w:hint="eastAsia" w:eastAsia="宋体"/>
                      <w:color w:val="auto"/>
                      <w:szCs w:val="21"/>
                      <w:lang w:val="en-US" w:eastAsia="zh-CN"/>
                    </w:rPr>
                  </w:pPr>
                  <w:r>
                    <w:rPr>
                      <w:rFonts w:hint="eastAsia"/>
                      <w:color w:val="auto"/>
                      <w:szCs w:val="21"/>
                      <w:lang w:val="en-US" w:eastAsia="zh-CN"/>
                    </w:rPr>
                    <w:t>/</w:t>
                  </w:r>
                </w:p>
              </w:tc>
              <w:tc>
                <w:tcPr>
                  <w:tcW w:w="412" w:type="pct"/>
                  <w:shd w:val="clear" w:color="auto" w:fill="auto"/>
                  <w:noWrap/>
                  <w:vAlign w:val="center"/>
                </w:tcPr>
                <w:p w14:paraId="0A750AF9">
                  <w:pPr>
                    <w:widowControl/>
                    <w:jc w:val="center"/>
                    <w:rPr>
                      <w:rFonts w:hint="eastAsia" w:ascii="Times New Roman" w:hAnsi="Times New Roman" w:eastAsia="宋体" w:cs="Times New Roman"/>
                      <w:color w:val="FF0000"/>
                      <w:kern w:val="2"/>
                      <w:sz w:val="21"/>
                      <w:szCs w:val="21"/>
                      <w:lang w:val="en-US" w:eastAsia="zh-CN" w:bidi="ar-SA"/>
                    </w:rPr>
                  </w:pPr>
                  <w:r>
                    <w:rPr>
                      <w:rFonts w:hint="eastAsia"/>
                      <w:color w:val="FF0000"/>
                      <w:szCs w:val="21"/>
                      <w:lang w:val="en-US" w:eastAsia="zh-CN"/>
                    </w:rPr>
                    <w:t>0.0001</w:t>
                  </w:r>
                </w:p>
              </w:tc>
              <w:tc>
                <w:tcPr>
                  <w:tcW w:w="371" w:type="pct"/>
                  <w:shd w:val="clear" w:color="auto" w:fill="auto"/>
                  <w:noWrap/>
                  <w:vAlign w:val="center"/>
                </w:tcPr>
                <w:p w14:paraId="4E098B31">
                  <w:pPr>
                    <w:widowControl/>
                    <w:jc w:val="center"/>
                    <w:rPr>
                      <w:rFonts w:hint="eastAsia" w:ascii="Times New Roman" w:hAnsi="Times New Roman" w:eastAsia="宋体" w:cs="Times New Roman"/>
                      <w:color w:val="FF0000"/>
                      <w:kern w:val="2"/>
                      <w:sz w:val="21"/>
                      <w:szCs w:val="21"/>
                      <w:lang w:val="en-US" w:eastAsia="zh-CN" w:bidi="ar-SA"/>
                    </w:rPr>
                  </w:pPr>
                  <w:r>
                    <w:rPr>
                      <w:rFonts w:hint="eastAsia"/>
                      <w:color w:val="FF0000"/>
                      <w:szCs w:val="21"/>
                      <w:lang w:val="en-US" w:eastAsia="zh-CN"/>
                    </w:rPr>
                    <w:t>0.001</w:t>
                  </w:r>
                </w:p>
              </w:tc>
              <w:tc>
                <w:tcPr>
                  <w:tcW w:w="214" w:type="pct"/>
                  <w:vMerge w:val="continue"/>
                  <w:noWrap/>
                  <w:vAlign w:val="center"/>
                </w:tcPr>
                <w:p w14:paraId="05092F80">
                  <w:pPr>
                    <w:adjustRightInd w:val="0"/>
                    <w:snapToGrid w:val="0"/>
                    <w:jc w:val="center"/>
                    <w:rPr>
                      <w:rFonts w:hint="eastAsia"/>
                      <w:color w:val="auto"/>
                      <w:szCs w:val="21"/>
                    </w:rPr>
                  </w:pPr>
                </w:p>
              </w:tc>
            </w:tr>
            <w:tr w14:paraId="6FD8D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jc w:val="center"/>
              </w:trPr>
              <w:tc>
                <w:tcPr>
                  <w:tcW w:w="471" w:type="pct"/>
                  <w:vMerge w:val="continue"/>
                  <w:noWrap/>
                  <w:vAlign w:val="center"/>
                </w:tcPr>
                <w:p w14:paraId="00AE0E64">
                  <w:pPr>
                    <w:adjustRightInd w:val="0"/>
                    <w:snapToGrid w:val="0"/>
                    <w:jc w:val="center"/>
                    <w:rPr>
                      <w:color w:val="auto"/>
                    </w:rPr>
                  </w:pPr>
                </w:p>
              </w:tc>
              <w:tc>
                <w:tcPr>
                  <w:tcW w:w="331" w:type="pct"/>
                  <w:shd w:val="clear" w:color="auto" w:fill="auto"/>
                  <w:noWrap/>
                  <w:vAlign w:val="center"/>
                </w:tcPr>
                <w:p w14:paraId="3B8AE2D6">
                  <w:pPr>
                    <w:adjustRightInd w:val="0"/>
                    <w:snapToGrid w:val="0"/>
                    <w:jc w:val="center"/>
                    <w:rPr>
                      <w:color w:val="auto"/>
                    </w:rPr>
                  </w:pPr>
                  <w:r>
                    <w:rPr>
                      <w:rFonts w:hint="eastAsia"/>
                      <w:color w:val="auto"/>
                    </w:rPr>
                    <w:t>锡及其化合物</w:t>
                  </w:r>
                </w:p>
              </w:tc>
              <w:tc>
                <w:tcPr>
                  <w:tcW w:w="440" w:type="pct"/>
                  <w:shd w:val="clear" w:color="auto" w:fill="auto"/>
                  <w:noWrap/>
                  <w:vAlign w:val="center"/>
                </w:tcPr>
                <w:p w14:paraId="0902FBEC">
                  <w:pPr>
                    <w:widowControl/>
                    <w:jc w:val="center"/>
                    <w:rPr>
                      <w:color w:val="FF0000"/>
                      <w:szCs w:val="21"/>
                    </w:rPr>
                  </w:pPr>
                  <w:r>
                    <w:rPr>
                      <w:rFonts w:hint="eastAsia"/>
                      <w:color w:val="FF0000"/>
                      <w:szCs w:val="21"/>
                    </w:rPr>
                    <w:t>/</w:t>
                  </w:r>
                </w:p>
              </w:tc>
              <w:tc>
                <w:tcPr>
                  <w:tcW w:w="391" w:type="pct"/>
                  <w:shd w:val="clear" w:color="auto" w:fill="auto"/>
                  <w:noWrap/>
                  <w:vAlign w:val="center"/>
                </w:tcPr>
                <w:p w14:paraId="5287393E">
                  <w:pPr>
                    <w:widowControl/>
                    <w:jc w:val="center"/>
                    <w:rPr>
                      <w:rFonts w:hint="default" w:eastAsia="宋体"/>
                      <w:color w:val="FF0000"/>
                      <w:szCs w:val="21"/>
                      <w:lang w:val="en-US" w:eastAsia="zh-CN"/>
                    </w:rPr>
                  </w:pPr>
                  <w:r>
                    <w:rPr>
                      <w:rFonts w:hint="eastAsia"/>
                      <w:color w:val="FF0000"/>
                      <w:szCs w:val="21"/>
                      <w:lang w:val="en-US" w:eastAsia="zh-CN"/>
                    </w:rPr>
                    <w:t>0.0001</w:t>
                  </w:r>
                </w:p>
              </w:tc>
              <w:tc>
                <w:tcPr>
                  <w:tcW w:w="417" w:type="pct"/>
                  <w:shd w:val="clear" w:color="auto" w:fill="auto"/>
                  <w:noWrap/>
                  <w:vAlign w:val="center"/>
                </w:tcPr>
                <w:p w14:paraId="28ABD551">
                  <w:pPr>
                    <w:widowControl/>
                    <w:jc w:val="center"/>
                    <w:rPr>
                      <w:rFonts w:hint="default" w:eastAsia="宋体"/>
                      <w:color w:val="FF0000"/>
                      <w:szCs w:val="21"/>
                      <w:lang w:val="en-US" w:eastAsia="zh-CN"/>
                    </w:rPr>
                  </w:pPr>
                  <w:r>
                    <w:rPr>
                      <w:rFonts w:hint="eastAsia"/>
                      <w:color w:val="FF0000"/>
                      <w:szCs w:val="21"/>
                      <w:lang w:val="en-US" w:eastAsia="zh-CN"/>
                    </w:rPr>
                    <w:t>0.0007</w:t>
                  </w:r>
                </w:p>
              </w:tc>
              <w:tc>
                <w:tcPr>
                  <w:tcW w:w="376" w:type="pct"/>
                  <w:noWrap/>
                  <w:vAlign w:val="center"/>
                </w:tcPr>
                <w:p w14:paraId="63235D70">
                  <w:pPr>
                    <w:adjustRightInd w:val="0"/>
                    <w:snapToGrid w:val="0"/>
                    <w:jc w:val="center"/>
                    <w:rPr>
                      <w:bCs/>
                      <w:color w:val="auto"/>
                      <w:szCs w:val="21"/>
                    </w:rPr>
                  </w:pPr>
                  <w:r>
                    <w:rPr>
                      <w:rFonts w:hint="eastAsia"/>
                      <w:bCs/>
                      <w:color w:val="auto"/>
                      <w:szCs w:val="21"/>
                    </w:rPr>
                    <w:t>/</w:t>
                  </w:r>
                </w:p>
              </w:tc>
              <w:tc>
                <w:tcPr>
                  <w:tcW w:w="249" w:type="pct"/>
                  <w:noWrap/>
                  <w:vAlign w:val="center"/>
                </w:tcPr>
                <w:p w14:paraId="5EC489CC">
                  <w:pPr>
                    <w:adjustRightInd w:val="0"/>
                    <w:snapToGrid w:val="0"/>
                    <w:jc w:val="center"/>
                    <w:rPr>
                      <w:color w:val="auto"/>
                      <w:szCs w:val="21"/>
                    </w:rPr>
                  </w:pPr>
                  <w:r>
                    <w:rPr>
                      <w:rFonts w:hint="eastAsia"/>
                      <w:color w:val="auto"/>
                      <w:szCs w:val="21"/>
                    </w:rPr>
                    <w:t>/</w:t>
                  </w:r>
                </w:p>
              </w:tc>
              <w:tc>
                <w:tcPr>
                  <w:tcW w:w="291" w:type="pct"/>
                  <w:noWrap/>
                  <w:vAlign w:val="center"/>
                </w:tcPr>
                <w:p w14:paraId="34E73778">
                  <w:pPr>
                    <w:adjustRightInd w:val="0"/>
                    <w:snapToGrid w:val="0"/>
                    <w:jc w:val="center"/>
                    <w:rPr>
                      <w:color w:val="auto"/>
                      <w:szCs w:val="21"/>
                    </w:rPr>
                  </w:pPr>
                  <w:r>
                    <w:rPr>
                      <w:rFonts w:hint="eastAsia"/>
                      <w:color w:val="auto"/>
                      <w:szCs w:val="21"/>
                    </w:rPr>
                    <w:t>/</w:t>
                  </w:r>
                </w:p>
              </w:tc>
              <w:tc>
                <w:tcPr>
                  <w:tcW w:w="291" w:type="pct"/>
                  <w:noWrap/>
                  <w:vAlign w:val="center"/>
                </w:tcPr>
                <w:p w14:paraId="2547C0B3">
                  <w:pPr>
                    <w:adjustRightInd w:val="0"/>
                    <w:snapToGrid w:val="0"/>
                    <w:jc w:val="center"/>
                    <w:rPr>
                      <w:color w:val="auto"/>
                      <w:szCs w:val="21"/>
                    </w:rPr>
                  </w:pPr>
                  <w:r>
                    <w:rPr>
                      <w:rFonts w:hint="eastAsia"/>
                      <w:color w:val="auto"/>
                      <w:szCs w:val="21"/>
                    </w:rPr>
                    <w:t>0</w:t>
                  </w:r>
                </w:p>
              </w:tc>
              <w:tc>
                <w:tcPr>
                  <w:tcW w:w="291" w:type="pct"/>
                  <w:noWrap/>
                  <w:vAlign w:val="center"/>
                </w:tcPr>
                <w:p w14:paraId="4CB85F27">
                  <w:pPr>
                    <w:adjustRightInd w:val="0"/>
                    <w:snapToGrid w:val="0"/>
                    <w:jc w:val="center"/>
                    <w:rPr>
                      <w:color w:val="auto"/>
                      <w:szCs w:val="21"/>
                    </w:rPr>
                  </w:pPr>
                  <w:r>
                    <w:rPr>
                      <w:rFonts w:hint="eastAsia"/>
                      <w:color w:val="auto"/>
                      <w:szCs w:val="21"/>
                    </w:rPr>
                    <w:t>/</w:t>
                  </w:r>
                </w:p>
              </w:tc>
              <w:tc>
                <w:tcPr>
                  <w:tcW w:w="449" w:type="pct"/>
                  <w:shd w:val="clear" w:color="auto" w:fill="auto"/>
                  <w:noWrap/>
                  <w:vAlign w:val="center"/>
                </w:tcPr>
                <w:p w14:paraId="582749FC">
                  <w:pPr>
                    <w:widowControl/>
                    <w:jc w:val="center"/>
                    <w:rPr>
                      <w:color w:val="auto"/>
                      <w:szCs w:val="21"/>
                    </w:rPr>
                  </w:pPr>
                  <w:r>
                    <w:rPr>
                      <w:rFonts w:hint="eastAsia"/>
                      <w:color w:val="auto"/>
                      <w:szCs w:val="21"/>
                    </w:rPr>
                    <w:t>/</w:t>
                  </w:r>
                </w:p>
              </w:tc>
              <w:tc>
                <w:tcPr>
                  <w:tcW w:w="412" w:type="pct"/>
                  <w:shd w:val="clear" w:color="auto" w:fill="auto"/>
                  <w:noWrap/>
                  <w:vAlign w:val="center"/>
                </w:tcPr>
                <w:p w14:paraId="764E3B2F">
                  <w:pPr>
                    <w:widowControl/>
                    <w:jc w:val="center"/>
                    <w:rPr>
                      <w:rFonts w:hint="eastAsia" w:ascii="Times New Roman" w:hAnsi="Times New Roman" w:eastAsia="宋体" w:cs="Times New Roman"/>
                      <w:color w:val="FF0000"/>
                      <w:kern w:val="2"/>
                      <w:sz w:val="21"/>
                      <w:szCs w:val="21"/>
                      <w:lang w:val="en-US" w:eastAsia="zh-CN" w:bidi="ar-SA"/>
                    </w:rPr>
                  </w:pPr>
                  <w:r>
                    <w:rPr>
                      <w:rFonts w:hint="eastAsia"/>
                      <w:color w:val="FF0000"/>
                      <w:szCs w:val="21"/>
                      <w:lang w:val="en-US" w:eastAsia="zh-CN"/>
                    </w:rPr>
                    <w:t>0.0001</w:t>
                  </w:r>
                </w:p>
              </w:tc>
              <w:tc>
                <w:tcPr>
                  <w:tcW w:w="371" w:type="pct"/>
                  <w:shd w:val="clear" w:color="auto" w:fill="auto"/>
                  <w:noWrap/>
                  <w:vAlign w:val="center"/>
                </w:tcPr>
                <w:p w14:paraId="324176D5">
                  <w:pPr>
                    <w:widowControl/>
                    <w:jc w:val="center"/>
                    <w:rPr>
                      <w:rFonts w:hint="default" w:ascii="Times New Roman" w:hAnsi="Times New Roman" w:eastAsia="宋体" w:cs="Times New Roman"/>
                      <w:color w:val="FF0000"/>
                      <w:kern w:val="2"/>
                      <w:sz w:val="21"/>
                      <w:szCs w:val="21"/>
                      <w:lang w:val="en-US" w:eastAsia="zh-CN" w:bidi="ar-SA"/>
                    </w:rPr>
                  </w:pPr>
                  <w:r>
                    <w:rPr>
                      <w:rFonts w:hint="eastAsia"/>
                      <w:color w:val="FF0000"/>
                      <w:szCs w:val="21"/>
                      <w:lang w:val="en-US" w:eastAsia="zh-CN"/>
                    </w:rPr>
                    <w:t>0.0007</w:t>
                  </w:r>
                </w:p>
              </w:tc>
              <w:tc>
                <w:tcPr>
                  <w:tcW w:w="214" w:type="pct"/>
                  <w:vMerge w:val="continue"/>
                  <w:noWrap/>
                  <w:vAlign w:val="center"/>
                </w:tcPr>
                <w:p w14:paraId="14788D7E">
                  <w:pPr>
                    <w:adjustRightInd w:val="0"/>
                    <w:snapToGrid w:val="0"/>
                    <w:jc w:val="center"/>
                    <w:rPr>
                      <w:color w:val="auto"/>
                      <w:szCs w:val="21"/>
                    </w:rPr>
                  </w:pPr>
                </w:p>
              </w:tc>
            </w:tr>
          </w:tbl>
          <w:p w14:paraId="6A03C74E">
            <w:pPr>
              <w:pStyle w:val="52"/>
              <w:rPr>
                <w:color w:val="auto"/>
              </w:rPr>
            </w:pPr>
          </w:p>
          <w:p w14:paraId="20618604">
            <w:pPr>
              <w:pStyle w:val="52"/>
              <w:rPr>
                <w:color w:val="auto"/>
              </w:rPr>
            </w:pPr>
            <w:r>
              <w:rPr>
                <w:rFonts w:hint="eastAsia"/>
                <w:color w:val="auto"/>
              </w:rPr>
              <w:t>表4</w:t>
            </w:r>
            <w:r>
              <w:rPr>
                <w:color w:val="auto"/>
              </w:rPr>
              <w:t>-</w:t>
            </w:r>
            <w:r>
              <w:rPr>
                <w:rFonts w:hint="eastAsia"/>
                <w:color w:val="auto"/>
              </w:rPr>
              <w:t>3</w:t>
            </w:r>
            <w:r>
              <w:rPr>
                <w:color w:val="auto"/>
              </w:rPr>
              <w:t xml:space="preserve">  </w:t>
            </w:r>
            <w:r>
              <w:rPr>
                <w:rFonts w:hint="eastAsia"/>
                <w:color w:val="auto"/>
              </w:rPr>
              <w:t>废气排放口基本情况</w:t>
            </w:r>
          </w:p>
          <w:tbl>
            <w:tblPr>
              <w:tblStyle w:val="2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8"/>
              <w:gridCol w:w="2085"/>
              <w:gridCol w:w="1399"/>
              <w:gridCol w:w="2314"/>
              <w:gridCol w:w="4340"/>
              <w:gridCol w:w="1853"/>
              <w:gridCol w:w="2068"/>
              <w:gridCol w:w="1247"/>
              <w:gridCol w:w="1146"/>
              <w:gridCol w:w="1146"/>
              <w:gridCol w:w="1208"/>
            </w:tblGrid>
            <w:tr w14:paraId="4A02C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65" w:hRule="atLeast"/>
                <w:jc w:val="center"/>
              </w:trPr>
              <w:tc>
                <w:tcPr>
                  <w:tcW w:w="329" w:type="pct"/>
                  <w:vMerge w:val="restart"/>
                  <w:tcBorders>
                    <w:top w:val="single" w:color="auto" w:sz="4" w:space="0"/>
                    <w:left w:val="single" w:color="auto" w:sz="4" w:space="0"/>
                    <w:right w:val="single" w:color="auto" w:sz="4" w:space="0"/>
                  </w:tcBorders>
                  <w:shd w:val="clear" w:color="auto" w:fill="auto"/>
                  <w:vAlign w:val="center"/>
                </w:tcPr>
                <w:p w14:paraId="585F1CF2">
                  <w:pPr>
                    <w:widowControl/>
                    <w:autoSpaceDE w:val="0"/>
                    <w:jc w:val="center"/>
                    <w:rPr>
                      <w:b/>
                      <w:bCs/>
                      <w:color w:val="auto"/>
                      <w:szCs w:val="21"/>
                    </w:rPr>
                  </w:pPr>
                  <w:r>
                    <w:rPr>
                      <w:b/>
                      <w:bCs/>
                      <w:color w:val="auto"/>
                      <w:szCs w:val="21"/>
                    </w:rPr>
                    <w:t>编号</w:t>
                  </w:r>
                </w:p>
              </w:tc>
              <w:tc>
                <w:tcPr>
                  <w:tcW w:w="517" w:type="pct"/>
                  <w:vMerge w:val="restart"/>
                  <w:tcBorders>
                    <w:top w:val="single" w:color="auto" w:sz="4" w:space="0"/>
                    <w:left w:val="nil"/>
                    <w:right w:val="single" w:color="auto" w:sz="4" w:space="0"/>
                  </w:tcBorders>
                  <w:shd w:val="clear" w:color="auto" w:fill="auto"/>
                  <w:vAlign w:val="center"/>
                </w:tcPr>
                <w:p w14:paraId="53E6536B">
                  <w:pPr>
                    <w:widowControl/>
                    <w:autoSpaceDE w:val="0"/>
                    <w:jc w:val="center"/>
                    <w:rPr>
                      <w:b/>
                      <w:bCs/>
                      <w:color w:val="auto"/>
                      <w:szCs w:val="21"/>
                    </w:rPr>
                  </w:pPr>
                  <w:r>
                    <w:rPr>
                      <w:b/>
                      <w:bCs/>
                      <w:color w:val="auto"/>
                      <w:szCs w:val="21"/>
                    </w:rPr>
                    <w:t>名称</w:t>
                  </w:r>
                </w:p>
              </w:tc>
              <w:tc>
                <w:tcPr>
                  <w:tcW w:w="347" w:type="pct"/>
                  <w:vMerge w:val="restart"/>
                  <w:tcBorders>
                    <w:top w:val="single" w:color="auto" w:sz="4" w:space="0"/>
                    <w:left w:val="nil"/>
                    <w:right w:val="single" w:color="auto" w:sz="4" w:space="0"/>
                  </w:tcBorders>
                  <w:shd w:val="clear" w:color="auto" w:fill="auto"/>
                  <w:vAlign w:val="center"/>
                </w:tcPr>
                <w:p w14:paraId="461B121A">
                  <w:pPr>
                    <w:widowControl/>
                    <w:autoSpaceDE w:val="0"/>
                    <w:jc w:val="center"/>
                    <w:rPr>
                      <w:b/>
                      <w:bCs/>
                      <w:color w:val="auto"/>
                      <w:szCs w:val="21"/>
                    </w:rPr>
                  </w:pPr>
                  <w:r>
                    <w:rPr>
                      <w:rFonts w:hint="eastAsia"/>
                      <w:b/>
                      <w:bCs/>
                      <w:color w:val="auto"/>
                      <w:szCs w:val="21"/>
                    </w:rPr>
                    <w:t>污染物</w:t>
                  </w:r>
                </w:p>
              </w:tc>
              <w:tc>
                <w:tcPr>
                  <w:tcW w:w="574" w:type="pct"/>
                  <w:vMerge w:val="restart"/>
                  <w:tcBorders>
                    <w:top w:val="single" w:color="auto" w:sz="4" w:space="0"/>
                    <w:left w:val="nil"/>
                    <w:right w:val="single" w:color="auto" w:sz="4" w:space="0"/>
                  </w:tcBorders>
                  <w:shd w:val="clear" w:color="auto" w:fill="auto"/>
                  <w:vAlign w:val="center"/>
                </w:tcPr>
                <w:p w14:paraId="17924E4F">
                  <w:pPr>
                    <w:widowControl/>
                    <w:autoSpaceDE w:val="0"/>
                    <w:jc w:val="center"/>
                    <w:rPr>
                      <w:b/>
                      <w:bCs/>
                      <w:color w:val="auto"/>
                      <w:szCs w:val="21"/>
                    </w:rPr>
                  </w:pPr>
                  <w:r>
                    <w:rPr>
                      <w:b/>
                      <w:bCs/>
                      <w:color w:val="auto"/>
                      <w:szCs w:val="21"/>
                    </w:rPr>
                    <w:t>地理坐标</w:t>
                  </w:r>
                </w:p>
              </w:tc>
              <w:tc>
                <w:tcPr>
                  <w:tcW w:w="2051" w:type="pct"/>
                  <w:gridSpan w:val="3"/>
                  <w:tcBorders>
                    <w:top w:val="single" w:color="auto" w:sz="4" w:space="0"/>
                    <w:left w:val="nil"/>
                    <w:bottom w:val="single" w:color="auto" w:sz="4" w:space="0"/>
                    <w:right w:val="single" w:color="auto" w:sz="4" w:space="0"/>
                  </w:tcBorders>
                  <w:shd w:val="clear" w:color="auto" w:fill="auto"/>
                  <w:vAlign w:val="center"/>
                </w:tcPr>
                <w:p w14:paraId="62D2DE86">
                  <w:pPr>
                    <w:widowControl/>
                    <w:autoSpaceDE w:val="0"/>
                    <w:jc w:val="center"/>
                    <w:rPr>
                      <w:b/>
                      <w:bCs/>
                      <w:color w:val="auto"/>
                      <w:szCs w:val="21"/>
                    </w:rPr>
                  </w:pPr>
                  <w:r>
                    <w:rPr>
                      <w:rFonts w:hint="eastAsia"/>
                      <w:b/>
                      <w:bCs/>
                      <w:color w:val="auto"/>
                      <w:szCs w:val="21"/>
                    </w:rPr>
                    <w:t>排放标准</w:t>
                  </w:r>
                </w:p>
              </w:tc>
              <w:tc>
                <w:tcPr>
                  <w:tcW w:w="309" w:type="pct"/>
                  <w:vMerge w:val="restart"/>
                  <w:tcBorders>
                    <w:top w:val="single" w:color="auto" w:sz="4" w:space="0"/>
                    <w:left w:val="nil"/>
                    <w:right w:val="single" w:color="auto" w:sz="4" w:space="0"/>
                  </w:tcBorders>
                  <w:shd w:val="clear" w:color="auto" w:fill="auto"/>
                  <w:vAlign w:val="center"/>
                </w:tcPr>
                <w:p w14:paraId="4EAFB2DD">
                  <w:pPr>
                    <w:widowControl/>
                    <w:autoSpaceDE w:val="0"/>
                    <w:jc w:val="center"/>
                    <w:rPr>
                      <w:b/>
                      <w:bCs/>
                      <w:color w:val="auto"/>
                      <w:szCs w:val="21"/>
                    </w:rPr>
                  </w:pPr>
                  <w:r>
                    <w:rPr>
                      <w:b/>
                      <w:bCs/>
                      <w:color w:val="auto"/>
                      <w:szCs w:val="21"/>
                    </w:rPr>
                    <w:t>高度(m)</w:t>
                  </w:r>
                </w:p>
              </w:tc>
              <w:tc>
                <w:tcPr>
                  <w:tcW w:w="284" w:type="pct"/>
                  <w:vMerge w:val="restart"/>
                  <w:tcBorders>
                    <w:top w:val="single" w:color="auto" w:sz="4" w:space="0"/>
                    <w:left w:val="nil"/>
                    <w:right w:val="single" w:color="auto" w:sz="4" w:space="0"/>
                  </w:tcBorders>
                  <w:shd w:val="clear" w:color="auto" w:fill="auto"/>
                  <w:vAlign w:val="center"/>
                </w:tcPr>
                <w:p w14:paraId="456DAF9C">
                  <w:pPr>
                    <w:widowControl/>
                    <w:autoSpaceDE w:val="0"/>
                    <w:jc w:val="center"/>
                    <w:rPr>
                      <w:b/>
                      <w:bCs/>
                      <w:color w:val="auto"/>
                      <w:szCs w:val="21"/>
                    </w:rPr>
                  </w:pPr>
                  <w:r>
                    <w:rPr>
                      <w:b/>
                      <w:bCs/>
                      <w:color w:val="auto"/>
                      <w:szCs w:val="21"/>
                    </w:rPr>
                    <w:t>内径(m)</w:t>
                  </w:r>
                </w:p>
              </w:tc>
              <w:tc>
                <w:tcPr>
                  <w:tcW w:w="284" w:type="pct"/>
                  <w:vMerge w:val="restart"/>
                  <w:tcBorders>
                    <w:top w:val="single" w:color="auto" w:sz="4" w:space="0"/>
                    <w:left w:val="nil"/>
                    <w:right w:val="single" w:color="auto" w:sz="4" w:space="0"/>
                  </w:tcBorders>
                  <w:shd w:val="clear" w:color="auto" w:fill="auto"/>
                  <w:vAlign w:val="center"/>
                </w:tcPr>
                <w:p w14:paraId="1BF6E005">
                  <w:pPr>
                    <w:widowControl/>
                    <w:autoSpaceDE w:val="0"/>
                    <w:jc w:val="center"/>
                    <w:rPr>
                      <w:b/>
                      <w:bCs/>
                      <w:color w:val="auto"/>
                      <w:szCs w:val="21"/>
                    </w:rPr>
                  </w:pPr>
                  <w:r>
                    <w:rPr>
                      <w:b/>
                      <w:bCs/>
                      <w:color w:val="auto"/>
                      <w:szCs w:val="21"/>
                    </w:rPr>
                    <w:t>温度(℃)</w:t>
                  </w:r>
                </w:p>
              </w:tc>
              <w:tc>
                <w:tcPr>
                  <w:tcW w:w="299" w:type="pct"/>
                  <w:vMerge w:val="restart"/>
                  <w:tcBorders>
                    <w:top w:val="single" w:color="auto" w:sz="4" w:space="0"/>
                    <w:left w:val="nil"/>
                    <w:right w:val="single" w:color="auto" w:sz="4" w:space="0"/>
                  </w:tcBorders>
                  <w:shd w:val="clear" w:color="auto" w:fill="auto"/>
                  <w:vAlign w:val="center"/>
                </w:tcPr>
                <w:p w14:paraId="68FCEC51">
                  <w:pPr>
                    <w:widowControl/>
                    <w:autoSpaceDE w:val="0"/>
                    <w:jc w:val="center"/>
                    <w:rPr>
                      <w:b/>
                      <w:bCs/>
                      <w:color w:val="auto"/>
                      <w:szCs w:val="21"/>
                    </w:rPr>
                  </w:pPr>
                  <w:r>
                    <w:rPr>
                      <w:b/>
                      <w:bCs/>
                      <w:color w:val="auto"/>
                      <w:szCs w:val="21"/>
                    </w:rPr>
                    <w:t>类型</w:t>
                  </w:r>
                </w:p>
              </w:tc>
            </w:tr>
            <w:tr w14:paraId="10BCB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jc w:val="center"/>
              </w:trPr>
              <w:tc>
                <w:tcPr>
                  <w:tcW w:w="329" w:type="pct"/>
                  <w:vMerge w:val="continue"/>
                  <w:tcBorders>
                    <w:left w:val="single" w:color="auto" w:sz="4" w:space="0"/>
                    <w:bottom w:val="single" w:color="auto" w:sz="4" w:space="0"/>
                    <w:right w:val="single" w:color="auto" w:sz="4" w:space="0"/>
                  </w:tcBorders>
                  <w:shd w:val="clear" w:color="auto" w:fill="auto"/>
                  <w:vAlign w:val="center"/>
                </w:tcPr>
                <w:p w14:paraId="6827F93D">
                  <w:pPr>
                    <w:widowControl/>
                    <w:autoSpaceDE w:val="0"/>
                    <w:jc w:val="center"/>
                    <w:rPr>
                      <w:color w:val="auto"/>
                    </w:rPr>
                  </w:pPr>
                </w:p>
              </w:tc>
              <w:tc>
                <w:tcPr>
                  <w:tcW w:w="517" w:type="pct"/>
                  <w:vMerge w:val="continue"/>
                  <w:tcBorders>
                    <w:left w:val="nil"/>
                    <w:bottom w:val="single" w:color="auto" w:sz="4" w:space="0"/>
                    <w:right w:val="single" w:color="auto" w:sz="4" w:space="0"/>
                  </w:tcBorders>
                  <w:shd w:val="clear" w:color="auto" w:fill="auto"/>
                  <w:vAlign w:val="center"/>
                </w:tcPr>
                <w:p w14:paraId="609197CA">
                  <w:pPr>
                    <w:widowControl/>
                    <w:autoSpaceDE w:val="0"/>
                    <w:jc w:val="center"/>
                    <w:rPr>
                      <w:color w:val="auto"/>
                    </w:rPr>
                  </w:pPr>
                </w:p>
              </w:tc>
              <w:tc>
                <w:tcPr>
                  <w:tcW w:w="347" w:type="pct"/>
                  <w:vMerge w:val="continue"/>
                  <w:tcBorders>
                    <w:left w:val="nil"/>
                    <w:bottom w:val="single" w:color="auto" w:sz="4" w:space="0"/>
                    <w:right w:val="single" w:color="auto" w:sz="4" w:space="0"/>
                  </w:tcBorders>
                  <w:shd w:val="clear" w:color="auto" w:fill="auto"/>
                  <w:vAlign w:val="center"/>
                </w:tcPr>
                <w:p w14:paraId="4C78F92C">
                  <w:pPr>
                    <w:widowControl/>
                    <w:autoSpaceDE w:val="0"/>
                    <w:jc w:val="center"/>
                    <w:rPr>
                      <w:color w:val="auto"/>
                    </w:rPr>
                  </w:pPr>
                </w:p>
              </w:tc>
              <w:tc>
                <w:tcPr>
                  <w:tcW w:w="574" w:type="pct"/>
                  <w:vMerge w:val="continue"/>
                  <w:tcBorders>
                    <w:left w:val="nil"/>
                    <w:bottom w:val="single" w:color="auto" w:sz="4" w:space="0"/>
                    <w:right w:val="single" w:color="auto" w:sz="4" w:space="0"/>
                  </w:tcBorders>
                  <w:shd w:val="clear" w:color="auto" w:fill="auto"/>
                  <w:vAlign w:val="center"/>
                </w:tcPr>
                <w:p w14:paraId="57FBF030">
                  <w:pPr>
                    <w:widowControl/>
                    <w:autoSpaceDE w:val="0"/>
                    <w:jc w:val="center"/>
                    <w:rPr>
                      <w:color w:val="auto"/>
                    </w:rPr>
                  </w:pPr>
                </w:p>
              </w:tc>
              <w:tc>
                <w:tcPr>
                  <w:tcW w:w="1077" w:type="pct"/>
                  <w:tcBorders>
                    <w:top w:val="single" w:color="auto" w:sz="4" w:space="0"/>
                    <w:left w:val="nil"/>
                    <w:bottom w:val="single" w:color="auto" w:sz="4" w:space="0"/>
                    <w:right w:val="single" w:color="auto" w:sz="4" w:space="0"/>
                  </w:tcBorders>
                  <w:shd w:val="clear" w:color="auto" w:fill="auto"/>
                  <w:vAlign w:val="center"/>
                </w:tcPr>
                <w:p w14:paraId="773A4E28">
                  <w:pPr>
                    <w:widowControl/>
                    <w:autoSpaceDE w:val="0"/>
                    <w:jc w:val="center"/>
                    <w:rPr>
                      <w:b/>
                      <w:bCs/>
                      <w:color w:val="auto"/>
                      <w:szCs w:val="21"/>
                    </w:rPr>
                  </w:pPr>
                  <w:r>
                    <w:rPr>
                      <w:rFonts w:hint="eastAsia"/>
                      <w:b/>
                      <w:bCs/>
                      <w:color w:val="auto"/>
                      <w:szCs w:val="21"/>
                    </w:rPr>
                    <w:t>标准名称</w:t>
                  </w:r>
                </w:p>
              </w:tc>
              <w:tc>
                <w:tcPr>
                  <w:tcW w:w="460" w:type="pct"/>
                  <w:tcBorders>
                    <w:top w:val="single" w:color="auto" w:sz="4" w:space="0"/>
                    <w:left w:val="nil"/>
                    <w:bottom w:val="single" w:color="auto" w:sz="4" w:space="0"/>
                    <w:right w:val="single" w:color="auto" w:sz="4" w:space="0"/>
                  </w:tcBorders>
                  <w:shd w:val="clear" w:color="auto" w:fill="auto"/>
                  <w:vAlign w:val="center"/>
                </w:tcPr>
                <w:p w14:paraId="12D543E1">
                  <w:pPr>
                    <w:widowControl/>
                    <w:autoSpaceDE w:val="0"/>
                    <w:jc w:val="center"/>
                    <w:rPr>
                      <w:b/>
                      <w:bCs/>
                      <w:color w:val="auto"/>
                      <w:szCs w:val="21"/>
                    </w:rPr>
                  </w:pPr>
                  <w:r>
                    <w:rPr>
                      <w:rFonts w:hint="eastAsia"/>
                      <w:b/>
                      <w:bCs/>
                      <w:color w:val="auto"/>
                      <w:szCs w:val="21"/>
                    </w:rPr>
                    <w:t>最高允许排放浓度（mg/m</w:t>
                  </w:r>
                  <w:r>
                    <w:rPr>
                      <w:rFonts w:hint="eastAsia"/>
                      <w:b/>
                      <w:bCs/>
                      <w:color w:val="auto"/>
                      <w:szCs w:val="21"/>
                      <w:vertAlign w:val="superscript"/>
                    </w:rPr>
                    <w:t>3</w:t>
                  </w:r>
                  <w:r>
                    <w:rPr>
                      <w:rFonts w:hint="eastAsia"/>
                      <w:b/>
                      <w:bCs/>
                      <w:color w:val="auto"/>
                      <w:szCs w:val="21"/>
                    </w:rPr>
                    <w:t>）</w:t>
                  </w:r>
                </w:p>
              </w:tc>
              <w:tc>
                <w:tcPr>
                  <w:tcW w:w="513" w:type="pct"/>
                  <w:tcBorders>
                    <w:top w:val="single" w:color="auto" w:sz="4" w:space="0"/>
                    <w:left w:val="nil"/>
                    <w:bottom w:val="single" w:color="auto" w:sz="4" w:space="0"/>
                    <w:right w:val="single" w:color="auto" w:sz="4" w:space="0"/>
                  </w:tcBorders>
                  <w:shd w:val="clear" w:color="auto" w:fill="auto"/>
                  <w:vAlign w:val="center"/>
                </w:tcPr>
                <w:p w14:paraId="1A99BF38">
                  <w:pPr>
                    <w:widowControl/>
                    <w:autoSpaceDE w:val="0"/>
                    <w:jc w:val="center"/>
                    <w:rPr>
                      <w:b/>
                      <w:bCs/>
                      <w:color w:val="auto"/>
                      <w:szCs w:val="21"/>
                    </w:rPr>
                  </w:pPr>
                  <w:r>
                    <w:rPr>
                      <w:rFonts w:hint="eastAsia"/>
                      <w:b/>
                      <w:bCs/>
                      <w:color w:val="auto"/>
                      <w:szCs w:val="21"/>
                    </w:rPr>
                    <w:t>最高允许排放速率（kg/h）</w:t>
                  </w:r>
                </w:p>
              </w:tc>
              <w:tc>
                <w:tcPr>
                  <w:tcW w:w="309" w:type="pct"/>
                  <w:vMerge w:val="continue"/>
                  <w:tcBorders>
                    <w:left w:val="nil"/>
                    <w:bottom w:val="single" w:color="auto" w:sz="4" w:space="0"/>
                    <w:right w:val="single" w:color="auto" w:sz="4" w:space="0"/>
                  </w:tcBorders>
                  <w:shd w:val="clear" w:color="auto" w:fill="auto"/>
                  <w:vAlign w:val="center"/>
                </w:tcPr>
                <w:p w14:paraId="17498ED4">
                  <w:pPr>
                    <w:widowControl/>
                    <w:autoSpaceDE w:val="0"/>
                    <w:jc w:val="center"/>
                    <w:rPr>
                      <w:color w:val="auto"/>
                      <w:szCs w:val="21"/>
                    </w:rPr>
                  </w:pPr>
                </w:p>
              </w:tc>
              <w:tc>
                <w:tcPr>
                  <w:tcW w:w="284" w:type="pct"/>
                  <w:vMerge w:val="continue"/>
                  <w:tcBorders>
                    <w:left w:val="nil"/>
                    <w:bottom w:val="single" w:color="auto" w:sz="4" w:space="0"/>
                    <w:right w:val="single" w:color="auto" w:sz="4" w:space="0"/>
                  </w:tcBorders>
                  <w:shd w:val="clear" w:color="auto" w:fill="auto"/>
                  <w:vAlign w:val="center"/>
                </w:tcPr>
                <w:p w14:paraId="7BF9196D">
                  <w:pPr>
                    <w:widowControl/>
                    <w:autoSpaceDE w:val="0"/>
                    <w:jc w:val="center"/>
                    <w:rPr>
                      <w:color w:val="auto"/>
                      <w:szCs w:val="21"/>
                    </w:rPr>
                  </w:pPr>
                </w:p>
              </w:tc>
              <w:tc>
                <w:tcPr>
                  <w:tcW w:w="284" w:type="pct"/>
                  <w:vMerge w:val="continue"/>
                  <w:tcBorders>
                    <w:left w:val="nil"/>
                    <w:bottom w:val="single" w:color="auto" w:sz="4" w:space="0"/>
                    <w:right w:val="single" w:color="auto" w:sz="4" w:space="0"/>
                  </w:tcBorders>
                  <w:shd w:val="clear" w:color="auto" w:fill="auto"/>
                  <w:vAlign w:val="center"/>
                </w:tcPr>
                <w:p w14:paraId="1E517691">
                  <w:pPr>
                    <w:widowControl/>
                    <w:autoSpaceDE w:val="0"/>
                    <w:jc w:val="center"/>
                    <w:rPr>
                      <w:color w:val="auto"/>
                      <w:szCs w:val="21"/>
                    </w:rPr>
                  </w:pPr>
                </w:p>
              </w:tc>
              <w:tc>
                <w:tcPr>
                  <w:tcW w:w="299" w:type="pct"/>
                  <w:vMerge w:val="continue"/>
                  <w:tcBorders>
                    <w:left w:val="nil"/>
                    <w:bottom w:val="single" w:color="auto" w:sz="4" w:space="0"/>
                    <w:right w:val="single" w:color="auto" w:sz="4" w:space="0"/>
                  </w:tcBorders>
                  <w:shd w:val="clear" w:color="auto" w:fill="auto"/>
                  <w:vAlign w:val="center"/>
                </w:tcPr>
                <w:p w14:paraId="363E57D7">
                  <w:pPr>
                    <w:widowControl/>
                    <w:autoSpaceDE w:val="0"/>
                    <w:jc w:val="center"/>
                    <w:rPr>
                      <w:color w:val="auto"/>
                      <w:szCs w:val="21"/>
                    </w:rPr>
                  </w:pPr>
                </w:p>
              </w:tc>
            </w:tr>
            <w:tr w14:paraId="690AA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9" w:type="pct"/>
                  <w:vMerge w:val="restart"/>
                  <w:tcBorders>
                    <w:top w:val="single" w:color="auto" w:sz="4" w:space="0"/>
                    <w:left w:val="single" w:color="auto" w:sz="4" w:space="0"/>
                    <w:right w:val="single" w:color="auto" w:sz="4" w:space="0"/>
                  </w:tcBorders>
                  <w:shd w:val="clear" w:color="auto" w:fill="auto"/>
                  <w:vAlign w:val="center"/>
                </w:tcPr>
                <w:p w14:paraId="31F8A971">
                  <w:pPr>
                    <w:widowControl/>
                    <w:autoSpaceDE w:val="0"/>
                    <w:jc w:val="center"/>
                    <w:rPr>
                      <w:color w:val="auto"/>
                      <w:szCs w:val="21"/>
                    </w:rPr>
                  </w:pPr>
                  <w:r>
                    <w:rPr>
                      <w:color w:val="auto"/>
                      <w:szCs w:val="21"/>
                    </w:rPr>
                    <w:t>DA001</w:t>
                  </w:r>
                </w:p>
              </w:tc>
              <w:tc>
                <w:tcPr>
                  <w:tcW w:w="517" w:type="pct"/>
                  <w:vMerge w:val="restart"/>
                  <w:tcBorders>
                    <w:top w:val="single" w:color="auto" w:sz="4" w:space="0"/>
                    <w:left w:val="nil"/>
                    <w:right w:val="single" w:color="auto" w:sz="4" w:space="0"/>
                  </w:tcBorders>
                  <w:shd w:val="clear" w:color="auto" w:fill="auto"/>
                  <w:vAlign w:val="center"/>
                </w:tcPr>
                <w:p w14:paraId="2B890FFF">
                  <w:pPr>
                    <w:widowControl/>
                    <w:jc w:val="center"/>
                    <w:rPr>
                      <w:rFonts w:hint="default" w:eastAsia="宋体"/>
                      <w:color w:val="auto"/>
                      <w:szCs w:val="21"/>
                      <w:lang w:val="en-US" w:eastAsia="zh-CN"/>
                    </w:rPr>
                  </w:pPr>
                  <w:r>
                    <w:rPr>
                      <w:rFonts w:hint="eastAsia" w:eastAsia="宋体"/>
                      <w:color w:val="auto"/>
                      <w:szCs w:val="21"/>
                      <w:lang w:val="en-US" w:eastAsia="zh-CN"/>
                    </w:rPr>
                    <w:t>废气总排口</w:t>
                  </w:r>
                </w:p>
              </w:tc>
              <w:tc>
                <w:tcPr>
                  <w:tcW w:w="347" w:type="pct"/>
                  <w:tcBorders>
                    <w:top w:val="single" w:color="auto" w:sz="4" w:space="0"/>
                    <w:left w:val="nil"/>
                    <w:bottom w:val="single" w:color="auto" w:sz="4" w:space="0"/>
                    <w:right w:val="single" w:color="auto" w:sz="4" w:space="0"/>
                  </w:tcBorders>
                  <w:shd w:val="clear" w:color="auto" w:fill="auto"/>
                  <w:vAlign w:val="center"/>
                </w:tcPr>
                <w:p w14:paraId="4437691A">
                  <w:pPr>
                    <w:widowControl/>
                    <w:jc w:val="center"/>
                    <w:rPr>
                      <w:color w:val="auto"/>
                      <w:szCs w:val="21"/>
                    </w:rPr>
                  </w:pPr>
                  <w:r>
                    <w:rPr>
                      <w:rFonts w:hint="eastAsia"/>
                      <w:color w:val="auto"/>
                      <w:szCs w:val="21"/>
                    </w:rPr>
                    <w:t>非甲烷总烃</w:t>
                  </w:r>
                </w:p>
              </w:tc>
              <w:tc>
                <w:tcPr>
                  <w:tcW w:w="574" w:type="pct"/>
                  <w:vMerge w:val="restart"/>
                  <w:tcBorders>
                    <w:top w:val="single" w:color="auto" w:sz="4" w:space="0"/>
                    <w:left w:val="nil"/>
                    <w:right w:val="single" w:color="auto" w:sz="4" w:space="0"/>
                  </w:tcBorders>
                  <w:shd w:val="clear" w:color="auto" w:fill="auto"/>
                  <w:vAlign w:val="center"/>
                </w:tcPr>
                <w:p w14:paraId="1CC7DE84">
                  <w:pPr>
                    <w:widowControl/>
                    <w:autoSpaceDE w:val="0"/>
                    <w:jc w:val="center"/>
                    <w:rPr>
                      <w:color w:val="auto"/>
                      <w:sz w:val="18"/>
                      <w:szCs w:val="18"/>
                    </w:rPr>
                  </w:pPr>
                  <w:r>
                    <w:rPr>
                      <w:color w:val="auto"/>
                      <w:sz w:val="18"/>
                      <w:szCs w:val="18"/>
                    </w:rPr>
                    <w:t>经度：117°3</w:t>
                  </w:r>
                  <w:r>
                    <w:rPr>
                      <w:rFonts w:hint="eastAsia"/>
                      <w:color w:val="auto"/>
                      <w:sz w:val="18"/>
                      <w:szCs w:val="18"/>
                      <w:lang w:val="en-US" w:eastAsia="zh-CN"/>
                    </w:rPr>
                    <w:t>8</w:t>
                  </w:r>
                  <w:r>
                    <w:rPr>
                      <w:color w:val="auto"/>
                      <w:sz w:val="18"/>
                      <w:szCs w:val="18"/>
                    </w:rPr>
                    <w:t>′</w:t>
                  </w:r>
                  <w:r>
                    <w:rPr>
                      <w:rFonts w:hint="eastAsia"/>
                      <w:color w:val="auto"/>
                      <w:sz w:val="18"/>
                      <w:szCs w:val="18"/>
                      <w:lang w:val="en-US" w:eastAsia="zh-CN"/>
                    </w:rPr>
                    <w:t>57.438</w:t>
                  </w:r>
                  <w:r>
                    <w:rPr>
                      <w:color w:val="auto"/>
                      <w:sz w:val="18"/>
                      <w:szCs w:val="18"/>
                    </w:rPr>
                    <w:t>″</w:t>
                  </w:r>
                </w:p>
                <w:p w14:paraId="3AB04026">
                  <w:pPr>
                    <w:widowControl/>
                    <w:autoSpaceDE w:val="0"/>
                    <w:jc w:val="center"/>
                    <w:rPr>
                      <w:color w:val="auto"/>
                      <w:szCs w:val="21"/>
                    </w:rPr>
                  </w:pPr>
                  <w:r>
                    <w:rPr>
                      <w:color w:val="auto"/>
                      <w:sz w:val="18"/>
                      <w:szCs w:val="18"/>
                    </w:rPr>
                    <w:t>纬度：3</w:t>
                  </w:r>
                  <w:r>
                    <w:rPr>
                      <w:rFonts w:hint="eastAsia"/>
                      <w:color w:val="auto"/>
                      <w:sz w:val="18"/>
                      <w:szCs w:val="18"/>
                    </w:rPr>
                    <w:t>0</w:t>
                  </w:r>
                  <w:r>
                    <w:rPr>
                      <w:color w:val="auto"/>
                      <w:sz w:val="18"/>
                      <w:szCs w:val="18"/>
                    </w:rPr>
                    <w:t>°4</w:t>
                  </w:r>
                  <w:r>
                    <w:rPr>
                      <w:rFonts w:hint="eastAsia"/>
                      <w:color w:val="auto"/>
                      <w:sz w:val="18"/>
                      <w:szCs w:val="18"/>
                      <w:lang w:val="en-US" w:eastAsia="zh-CN"/>
                    </w:rPr>
                    <w:t>4</w:t>
                  </w:r>
                  <w:r>
                    <w:rPr>
                      <w:color w:val="auto"/>
                      <w:sz w:val="18"/>
                      <w:szCs w:val="18"/>
                    </w:rPr>
                    <w:t>′</w:t>
                  </w:r>
                  <w:r>
                    <w:rPr>
                      <w:rFonts w:hint="eastAsia"/>
                      <w:color w:val="auto"/>
                      <w:sz w:val="18"/>
                      <w:szCs w:val="18"/>
                      <w:lang w:val="en-US" w:eastAsia="zh-CN"/>
                    </w:rPr>
                    <w:t>43.362</w:t>
                  </w:r>
                  <w:r>
                    <w:rPr>
                      <w:color w:val="auto"/>
                      <w:sz w:val="18"/>
                      <w:szCs w:val="18"/>
                    </w:rPr>
                    <w:t>″</w:t>
                  </w:r>
                </w:p>
              </w:tc>
              <w:tc>
                <w:tcPr>
                  <w:tcW w:w="1077" w:type="pct"/>
                  <w:tcBorders>
                    <w:top w:val="single" w:color="auto" w:sz="4" w:space="0"/>
                    <w:left w:val="nil"/>
                    <w:bottom w:val="single" w:color="auto" w:sz="4" w:space="0"/>
                    <w:right w:val="single" w:color="auto" w:sz="4" w:space="0"/>
                  </w:tcBorders>
                  <w:shd w:val="clear" w:color="auto" w:fill="auto"/>
                  <w:vAlign w:val="center"/>
                </w:tcPr>
                <w:p w14:paraId="1699D59D">
                  <w:pPr>
                    <w:widowControl/>
                    <w:autoSpaceDE w:val="0"/>
                    <w:jc w:val="center"/>
                    <w:rPr>
                      <w:color w:val="auto"/>
                      <w:sz w:val="18"/>
                      <w:szCs w:val="18"/>
                    </w:rPr>
                  </w:pPr>
                  <w:r>
                    <w:rPr>
                      <w:rFonts w:hint="eastAsia"/>
                      <w:color w:val="auto"/>
                      <w:szCs w:val="21"/>
                    </w:rPr>
                    <w:t>《固定源挥发性有机物综合排放标准第5部分：电子工业》（DB34/4812.5-2024）</w:t>
                  </w:r>
                </w:p>
              </w:tc>
              <w:tc>
                <w:tcPr>
                  <w:tcW w:w="460" w:type="pct"/>
                  <w:tcBorders>
                    <w:top w:val="single" w:color="auto" w:sz="4" w:space="0"/>
                    <w:left w:val="nil"/>
                    <w:bottom w:val="single" w:color="auto" w:sz="4" w:space="0"/>
                    <w:right w:val="single" w:color="auto" w:sz="4" w:space="0"/>
                  </w:tcBorders>
                  <w:shd w:val="clear" w:color="auto" w:fill="auto"/>
                  <w:vAlign w:val="center"/>
                </w:tcPr>
                <w:p w14:paraId="26A4996A">
                  <w:pPr>
                    <w:widowControl/>
                    <w:autoSpaceDE w:val="0"/>
                    <w:jc w:val="center"/>
                    <w:rPr>
                      <w:rFonts w:hint="default" w:eastAsia="宋体"/>
                      <w:color w:val="auto"/>
                      <w:sz w:val="18"/>
                      <w:szCs w:val="18"/>
                      <w:lang w:val="en-US" w:eastAsia="zh-CN"/>
                    </w:rPr>
                  </w:pPr>
                  <w:r>
                    <w:rPr>
                      <w:rFonts w:hint="eastAsia"/>
                      <w:color w:val="auto"/>
                      <w:sz w:val="18"/>
                      <w:szCs w:val="18"/>
                      <w:lang w:val="en-US" w:eastAsia="zh-CN"/>
                    </w:rPr>
                    <w:t>50</w:t>
                  </w:r>
                </w:p>
              </w:tc>
              <w:tc>
                <w:tcPr>
                  <w:tcW w:w="513" w:type="pct"/>
                  <w:tcBorders>
                    <w:top w:val="single" w:color="auto" w:sz="4" w:space="0"/>
                    <w:left w:val="nil"/>
                    <w:bottom w:val="single" w:color="auto" w:sz="4" w:space="0"/>
                    <w:right w:val="single" w:color="auto" w:sz="4" w:space="0"/>
                  </w:tcBorders>
                  <w:shd w:val="clear" w:color="auto" w:fill="auto"/>
                  <w:vAlign w:val="center"/>
                </w:tcPr>
                <w:p w14:paraId="139E45E3">
                  <w:pPr>
                    <w:widowControl/>
                    <w:autoSpaceDE w:val="0"/>
                    <w:jc w:val="center"/>
                    <w:rPr>
                      <w:color w:val="auto"/>
                      <w:sz w:val="18"/>
                      <w:szCs w:val="18"/>
                    </w:rPr>
                  </w:pPr>
                  <w:r>
                    <w:rPr>
                      <w:rFonts w:hint="eastAsia"/>
                      <w:color w:val="auto"/>
                      <w:sz w:val="18"/>
                      <w:szCs w:val="18"/>
                      <w:lang w:val="en-US" w:eastAsia="zh-CN"/>
                    </w:rPr>
                    <w:t>5</w:t>
                  </w:r>
                  <w:r>
                    <w:rPr>
                      <w:rFonts w:hint="eastAsia"/>
                      <w:color w:val="auto"/>
                      <w:sz w:val="18"/>
                      <w:szCs w:val="18"/>
                    </w:rPr>
                    <w:t>.0</w:t>
                  </w:r>
                </w:p>
              </w:tc>
              <w:tc>
                <w:tcPr>
                  <w:tcW w:w="309" w:type="pct"/>
                  <w:vMerge w:val="restart"/>
                  <w:tcBorders>
                    <w:top w:val="single" w:color="auto" w:sz="4" w:space="0"/>
                    <w:left w:val="nil"/>
                    <w:right w:val="single" w:color="auto" w:sz="4" w:space="0"/>
                  </w:tcBorders>
                  <w:shd w:val="clear" w:color="auto" w:fill="auto"/>
                  <w:vAlign w:val="center"/>
                </w:tcPr>
                <w:p w14:paraId="39EBC8CB">
                  <w:pPr>
                    <w:widowControl/>
                    <w:autoSpaceDE w:val="0"/>
                    <w:jc w:val="center"/>
                    <w:rPr>
                      <w:rFonts w:hint="default" w:eastAsia="宋体"/>
                      <w:color w:val="auto"/>
                      <w:szCs w:val="21"/>
                      <w:lang w:val="en-US" w:eastAsia="zh-CN"/>
                    </w:rPr>
                  </w:pPr>
                  <w:r>
                    <w:rPr>
                      <w:rFonts w:hint="eastAsia"/>
                      <w:color w:val="auto"/>
                      <w:szCs w:val="21"/>
                      <w:lang w:val="en-US" w:eastAsia="zh-CN"/>
                    </w:rPr>
                    <w:t>25</w:t>
                  </w:r>
                </w:p>
              </w:tc>
              <w:tc>
                <w:tcPr>
                  <w:tcW w:w="284" w:type="pct"/>
                  <w:vMerge w:val="restart"/>
                  <w:tcBorders>
                    <w:top w:val="single" w:color="auto" w:sz="4" w:space="0"/>
                    <w:left w:val="nil"/>
                    <w:right w:val="single" w:color="auto" w:sz="4" w:space="0"/>
                  </w:tcBorders>
                  <w:shd w:val="clear" w:color="auto" w:fill="auto"/>
                  <w:vAlign w:val="center"/>
                </w:tcPr>
                <w:p w14:paraId="2582D77C">
                  <w:pPr>
                    <w:widowControl/>
                    <w:autoSpaceDE w:val="0"/>
                    <w:jc w:val="center"/>
                    <w:rPr>
                      <w:color w:val="auto"/>
                      <w:szCs w:val="21"/>
                    </w:rPr>
                  </w:pPr>
                  <w:r>
                    <w:rPr>
                      <w:rFonts w:hint="eastAsia"/>
                      <w:color w:val="auto"/>
                      <w:szCs w:val="21"/>
                    </w:rPr>
                    <w:t>0</w:t>
                  </w:r>
                  <w:r>
                    <w:rPr>
                      <w:color w:val="auto"/>
                      <w:szCs w:val="21"/>
                    </w:rPr>
                    <w:t>.</w:t>
                  </w:r>
                  <w:r>
                    <w:rPr>
                      <w:rFonts w:hint="eastAsia"/>
                      <w:color w:val="auto"/>
                      <w:szCs w:val="21"/>
                    </w:rPr>
                    <w:t>3</w:t>
                  </w:r>
                </w:p>
              </w:tc>
              <w:tc>
                <w:tcPr>
                  <w:tcW w:w="284" w:type="pct"/>
                  <w:vMerge w:val="restart"/>
                  <w:tcBorders>
                    <w:top w:val="single" w:color="auto" w:sz="4" w:space="0"/>
                    <w:left w:val="nil"/>
                    <w:right w:val="single" w:color="auto" w:sz="4" w:space="0"/>
                  </w:tcBorders>
                  <w:shd w:val="clear" w:color="auto" w:fill="auto"/>
                  <w:vAlign w:val="center"/>
                </w:tcPr>
                <w:p w14:paraId="27916B51">
                  <w:pPr>
                    <w:widowControl/>
                    <w:autoSpaceDE w:val="0"/>
                    <w:jc w:val="center"/>
                    <w:rPr>
                      <w:color w:val="auto"/>
                      <w:szCs w:val="21"/>
                    </w:rPr>
                  </w:pPr>
                  <w:r>
                    <w:rPr>
                      <w:rFonts w:hint="eastAsia"/>
                      <w:color w:val="auto"/>
                      <w:szCs w:val="21"/>
                      <w:lang w:val="en-US" w:eastAsia="zh-CN"/>
                    </w:rPr>
                    <w:t>3</w:t>
                  </w:r>
                  <w:r>
                    <w:rPr>
                      <w:rFonts w:hint="eastAsia"/>
                      <w:color w:val="auto"/>
                      <w:szCs w:val="21"/>
                    </w:rPr>
                    <w:t>5</w:t>
                  </w:r>
                </w:p>
              </w:tc>
              <w:tc>
                <w:tcPr>
                  <w:tcW w:w="299" w:type="pct"/>
                  <w:vMerge w:val="restart"/>
                  <w:tcBorders>
                    <w:top w:val="nil"/>
                    <w:left w:val="nil"/>
                    <w:right w:val="single" w:color="auto" w:sz="4" w:space="0"/>
                  </w:tcBorders>
                  <w:shd w:val="clear" w:color="auto" w:fill="auto"/>
                  <w:vAlign w:val="center"/>
                </w:tcPr>
                <w:p w14:paraId="10CECFE8">
                  <w:pPr>
                    <w:widowControl/>
                    <w:autoSpaceDE w:val="0"/>
                    <w:jc w:val="center"/>
                    <w:rPr>
                      <w:color w:val="auto"/>
                      <w:szCs w:val="21"/>
                    </w:rPr>
                  </w:pPr>
                  <w:r>
                    <w:rPr>
                      <w:color w:val="auto"/>
                      <w:szCs w:val="21"/>
                    </w:rPr>
                    <w:t>一般排放口</w:t>
                  </w:r>
                </w:p>
              </w:tc>
            </w:tr>
            <w:tr w14:paraId="1DBA3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9" w:type="pct"/>
                  <w:vMerge w:val="continue"/>
                  <w:tcBorders>
                    <w:left w:val="single" w:color="auto" w:sz="4" w:space="0"/>
                    <w:right w:val="single" w:color="auto" w:sz="4" w:space="0"/>
                  </w:tcBorders>
                  <w:shd w:val="clear" w:color="auto" w:fill="auto"/>
                  <w:vAlign w:val="center"/>
                </w:tcPr>
                <w:p w14:paraId="0E0A721A">
                  <w:pPr>
                    <w:widowControl/>
                    <w:autoSpaceDE w:val="0"/>
                    <w:jc w:val="center"/>
                    <w:rPr>
                      <w:color w:val="auto"/>
                      <w:szCs w:val="21"/>
                    </w:rPr>
                  </w:pPr>
                </w:p>
              </w:tc>
              <w:tc>
                <w:tcPr>
                  <w:tcW w:w="517" w:type="pct"/>
                  <w:vMerge w:val="continue"/>
                  <w:tcBorders>
                    <w:left w:val="nil"/>
                    <w:right w:val="single" w:color="auto" w:sz="4" w:space="0"/>
                  </w:tcBorders>
                  <w:shd w:val="clear" w:color="auto" w:fill="auto"/>
                  <w:vAlign w:val="center"/>
                </w:tcPr>
                <w:p w14:paraId="1AD87860">
                  <w:pPr>
                    <w:widowControl/>
                    <w:jc w:val="center"/>
                    <w:rPr>
                      <w:rFonts w:hint="eastAsia" w:eastAsia="宋体"/>
                      <w:color w:val="auto"/>
                      <w:szCs w:val="21"/>
                      <w:lang w:val="en-US" w:eastAsia="zh-CN"/>
                    </w:rPr>
                  </w:pPr>
                </w:p>
              </w:tc>
              <w:tc>
                <w:tcPr>
                  <w:tcW w:w="347" w:type="pct"/>
                  <w:tcBorders>
                    <w:top w:val="single" w:color="auto" w:sz="4" w:space="0"/>
                    <w:left w:val="nil"/>
                    <w:bottom w:val="single" w:color="auto" w:sz="4" w:space="0"/>
                    <w:right w:val="single" w:color="auto" w:sz="4" w:space="0"/>
                  </w:tcBorders>
                  <w:shd w:val="clear" w:color="auto" w:fill="auto"/>
                  <w:vAlign w:val="center"/>
                </w:tcPr>
                <w:p w14:paraId="40F7AB50">
                  <w:pPr>
                    <w:widowControl/>
                    <w:jc w:val="center"/>
                    <w:rPr>
                      <w:rFonts w:hint="eastAsia" w:eastAsia="宋体"/>
                      <w:color w:val="auto"/>
                      <w:szCs w:val="21"/>
                      <w:lang w:val="en-US" w:eastAsia="zh-CN"/>
                    </w:rPr>
                  </w:pPr>
                  <w:r>
                    <w:rPr>
                      <w:rFonts w:hint="eastAsia"/>
                      <w:color w:val="auto"/>
                      <w:szCs w:val="21"/>
                      <w:lang w:val="en-US" w:eastAsia="zh-CN"/>
                    </w:rPr>
                    <w:t>颗粒物</w:t>
                  </w:r>
                </w:p>
              </w:tc>
              <w:tc>
                <w:tcPr>
                  <w:tcW w:w="574" w:type="pct"/>
                  <w:vMerge w:val="continue"/>
                  <w:tcBorders>
                    <w:left w:val="nil"/>
                    <w:right w:val="single" w:color="auto" w:sz="4" w:space="0"/>
                  </w:tcBorders>
                  <w:shd w:val="clear" w:color="auto" w:fill="auto"/>
                  <w:vAlign w:val="center"/>
                </w:tcPr>
                <w:p w14:paraId="56091B10">
                  <w:pPr>
                    <w:widowControl/>
                    <w:autoSpaceDE w:val="0"/>
                    <w:jc w:val="center"/>
                    <w:rPr>
                      <w:color w:val="auto"/>
                      <w:sz w:val="18"/>
                      <w:szCs w:val="18"/>
                    </w:rPr>
                  </w:pPr>
                </w:p>
              </w:tc>
              <w:tc>
                <w:tcPr>
                  <w:tcW w:w="1077" w:type="pct"/>
                  <w:vMerge w:val="restart"/>
                  <w:tcBorders>
                    <w:top w:val="single" w:color="auto" w:sz="4" w:space="0"/>
                    <w:left w:val="nil"/>
                    <w:right w:val="single" w:color="auto" w:sz="4" w:space="0"/>
                  </w:tcBorders>
                  <w:shd w:val="clear" w:color="auto" w:fill="auto"/>
                  <w:vAlign w:val="center"/>
                </w:tcPr>
                <w:p w14:paraId="648648A9">
                  <w:pPr>
                    <w:widowControl/>
                    <w:autoSpaceDE w:val="0"/>
                    <w:jc w:val="center"/>
                    <w:rPr>
                      <w:color w:val="auto"/>
                      <w:sz w:val="18"/>
                      <w:szCs w:val="18"/>
                    </w:rPr>
                  </w:pPr>
                  <w:r>
                    <w:rPr>
                      <w:rFonts w:hint="eastAsia"/>
                      <w:color w:val="auto"/>
                      <w:szCs w:val="21"/>
                    </w:rPr>
                    <w:t>《大气污染物综合排放标准》（GB16297-1996）</w:t>
                  </w:r>
                </w:p>
              </w:tc>
              <w:tc>
                <w:tcPr>
                  <w:tcW w:w="460" w:type="pct"/>
                  <w:tcBorders>
                    <w:top w:val="single" w:color="auto" w:sz="4" w:space="0"/>
                    <w:left w:val="nil"/>
                    <w:bottom w:val="single" w:color="auto" w:sz="4" w:space="0"/>
                    <w:right w:val="single" w:color="auto" w:sz="4" w:space="0"/>
                  </w:tcBorders>
                  <w:shd w:val="clear" w:color="auto" w:fill="auto"/>
                  <w:vAlign w:val="center"/>
                </w:tcPr>
                <w:p w14:paraId="6353D278">
                  <w:pPr>
                    <w:widowControl/>
                    <w:autoSpaceDE w:val="0"/>
                    <w:jc w:val="center"/>
                    <w:rPr>
                      <w:rFonts w:hint="default" w:eastAsia="宋体"/>
                      <w:color w:val="auto"/>
                      <w:sz w:val="18"/>
                      <w:szCs w:val="18"/>
                      <w:lang w:val="en-US" w:eastAsia="zh-CN"/>
                    </w:rPr>
                  </w:pPr>
                  <w:r>
                    <w:rPr>
                      <w:rFonts w:hint="eastAsia"/>
                      <w:color w:val="auto"/>
                      <w:sz w:val="18"/>
                      <w:szCs w:val="18"/>
                      <w:lang w:val="en-US" w:eastAsia="zh-CN"/>
                    </w:rPr>
                    <w:t>120</w:t>
                  </w:r>
                </w:p>
              </w:tc>
              <w:tc>
                <w:tcPr>
                  <w:tcW w:w="513" w:type="pct"/>
                  <w:tcBorders>
                    <w:top w:val="single" w:color="auto" w:sz="4" w:space="0"/>
                    <w:left w:val="nil"/>
                    <w:bottom w:val="single" w:color="auto" w:sz="4" w:space="0"/>
                    <w:right w:val="single" w:color="auto" w:sz="4" w:space="0"/>
                  </w:tcBorders>
                  <w:shd w:val="clear" w:color="auto" w:fill="auto"/>
                  <w:vAlign w:val="center"/>
                </w:tcPr>
                <w:p w14:paraId="055767E3">
                  <w:pPr>
                    <w:widowControl/>
                    <w:autoSpaceDE w:val="0"/>
                    <w:jc w:val="center"/>
                    <w:rPr>
                      <w:rFonts w:hint="default" w:eastAsia="宋体"/>
                      <w:color w:val="auto"/>
                      <w:sz w:val="18"/>
                      <w:szCs w:val="18"/>
                      <w:lang w:val="en-US" w:eastAsia="zh-CN"/>
                    </w:rPr>
                  </w:pPr>
                  <w:r>
                    <w:rPr>
                      <w:rFonts w:hint="eastAsia"/>
                      <w:color w:val="auto"/>
                      <w:sz w:val="18"/>
                      <w:szCs w:val="18"/>
                      <w:lang w:val="en-US" w:eastAsia="zh-CN"/>
                    </w:rPr>
                    <w:t>7.225</w:t>
                  </w:r>
                </w:p>
              </w:tc>
              <w:tc>
                <w:tcPr>
                  <w:tcW w:w="309" w:type="pct"/>
                  <w:vMerge w:val="continue"/>
                  <w:tcBorders>
                    <w:left w:val="nil"/>
                    <w:right w:val="single" w:color="auto" w:sz="4" w:space="0"/>
                  </w:tcBorders>
                  <w:shd w:val="clear" w:color="auto" w:fill="auto"/>
                  <w:vAlign w:val="center"/>
                </w:tcPr>
                <w:p w14:paraId="793DB90E">
                  <w:pPr>
                    <w:widowControl/>
                    <w:autoSpaceDE w:val="0"/>
                    <w:jc w:val="center"/>
                    <w:rPr>
                      <w:rFonts w:hint="eastAsia"/>
                      <w:color w:val="auto"/>
                      <w:szCs w:val="21"/>
                    </w:rPr>
                  </w:pPr>
                </w:p>
              </w:tc>
              <w:tc>
                <w:tcPr>
                  <w:tcW w:w="284" w:type="pct"/>
                  <w:vMerge w:val="continue"/>
                  <w:tcBorders>
                    <w:left w:val="nil"/>
                    <w:right w:val="single" w:color="auto" w:sz="4" w:space="0"/>
                  </w:tcBorders>
                  <w:shd w:val="clear" w:color="auto" w:fill="auto"/>
                  <w:vAlign w:val="center"/>
                </w:tcPr>
                <w:p w14:paraId="5552038B">
                  <w:pPr>
                    <w:widowControl/>
                    <w:autoSpaceDE w:val="0"/>
                    <w:jc w:val="center"/>
                    <w:rPr>
                      <w:rFonts w:hint="eastAsia"/>
                      <w:color w:val="auto"/>
                      <w:szCs w:val="21"/>
                    </w:rPr>
                  </w:pPr>
                </w:p>
              </w:tc>
              <w:tc>
                <w:tcPr>
                  <w:tcW w:w="284" w:type="pct"/>
                  <w:vMerge w:val="continue"/>
                  <w:tcBorders>
                    <w:left w:val="nil"/>
                    <w:right w:val="single" w:color="auto" w:sz="4" w:space="0"/>
                  </w:tcBorders>
                  <w:shd w:val="clear" w:color="auto" w:fill="auto"/>
                  <w:vAlign w:val="center"/>
                </w:tcPr>
                <w:p w14:paraId="52B82282">
                  <w:pPr>
                    <w:widowControl/>
                    <w:autoSpaceDE w:val="0"/>
                    <w:jc w:val="center"/>
                    <w:rPr>
                      <w:color w:val="auto"/>
                      <w:szCs w:val="21"/>
                    </w:rPr>
                  </w:pPr>
                </w:p>
              </w:tc>
              <w:tc>
                <w:tcPr>
                  <w:tcW w:w="299" w:type="pct"/>
                  <w:vMerge w:val="continue"/>
                  <w:tcBorders>
                    <w:left w:val="nil"/>
                    <w:right w:val="single" w:color="auto" w:sz="4" w:space="0"/>
                  </w:tcBorders>
                  <w:shd w:val="clear" w:color="auto" w:fill="auto"/>
                  <w:vAlign w:val="center"/>
                </w:tcPr>
                <w:p w14:paraId="2BC4B42A">
                  <w:pPr>
                    <w:widowControl/>
                    <w:autoSpaceDE w:val="0"/>
                    <w:jc w:val="center"/>
                    <w:rPr>
                      <w:color w:val="auto"/>
                      <w:szCs w:val="21"/>
                    </w:rPr>
                  </w:pPr>
                </w:p>
              </w:tc>
            </w:tr>
            <w:tr w14:paraId="61C17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329" w:type="pct"/>
                  <w:vMerge w:val="continue"/>
                  <w:tcBorders>
                    <w:left w:val="single" w:color="auto" w:sz="4" w:space="0"/>
                    <w:bottom w:val="single" w:color="auto" w:sz="4" w:space="0"/>
                    <w:right w:val="single" w:color="auto" w:sz="4" w:space="0"/>
                  </w:tcBorders>
                  <w:shd w:val="clear" w:color="auto" w:fill="auto"/>
                  <w:vAlign w:val="center"/>
                </w:tcPr>
                <w:p w14:paraId="4A332E85">
                  <w:pPr>
                    <w:widowControl/>
                    <w:autoSpaceDE w:val="0"/>
                    <w:jc w:val="center"/>
                    <w:rPr>
                      <w:color w:val="auto"/>
                      <w:szCs w:val="21"/>
                    </w:rPr>
                  </w:pPr>
                </w:p>
              </w:tc>
              <w:tc>
                <w:tcPr>
                  <w:tcW w:w="517" w:type="pct"/>
                  <w:vMerge w:val="continue"/>
                  <w:tcBorders>
                    <w:left w:val="nil"/>
                    <w:bottom w:val="single" w:color="auto" w:sz="4" w:space="0"/>
                    <w:right w:val="single" w:color="auto" w:sz="4" w:space="0"/>
                  </w:tcBorders>
                  <w:shd w:val="clear" w:color="auto" w:fill="auto"/>
                  <w:vAlign w:val="center"/>
                </w:tcPr>
                <w:p w14:paraId="6228F778">
                  <w:pPr>
                    <w:widowControl/>
                    <w:jc w:val="center"/>
                    <w:rPr>
                      <w:color w:val="auto"/>
                      <w:szCs w:val="21"/>
                    </w:rPr>
                  </w:pPr>
                </w:p>
              </w:tc>
              <w:tc>
                <w:tcPr>
                  <w:tcW w:w="347" w:type="pct"/>
                  <w:tcBorders>
                    <w:top w:val="single" w:color="auto" w:sz="4" w:space="0"/>
                    <w:left w:val="nil"/>
                    <w:bottom w:val="single" w:color="auto" w:sz="4" w:space="0"/>
                    <w:right w:val="single" w:color="auto" w:sz="4" w:space="0"/>
                  </w:tcBorders>
                  <w:shd w:val="clear" w:color="auto" w:fill="auto"/>
                  <w:vAlign w:val="center"/>
                </w:tcPr>
                <w:p w14:paraId="58AAAE54">
                  <w:pPr>
                    <w:widowControl/>
                    <w:jc w:val="center"/>
                    <w:rPr>
                      <w:color w:val="auto"/>
                      <w:szCs w:val="21"/>
                    </w:rPr>
                  </w:pPr>
                  <w:r>
                    <w:rPr>
                      <w:rFonts w:hint="eastAsia"/>
                      <w:color w:val="auto"/>
                      <w:szCs w:val="21"/>
                    </w:rPr>
                    <w:t>锡及其化合物</w:t>
                  </w:r>
                </w:p>
              </w:tc>
              <w:tc>
                <w:tcPr>
                  <w:tcW w:w="574" w:type="pct"/>
                  <w:vMerge w:val="continue"/>
                  <w:tcBorders>
                    <w:left w:val="nil"/>
                    <w:bottom w:val="single" w:color="auto" w:sz="4" w:space="0"/>
                    <w:right w:val="single" w:color="auto" w:sz="4" w:space="0"/>
                  </w:tcBorders>
                  <w:shd w:val="clear" w:color="auto" w:fill="auto"/>
                  <w:vAlign w:val="center"/>
                </w:tcPr>
                <w:p w14:paraId="26EEB066">
                  <w:pPr>
                    <w:widowControl/>
                    <w:autoSpaceDE w:val="0"/>
                    <w:jc w:val="center"/>
                    <w:rPr>
                      <w:color w:val="auto"/>
                      <w:sz w:val="18"/>
                      <w:szCs w:val="18"/>
                    </w:rPr>
                  </w:pPr>
                </w:p>
              </w:tc>
              <w:tc>
                <w:tcPr>
                  <w:tcW w:w="1077" w:type="pct"/>
                  <w:vMerge w:val="continue"/>
                  <w:tcBorders>
                    <w:left w:val="nil"/>
                    <w:bottom w:val="single" w:color="auto" w:sz="4" w:space="0"/>
                    <w:right w:val="single" w:color="auto" w:sz="4" w:space="0"/>
                  </w:tcBorders>
                  <w:shd w:val="clear" w:color="auto" w:fill="auto"/>
                  <w:vAlign w:val="center"/>
                </w:tcPr>
                <w:p w14:paraId="2DF1F167">
                  <w:pPr>
                    <w:widowControl/>
                    <w:autoSpaceDE w:val="0"/>
                    <w:jc w:val="center"/>
                    <w:rPr>
                      <w:color w:val="auto"/>
                      <w:sz w:val="18"/>
                      <w:szCs w:val="18"/>
                    </w:rPr>
                  </w:pPr>
                </w:p>
              </w:tc>
              <w:tc>
                <w:tcPr>
                  <w:tcW w:w="460" w:type="pct"/>
                  <w:tcBorders>
                    <w:top w:val="single" w:color="auto" w:sz="4" w:space="0"/>
                    <w:left w:val="nil"/>
                    <w:bottom w:val="single" w:color="auto" w:sz="4" w:space="0"/>
                    <w:right w:val="single" w:color="auto" w:sz="4" w:space="0"/>
                  </w:tcBorders>
                  <w:shd w:val="clear" w:color="auto" w:fill="auto"/>
                  <w:vAlign w:val="center"/>
                </w:tcPr>
                <w:p w14:paraId="35C6C6AC">
                  <w:pPr>
                    <w:widowControl/>
                    <w:autoSpaceDE w:val="0"/>
                    <w:jc w:val="center"/>
                    <w:rPr>
                      <w:color w:val="auto"/>
                      <w:sz w:val="18"/>
                      <w:szCs w:val="18"/>
                    </w:rPr>
                  </w:pPr>
                  <w:r>
                    <w:rPr>
                      <w:rFonts w:hint="eastAsia"/>
                      <w:color w:val="auto"/>
                      <w:sz w:val="18"/>
                      <w:szCs w:val="18"/>
                    </w:rPr>
                    <w:t>8.5</w:t>
                  </w:r>
                </w:p>
              </w:tc>
              <w:tc>
                <w:tcPr>
                  <w:tcW w:w="513" w:type="pct"/>
                  <w:tcBorders>
                    <w:top w:val="single" w:color="auto" w:sz="4" w:space="0"/>
                    <w:left w:val="nil"/>
                    <w:bottom w:val="single" w:color="auto" w:sz="4" w:space="0"/>
                    <w:right w:val="single" w:color="auto" w:sz="4" w:space="0"/>
                  </w:tcBorders>
                  <w:shd w:val="clear" w:color="auto" w:fill="auto"/>
                  <w:vAlign w:val="center"/>
                </w:tcPr>
                <w:p w14:paraId="25C08E8D">
                  <w:pPr>
                    <w:widowControl/>
                    <w:autoSpaceDE w:val="0"/>
                    <w:jc w:val="center"/>
                    <w:rPr>
                      <w:rFonts w:hint="default" w:eastAsia="宋体"/>
                      <w:color w:val="auto"/>
                      <w:sz w:val="18"/>
                      <w:szCs w:val="18"/>
                      <w:lang w:val="en-US" w:eastAsia="zh-CN"/>
                    </w:rPr>
                  </w:pPr>
                  <w:r>
                    <w:rPr>
                      <w:rFonts w:hint="eastAsia"/>
                      <w:color w:val="auto"/>
                      <w:sz w:val="18"/>
                      <w:szCs w:val="18"/>
                      <w:lang w:val="en-US" w:eastAsia="zh-CN"/>
                    </w:rPr>
                    <w:t>0.58</w:t>
                  </w:r>
                </w:p>
              </w:tc>
              <w:tc>
                <w:tcPr>
                  <w:tcW w:w="309" w:type="pct"/>
                  <w:vMerge w:val="continue"/>
                  <w:tcBorders>
                    <w:left w:val="nil"/>
                    <w:bottom w:val="single" w:color="auto" w:sz="4" w:space="0"/>
                    <w:right w:val="single" w:color="auto" w:sz="4" w:space="0"/>
                  </w:tcBorders>
                  <w:shd w:val="clear" w:color="auto" w:fill="auto"/>
                  <w:vAlign w:val="center"/>
                </w:tcPr>
                <w:p w14:paraId="6729776F">
                  <w:pPr>
                    <w:widowControl/>
                    <w:autoSpaceDE w:val="0"/>
                    <w:jc w:val="center"/>
                    <w:rPr>
                      <w:color w:val="auto"/>
                      <w:szCs w:val="21"/>
                    </w:rPr>
                  </w:pPr>
                </w:p>
              </w:tc>
              <w:tc>
                <w:tcPr>
                  <w:tcW w:w="284" w:type="pct"/>
                  <w:vMerge w:val="continue"/>
                  <w:tcBorders>
                    <w:left w:val="nil"/>
                    <w:bottom w:val="single" w:color="auto" w:sz="4" w:space="0"/>
                    <w:right w:val="single" w:color="auto" w:sz="4" w:space="0"/>
                  </w:tcBorders>
                  <w:shd w:val="clear" w:color="auto" w:fill="auto"/>
                  <w:vAlign w:val="center"/>
                </w:tcPr>
                <w:p w14:paraId="3CD7D0B7">
                  <w:pPr>
                    <w:widowControl/>
                    <w:autoSpaceDE w:val="0"/>
                    <w:jc w:val="center"/>
                    <w:rPr>
                      <w:color w:val="auto"/>
                      <w:szCs w:val="21"/>
                    </w:rPr>
                  </w:pPr>
                </w:p>
              </w:tc>
              <w:tc>
                <w:tcPr>
                  <w:tcW w:w="284" w:type="pct"/>
                  <w:vMerge w:val="continue"/>
                  <w:tcBorders>
                    <w:left w:val="nil"/>
                    <w:bottom w:val="single" w:color="auto" w:sz="4" w:space="0"/>
                    <w:right w:val="single" w:color="auto" w:sz="4" w:space="0"/>
                  </w:tcBorders>
                  <w:shd w:val="clear" w:color="auto" w:fill="auto"/>
                  <w:vAlign w:val="center"/>
                </w:tcPr>
                <w:p w14:paraId="3E6ECBD4">
                  <w:pPr>
                    <w:widowControl/>
                    <w:autoSpaceDE w:val="0"/>
                    <w:jc w:val="center"/>
                    <w:rPr>
                      <w:color w:val="auto"/>
                      <w:szCs w:val="21"/>
                    </w:rPr>
                  </w:pPr>
                </w:p>
              </w:tc>
              <w:tc>
                <w:tcPr>
                  <w:tcW w:w="299" w:type="pct"/>
                  <w:vMerge w:val="continue"/>
                  <w:tcBorders>
                    <w:left w:val="nil"/>
                    <w:right w:val="single" w:color="auto" w:sz="4" w:space="0"/>
                  </w:tcBorders>
                  <w:shd w:val="clear" w:color="auto" w:fill="auto"/>
                  <w:vAlign w:val="center"/>
                </w:tcPr>
                <w:p w14:paraId="3B8E6B91">
                  <w:pPr>
                    <w:widowControl/>
                    <w:autoSpaceDE w:val="0"/>
                    <w:jc w:val="center"/>
                    <w:rPr>
                      <w:color w:val="auto"/>
                      <w:szCs w:val="21"/>
                    </w:rPr>
                  </w:pPr>
                </w:p>
              </w:tc>
            </w:tr>
          </w:tbl>
          <w:p w14:paraId="04325E18">
            <w:pPr>
              <w:pStyle w:val="52"/>
              <w:rPr>
                <w:rFonts w:hint="eastAsia"/>
                <w:color w:val="auto"/>
              </w:rPr>
            </w:pPr>
          </w:p>
          <w:p w14:paraId="34567DFC">
            <w:pPr>
              <w:pStyle w:val="52"/>
              <w:rPr>
                <w:color w:val="auto"/>
              </w:rPr>
            </w:pPr>
            <w:r>
              <w:rPr>
                <w:rFonts w:hint="eastAsia"/>
                <w:color w:val="auto"/>
              </w:rPr>
              <w:t>表4</w:t>
            </w:r>
            <w:r>
              <w:rPr>
                <w:color w:val="auto"/>
              </w:rPr>
              <w:t>-</w:t>
            </w:r>
            <w:r>
              <w:rPr>
                <w:rFonts w:hint="eastAsia"/>
                <w:color w:val="auto"/>
              </w:rPr>
              <w:t>4</w:t>
            </w:r>
            <w:r>
              <w:rPr>
                <w:color w:val="auto"/>
              </w:rPr>
              <w:t xml:space="preserve">  </w:t>
            </w:r>
            <w:r>
              <w:rPr>
                <w:rFonts w:hint="eastAsia"/>
                <w:color w:val="auto"/>
              </w:rPr>
              <w:t>废气监测要求</w:t>
            </w:r>
          </w:p>
          <w:tbl>
            <w:tblPr>
              <w:tblStyle w:val="2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97"/>
              <w:gridCol w:w="2584"/>
              <w:gridCol w:w="3212"/>
              <w:gridCol w:w="2789"/>
              <w:gridCol w:w="8465"/>
            </w:tblGrid>
            <w:tr w14:paraId="1F70A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8" w:type="pct"/>
                  <w:tcBorders>
                    <w:top w:val="single" w:color="auto" w:sz="4" w:space="0"/>
                    <w:left w:val="single" w:color="auto" w:sz="4" w:space="0"/>
                    <w:bottom w:val="single" w:color="auto" w:sz="4" w:space="0"/>
                    <w:right w:val="single" w:color="auto" w:sz="4" w:space="0"/>
                  </w:tcBorders>
                  <w:shd w:val="clear" w:color="auto" w:fill="auto"/>
                  <w:vAlign w:val="center"/>
                </w:tcPr>
                <w:p w14:paraId="752C0004">
                  <w:pPr>
                    <w:widowControl/>
                    <w:autoSpaceDE w:val="0"/>
                    <w:jc w:val="center"/>
                    <w:rPr>
                      <w:color w:val="auto"/>
                      <w:szCs w:val="21"/>
                    </w:rPr>
                  </w:pPr>
                  <w:r>
                    <w:rPr>
                      <w:rFonts w:hint="eastAsia"/>
                      <w:color w:val="auto"/>
                    </w:rPr>
                    <w:t>排气筒编号</w:t>
                  </w:r>
                </w:p>
              </w:tc>
              <w:tc>
                <w:tcPr>
                  <w:tcW w:w="641" w:type="pct"/>
                  <w:tcBorders>
                    <w:top w:val="single" w:color="auto" w:sz="4" w:space="0"/>
                    <w:left w:val="nil"/>
                    <w:bottom w:val="single" w:color="auto" w:sz="4" w:space="0"/>
                    <w:right w:val="single" w:color="auto" w:sz="4" w:space="0"/>
                  </w:tcBorders>
                  <w:shd w:val="clear" w:color="auto" w:fill="auto"/>
                  <w:vAlign w:val="center"/>
                </w:tcPr>
                <w:p w14:paraId="340980A1">
                  <w:pPr>
                    <w:widowControl/>
                    <w:autoSpaceDE w:val="0"/>
                    <w:jc w:val="center"/>
                    <w:rPr>
                      <w:color w:val="auto"/>
                    </w:rPr>
                  </w:pPr>
                  <w:r>
                    <w:rPr>
                      <w:rFonts w:hint="eastAsia"/>
                      <w:color w:val="auto"/>
                    </w:rPr>
                    <w:t>监测点位</w:t>
                  </w:r>
                </w:p>
              </w:tc>
              <w:tc>
                <w:tcPr>
                  <w:tcW w:w="797" w:type="pct"/>
                  <w:tcBorders>
                    <w:top w:val="single" w:color="auto" w:sz="4" w:space="0"/>
                    <w:left w:val="nil"/>
                    <w:bottom w:val="single" w:color="auto" w:sz="4" w:space="0"/>
                    <w:right w:val="single" w:color="auto" w:sz="4" w:space="0"/>
                  </w:tcBorders>
                  <w:shd w:val="clear" w:color="auto" w:fill="auto"/>
                  <w:vAlign w:val="center"/>
                </w:tcPr>
                <w:p w14:paraId="6B987EF8">
                  <w:pPr>
                    <w:widowControl/>
                    <w:autoSpaceDE w:val="0"/>
                    <w:jc w:val="center"/>
                    <w:rPr>
                      <w:color w:val="auto"/>
                    </w:rPr>
                  </w:pPr>
                  <w:r>
                    <w:rPr>
                      <w:rFonts w:hint="eastAsia"/>
                      <w:color w:val="auto"/>
                    </w:rPr>
                    <w:t>监测因子</w:t>
                  </w:r>
                </w:p>
              </w:tc>
              <w:tc>
                <w:tcPr>
                  <w:tcW w:w="692" w:type="pct"/>
                  <w:tcBorders>
                    <w:top w:val="single" w:color="auto" w:sz="4" w:space="0"/>
                    <w:left w:val="nil"/>
                    <w:bottom w:val="single" w:color="auto" w:sz="4" w:space="0"/>
                    <w:right w:val="single" w:color="auto" w:sz="4" w:space="0"/>
                  </w:tcBorders>
                  <w:shd w:val="clear" w:color="auto" w:fill="auto"/>
                  <w:vAlign w:val="center"/>
                </w:tcPr>
                <w:p w14:paraId="544BF22B">
                  <w:pPr>
                    <w:widowControl/>
                    <w:autoSpaceDE w:val="0"/>
                    <w:jc w:val="center"/>
                    <w:rPr>
                      <w:color w:val="auto"/>
                    </w:rPr>
                  </w:pPr>
                  <w:r>
                    <w:rPr>
                      <w:rFonts w:hint="eastAsia"/>
                      <w:color w:val="auto"/>
                    </w:rPr>
                    <w:t>监测频次</w:t>
                  </w:r>
                </w:p>
              </w:tc>
              <w:tc>
                <w:tcPr>
                  <w:tcW w:w="2101" w:type="pct"/>
                  <w:tcBorders>
                    <w:top w:val="single" w:color="auto" w:sz="4" w:space="0"/>
                    <w:left w:val="nil"/>
                    <w:bottom w:val="single" w:color="auto" w:sz="4" w:space="0"/>
                    <w:right w:val="single" w:color="auto" w:sz="4" w:space="0"/>
                  </w:tcBorders>
                  <w:shd w:val="clear" w:color="auto" w:fill="auto"/>
                  <w:vAlign w:val="center"/>
                </w:tcPr>
                <w:p w14:paraId="0096420D">
                  <w:pPr>
                    <w:widowControl/>
                    <w:autoSpaceDE w:val="0"/>
                    <w:jc w:val="center"/>
                    <w:rPr>
                      <w:color w:val="auto"/>
                    </w:rPr>
                  </w:pPr>
                  <w:r>
                    <w:rPr>
                      <w:rFonts w:hint="eastAsia"/>
                      <w:color w:val="auto"/>
                    </w:rPr>
                    <w:t>监测标准</w:t>
                  </w:r>
                </w:p>
              </w:tc>
            </w:tr>
            <w:tr w14:paraId="38634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8" w:type="pct"/>
                  <w:vMerge w:val="restart"/>
                  <w:tcBorders>
                    <w:top w:val="single" w:color="auto" w:sz="4" w:space="0"/>
                    <w:left w:val="single" w:color="auto" w:sz="4" w:space="0"/>
                    <w:right w:val="single" w:color="auto" w:sz="4" w:space="0"/>
                  </w:tcBorders>
                  <w:shd w:val="clear" w:color="auto" w:fill="auto"/>
                  <w:vAlign w:val="center"/>
                </w:tcPr>
                <w:p w14:paraId="407C2228">
                  <w:pPr>
                    <w:widowControl/>
                    <w:autoSpaceDE w:val="0"/>
                    <w:jc w:val="center"/>
                    <w:rPr>
                      <w:color w:val="auto"/>
                    </w:rPr>
                  </w:pPr>
                  <w:r>
                    <w:rPr>
                      <w:rFonts w:hint="eastAsia"/>
                      <w:color w:val="auto"/>
                    </w:rPr>
                    <w:t>D</w:t>
                  </w:r>
                  <w:r>
                    <w:rPr>
                      <w:color w:val="auto"/>
                    </w:rPr>
                    <w:t>A00</w:t>
                  </w:r>
                  <w:r>
                    <w:rPr>
                      <w:rFonts w:hint="eastAsia"/>
                      <w:color w:val="auto"/>
                    </w:rPr>
                    <w:t>1</w:t>
                  </w:r>
                </w:p>
              </w:tc>
              <w:tc>
                <w:tcPr>
                  <w:tcW w:w="641" w:type="pct"/>
                  <w:vMerge w:val="restart"/>
                  <w:tcBorders>
                    <w:left w:val="nil"/>
                    <w:right w:val="single" w:color="auto" w:sz="4" w:space="0"/>
                  </w:tcBorders>
                  <w:shd w:val="clear" w:color="auto" w:fill="auto"/>
                  <w:vAlign w:val="center"/>
                </w:tcPr>
                <w:p w14:paraId="75372478">
                  <w:pPr>
                    <w:widowControl/>
                    <w:jc w:val="center"/>
                    <w:rPr>
                      <w:color w:val="auto"/>
                      <w:szCs w:val="21"/>
                    </w:rPr>
                  </w:pPr>
                  <w:r>
                    <w:rPr>
                      <w:rFonts w:hint="eastAsia"/>
                      <w:color w:val="auto"/>
                      <w:szCs w:val="21"/>
                    </w:rPr>
                    <w:t>排气筒出口</w:t>
                  </w:r>
                </w:p>
              </w:tc>
              <w:tc>
                <w:tcPr>
                  <w:tcW w:w="797" w:type="pct"/>
                  <w:tcBorders>
                    <w:top w:val="single" w:color="auto" w:sz="4" w:space="0"/>
                    <w:left w:val="nil"/>
                    <w:bottom w:val="single" w:color="auto" w:sz="4" w:space="0"/>
                    <w:right w:val="single" w:color="auto" w:sz="4" w:space="0"/>
                  </w:tcBorders>
                  <w:shd w:val="clear" w:color="auto" w:fill="auto"/>
                  <w:vAlign w:val="center"/>
                </w:tcPr>
                <w:p w14:paraId="5F7F0022">
                  <w:pPr>
                    <w:widowControl/>
                    <w:autoSpaceDE w:val="0"/>
                    <w:jc w:val="center"/>
                    <w:rPr>
                      <w:color w:val="auto"/>
                    </w:rPr>
                  </w:pPr>
                  <w:r>
                    <w:rPr>
                      <w:rFonts w:hint="eastAsia"/>
                      <w:color w:val="auto"/>
                    </w:rPr>
                    <w:t>非甲烷总烃</w:t>
                  </w:r>
                </w:p>
              </w:tc>
              <w:tc>
                <w:tcPr>
                  <w:tcW w:w="692" w:type="pct"/>
                  <w:tcBorders>
                    <w:top w:val="single" w:color="auto" w:sz="4" w:space="0"/>
                    <w:left w:val="nil"/>
                    <w:right w:val="single" w:color="auto" w:sz="4" w:space="0"/>
                  </w:tcBorders>
                  <w:shd w:val="clear" w:color="auto" w:fill="auto"/>
                  <w:vAlign w:val="center"/>
                </w:tcPr>
                <w:p w14:paraId="263511F6">
                  <w:pPr>
                    <w:widowControl/>
                    <w:autoSpaceDE w:val="0"/>
                    <w:jc w:val="center"/>
                    <w:rPr>
                      <w:color w:val="auto"/>
                    </w:rPr>
                  </w:pPr>
                  <w:r>
                    <w:rPr>
                      <w:rFonts w:hint="eastAsia"/>
                      <w:color w:val="auto"/>
                    </w:rPr>
                    <w:t>1次/年</w:t>
                  </w:r>
                </w:p>
              </w:tc>
              <w:tc>
                <w:tcPr>
                  <w:tcW w:w="2101" w:type="pct"/>
                  <w:tcBorders>
                    <w:top w:val="single" w:color="auto" w:sz="4" w:space="0"/>
                    <w:left w:val="nil"/>
                    <w:bottom w:val="single" w:color="auto" w:sz="4" w:space="0"/>
                    <w:right w:val="single" w:color="auto" w:sz="4" w:space="0"/>
                  </w:tcBorders>
                  <w:shd w:val="clear" w:color="auto" w:fill="auto"/>
                  <w:vAlign w:val="center"/>
                </w:tcPr>
                <w:p w14:paraId="5CFEDCA3">
                  <w:pPr>
                    <w:widowControl/>
                    <w:autoSpaceDE w:val="0"/>
                    <w:jc w:val="center"/>
                    <w:rPr>
                      <w:color w:val="auto"/>
                    </w:rPr>
                  </w:pPr>
                  <w:r>
                    <w:rPr>
                      <w:rFonts w:hint="eastAsia"/>
                      <w:color w:val="auto"/>
                    </w:rPr>
                    <w:t>《固定源挥发性有机物综合排放标准第5部分：电子工业》（DB34/4812.5-2024）表1中挥发性有机物基本污染物项目排放限值</w:t>
                  </w:r>
                </w:p>
              </w:tc>
            </w:tr>
            <w:tr w14:paraId="6763E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8" w:type="pct"/>
                  <w:vMerge w:val="continue"/>
                  <w:tcBorders>
                    <w:left w:val="single" w:color="auto" w:sz="4" w:space="0"/>
                    <w:right w:val="single" w:color="auto" w:sz="4" w:space="0"/>
                  </w:tcBorders>
                  <w:shd w:val="clear" w:color="auto" w:fill="auto"/>
                  <w:vAlign w:val="center"/>
                </w:tcPr>
                <w:p w14:paraId="4C22786A">
                  <w:pPr>
                    <w:widowControl/>
                    <w:autoSpaceDE w:val="0"/>
                    <w:jc w:val="center"/>
                    <w:rPr>
                      <w:rFonts w:hint="eastAsia"/>
                      <w:color w:val="auto"/>
                    </w:rPr>
                  </w:pPr>
                </w:p>
              </w:tc>
              <w:tc>
                <w:tcPr>
                  <w:tcW w:w="641" w:type="pct"/>
                  <w:vMerge w:val="continue"/>
                  <w:tcBorders>
                    <w:left w:val="nil"/>
                    <w:right w:val="single" w:color="auto" w:sz="4" w:space="0"/>
                  </w:tcBorders>
                  <w:shd w:val="clear" w:color="auto" w:fill="auto"/>
                  <w:vAlign w:val="center"/>
                </w:tcPr>
                <w:p w14:paraId="41AAF8C6">
                  <w:pPr>
                    <w:widowControl/>
                    <w:jc w:val="center"/>
                    <w:rPr>
                      <w:rFonts w:hint="eastAsia"/>
                      <w:color w:val="auto"/>
                      <w:szCs w:val="21"/>
                    </w:rPr>
                  </w:pPr>
                </w:p>
              </w:tc>
              <w:tc>
                <w:tcPr>
                  <w:tcW w:w="797" w:type="pct"/>
                  <w:tcBorders>
                    <w:top w:val="single" w:color="auto" w:sz="4" w:space="0"/>
                    <w:left w:val="nil"/>
                    <w:bottom w:val="single" w:color="auto" w:sz="4" w:space="0"/>
                    <w:right w:val="single" w:color="auto" w:sz="4" w:space="0"/>
                  </w:tcBorders>
                  <w:shd w:val="clear" w:color="auto" w:fill="auto"/>
                  <w:vAlign w:val="center"/>
                </w:tcPr>
                <w:p w14:paraId="69C5B9A5">
                  <w:pPr>
                    <w:widowControl/>
                    <w:autoSpaceDE w:val="0"/>
                    <w:jc w:val="center"/>
                    <w:rPr>
                      <w:rFonts w:hint="eastAsia" w:eastAsia="宋体"/>
                      <w:color w:val="auto"/>
                      <w:lang w:val="en-US" w:eastAsia="zh-CN"/>
                    </w:rPr>
                  </w:pPr>
                  <w:r>
                    <w:rPr>
                      <w:rFonts w:hint="eastAsia"/>
                      <w:color w:val="auto"/>
                      <w:lang w:val="en-US" w:eastAsia="zh-CN"/>
                    </w:rPr>
                    <w:t>颗粒物</w:t>
                  </w:r>
                </w:p>
              </w:tc>
              <w:tc>
                <w:tcPr>
                  <w:tcW w:w="692" w:type="pct"/>
                  <w:tcBorders>
                    <w:top w:val="single" w:color="auto" w:sz="4" w:space="0"/>
                    <w:left w:val="nil"/>
                    <w:right w:val="single" w:color="auto" w:sz="4" w:space="0"/>
                  </w:tcBorders>
                  <w:shd w:val="clear" w:color="auto" w:fill="auto"/>
                  <w:vAlign w:val="center"/>
                </w:tcPr>
                <w:p w14:paraId="72D362EF">
                  <w:pPr>
                    <w:widowControl/>
                    <w:autoSpaceDE w:val="0"/>
                    <w:jc w:val="center"/>
                    <w:rPr>
                      <w:rFonts w:hint="eastAsia"/>
                      <w:color w:val="auto"/>
                    </w:rPr>
                  </w:pPr>
                  <w:r>
                    <w:rPr>
                      <w:rFonts w:hint="eastAsia"/>
                      <w:color w:val="auto"/>
                    </w:rPr>
                    <w:t>1次/年</w:t>
                  </w:r>
                </w:p>
              </w:tc>
              <w:tc>
                <w:tcPr>
                  <w:tcW w:w="2101" w:type="pct"/>
                  <w:vMerge w:val="restart"/>
                  <w:tcBorders>
                    <w:top w:val="single" w:color="auto" w:sz="4" w:space="0"/>
                    <w:left w:val="nil"/>
                    <w:right w:val="single" w:color="auto" w:sz="4" w:space="0"/>
                  </w:tcBorders>
                  <w:shd w:val="clear" w:color="auto" w:fill="auto"/>
                  <w:vAlign w:val="center"/>
                </w:tcPr>
                <w:p w14:paraId="1526BE17">
                  <w:pPr>
                    <w:widowControl/>
                    <w:autoSpaceDE w:val="0"/>
                    <w:jc w:val="center"/>
                    <w:rPr>
                      <w:color w:val="auto"/>
                    </w:rPr>
                  </w:pPr>
                  <w:r>
                    <w:rPr>
                      <w:rFonts w:hint="eastAsia"/>
                      <w:color w:val="auto"/>
                    </w:rPr>
                    <w:t>《大气污染物综合排放标准》（GB16927-1996）中表2新污染源大气污染物排放限值</w:t>
                  </w:r>
                </w:p>
              </w:tc>
            </w:tr>
            <w:tr w14:paraId="1D960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8" w:type="pct"/>
                  <w:vMerge w:val="continue"/>
                  <w:tcBorders>
                    <w:left w:val="single" w:color="auto" w:sz="4" w:space="0"/>
                    <w:bottom w:val="single" w:color="auto" w:sz="4" w:space="0"/>
                    <w:right w:val="single" w:color="auto" w:sz="4" w:space="0"/>
                  </w:tcBorders>
                  <w:shd w:val="clear" w:color="auto" w:fill="auto"/>
                  <w:vAlign w:val="center"/>
                </w:tcPr>
                <w:p w14:paraId="0A8528D4">
                  <w:pPr>
                    <w:widowControl/>
                    <w:autoSpaceDE w:val="0"/>
                    <w:jc w:val="center"/>
                    <w:rPr>
                      <w:color w:val="auto"/>
                    </w:rPr>
                  </w:pPr>
                </w:p>
              </w:tc>
              <w:tc>
                <w:tcPr>
                  <w:tcW w:w="641" w:type="pct"/>
                  <w:vMerge w:val="continue"/>
                  <w:tcBorders>
                    <w:left w:val="nil"/>
                    <w:right w:val="single" w:color="auto" w:sz="4" w:space="0"/>
                  </w:tcBorders>
                  <w:shd w:val="clear" w:color="auto" w:fill="auto"/>
                  <w:vAlign w:val="center"/>
                </w:tcPr>
                <w:p w14:paraId="10047429">
                  <w:pPr>
                    <w:widowControl/>
                    <w:jc w:val="center"/>
                    <w:rPr>
                      <w:color w:val="auto"/>
                      <w:szCs w:val="21"/>
                    </w:rPr>
                  </w:pPr>
                </w:p>
              </w:tc>
              <w:tc>
                <w:tcPr>
                  <w:tcW w:w="797" w:type="pct"/>
                  <w:tcBorders>
                    <w:top w:val="single" w:color="auto" w:sz="4" w:space="0"/>
                    <w:left w:val="nil"/>
                    <w:bottom w:val="single" w:color="auto" w:sz="4" w:space="0"/>
                    <w:right w:val="single" w:color="auto" w:sz="4" w:space="0"/>
                  </w:tcBorders>
                  <w:shd w:val="clear" w:color="auto" w:fill="auto"/>
                  <w:vAlign w:val="center"/>
                </w:tcPr>
                <w:p w14:paraId="15E8F8B4">
                  <w:pPr>
                    <w:widowControl/>
                    <w:autoSpaceDE w:val="0"/>
                    <w:jc w:val="center"/>
                    <w:rPr>
                      <w:color w:val="auto"/>
                    </w:rPr>
                  </w:pPr>
                  <w:r>
                    <w:rPr>
                      <w:rFonts w:hint="eastAsia"/>
                      <w:color w:val="auto"/>
                    </w:rPr>
                    <w:t>锡及其化合物</w:t>
                  </w:r>
                </w:p>
              </w:tc>
              <w:tc>
                <w:tcPr>
                  <w:tcW w:w="692" w:type="pct"/>
                  <w:tcBorders>
                    <w:left w:val="nil"/>
                    <w:bottom w:val="single" w:color="auto" w:sz="4" w:space="0"/>
                    <w:right w:val="single" w:color="auto" w:sz="4" w:space="0"/>
                  </w:tcBorders>
                  <w:shd w:val="clear" w:color="auto" w:fill="auto"/>
                  <w:vAlign w:val="center"/>
                </w:tcPr>
                <w:p w14:paraId="2599C086">
                  <w:pPr>
                    <w:widowControl/>
                    <w:autoSpaceDE w:val="0"/>
                    <w:jc w:val="center"/>
                    <w:rPr>
                      <w:color w:val="auto"/>
                    </w:rPr>
                  </w:pPr>
                  <w:r>
                    <w:rPr>
                      <w:rFonts w:hint="eastAsia"/>
                      <w:color w:val="auto"/>
                    </w:rPr>
                    <w:t>1次/年</w:t>
                  </w:r>
                </w:p>
              </w:tc>
              <w:tc>
                <w:tcPr>
                  <w:tcW w:w="2101" w:type="pct"/>
                  <w:vMerge w:val="continue"/>
                  <w:tcBorders>
                    <w:left w:val="nil"/>
                    <w:bottom w:val="single" w:color="auto" w:sz="4" w:space="0"/>
                    <w:right w:val="single" w:color="auto" w:sz="4" w:space="0"/>
                  </w:tcBorders>
                  <w:shd w:val="clear" w:color="auto" w:fill="auto"/>
                  <w:vAlign w:val="center"/>
                </w:tcPr>
                <w:p w14:paraId="167B91D3">
                  <w:pPr>
                    <w:widowControl/>
                    <w:autoSpaceDE w:val="0"/>
                    <w:jc w:val="center"/>
                    <w:rPr>
                      <w:color w:val="auto"/>
                    </w:rPr>
                  </w:pPr>
                </w:p>
              </w:tc>
            </w:tr>
            <w:tr w14:paraId="1FFCD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8" w:type="pct"/>
                  <w:tcBorders>
                    <w:top w:val="single" w:color="auto" w:sz="4" w:space="0"/>
                    <w:left w:val="single" w:color="auto" w:sz="4" w:space="0"/>
                    <w:bottom w:val="single" w:color="auto" w:sz="4" w:space="0"/>
                    <w:right w:val="single" w:color="auto" w:sz="4" w:space="0"/>
                  </w:tcBorders>
                  <w:shd w:val="clear" w:color="auto" w:fill="auto"/>
                  <w:vAlign w:val="center"/>
                </w:tcPr>
                <w:p w14:paraId="1FAB582E">
                  <w:pPr>
                    <w:widowControl/>
                    <w:autoSpaceDE w:val="0"/>
                    <w:jc w:val="center"/>
                    <w:rPr>
                      <w:color w:val="auto"/>
                    </w:rPr>
                  </w:pPr>
                  <w:r>
                    <w:rPr>
                      <w:rFonts w:hint="eastAsia"/>
                      <w:color w:val="auto"/>
                    </w:rPr>
                    <w:t>/</w:t>
                  </w:r>
                </w:p>
              </w:tc>
              <w:tc>
                <w:tcPr>
                  <w:tcW w:w="641" w:type="pct"/>
                  <w:vMerge w:val="restart"/>
                  <w:tcBorders>
                    <w:top w:val="single" w:color="auto" w:sz="4" w:space="0"/>
                    <w:left w:val="nil"/>
                    <w:right w:val="single" w:color="auto" w:sz="4" w:space="0"/>
                  </w:tcBorders>
                  <w:shd w:val="clear" w:color="auto" w:fill="auto"/>
                  <w:vAlign w:val="center"/>
                </w:tcPr>
                <w:p w14:paraId="0B628E8B">
                  <w:pPr>
                    <w:widowControl/>
                    <w:autoSpaceDE w:val="0"/>
                    <w:jc w:val="center"/>
                    <w:rPr>
                      <w:color w:val="auto"/>
                    </w:rPr>
                  </w:pPr>
                  <w:r>
                    <w:rPr>
                      <w:rFonts w:hint="eastAsia"/>
                      <w:color w:val="auto"/>
                    </w:rPr>
                    <w:t>厂界</w:t>
                  </w:r>
                </w:p>
              </w:tc>
              <w:tc>
                <w:tcPr>
                  <w:tcW w:w="797" w:type="pct"/>
                  <w:tcBorders>
                    <w:top w:val="single" w:color="auto" w:sz="4" w:space="0"/>
                    <w:left w:val="nil"/>
                    <w:bottom w:val="single" w:color="auto" w:sz="4" w:space="0"/>
                    <w:right w:val="single" w:color="auto" w:sz="4" w:space="0"/>
                  </w:tcBorders>
                  <w:shd w:val="clear" w:color="auto" w:fill="auto"/>
                  <w:vAlign w:val="center"/>
                </w:tcPr>
                <w:p w14:paraId="5F0315F4">
                  <w:pPr>
                    <w:widowControl/>
                    <w:autoSpaceDE w:val="0"/>
                    <w:jc w:val="center"/>
                    <w:rPr>
                      <w:color w:val="auto"/>
                    </w:rPr>
                  </w:pPr>
                  <w:r>
                    <w:rPr>
                      <w:rFonts w:hint="eastAsia"/>
                      <w:color w:val="auto"/>
                    </w:rPr>
                    <w:t>非甲烷总烃</w:t>
                  </w:r>
                </w:p>
              </w:tc>
              <w:tc>
                <w:tcPr>
                  <w:tcW w:w="692" w:type="pct"/>
                  <w:tcBorders>
                    <w:top w:val="single" w:color="auto" w:sz="4" w:space="0"/>
                    <w:left w:val="nil"/>
                    <w:bottom w:val="single" w:color="auto" w:sz="4" w:space="0"/>
                    <w:right w:val="single" w:color="auto" w:sz="4" w:space="0"/>
                  </w:tcBorders>
                  <w:shd w:val="clear" w:color="auto" w:fill="auto"/>
                  <w:vAlign w:val="center"/>
                </w:tcPr>
                <w:p w14:paraId="146E18F8">
                  <w:pPr>
                    <w:widowControl/>
                    <w:autoSpaceDE w:val="0"/>
                    <w:jc w:val="center"/>
                    <w:rPr>
                      <w:color w:val="auto"/>
                    </w:rPr>
                  </w:pPr>
                  <w:r>
                    <w:rPr>
                      <w:rFonts w:hint="eastAsia"/>
                      <w:color w:val="auto"/>
                    </w:rPr>
                    <w:t>1</w:t>
                  </w:r>
                  <w:r>
                    <w:rPr>
                      <w:rFonts w:hint="eastAsia" w:ascii="宋体" w:hAnsi="宋体"/>
                      <w:color w:val="auto"/>
                    </w:rPr>
                    <w:t>次</w:t>
                  </w:r>
                  <w:r>
                    <w:rPr>
                      <w:rFonts w:hint="eastAsia"/>
                      <w:color w:val="auto"/>
                    </w:rPr>
                    <w:t>/</w:t>
                  </w:r>
                  <w:r>
                    <w:rPr>
                      <w:rFonts w:hint="eastAsia" w:ascii="宋体" w:hAnsi="宋体"/>
                      <w:color w:val="auto"/>
                    </w:rPr>
                    <w:t>年</w:t>
                  </w:r>
                </w:p>
              </w:tc>
              <w:tc>
                <w:tcPr>
                  <w:tcW w:w="2101" w:type="pct"/>
                  <w:vMerge w:val="restart"/>
                  <w:tcBorders>
                    <w:top w:val="single" w:color="auto" w:sz="4" w:space="0"/>
                    <w:left w:val="nil"/>
                    <w:right w:val="single" w:color="auto" w:sz="4" w:space="0"/>
                  </w:tcBorders>
                  <w:shd w:val="clear" w:color="auto" w:fill="auto"/>
                  <w:vAlign w:val="center"/>
                </w:tcPr>
                <w:p w14:paraId="5EC0A813">
                  <w:pPr>
                    <w:widowControl/>
                    <w:autoSpaceDE w:val="0"/>
                    <w:jc w:val="center"/>
                    <w:rPr>
                      <w:color w:val="auto"/>
                    </w:rPr>
                  </w:pPr>
                  <w:r>
                    <w:rPr>
                      <w:rFonts w:hint="eastAsia"/>
                      <w:color w:val="auto"/>
                    </w:rPr>
                    <w:t>《大气污染物综合排放标准》（GB16297-1996）表2中的无组织排放监控浓度限值</w:t>
                  </w:r>
                </w:p>
              </w:tc>
            </w:tr>
            <w:tr w14:paraId="29658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8" w:type="pct"/>
                  <w:tcBorders>
                    <w:top w:val="single" w:color="auto" w:sz="4" w:space="0"/>
                    <w:left w:val="single" w:color="auto" w:sz="4" w:space="0"/>
                    <w:bottom w:val="single" w:color="auto" w:sz="4" w:space="0"/>
                    <w:right w:val="single" w:color="auto" w:sz="4" w:space="0"/>
                  </w:tcBorders>
                  <w:shd w:val="clear" w:color="auto" w:fill="auto"/>
                  <w:vAlign w:val="center"/>
                </w:tcPr>
                <w:p w14:paraId="3EB3EEB0">
                  <w:pPr>
                    <w:widowControl/>
                    <w:autoSpaceDE w:val="0"/>
                    <w:jc w:val="center"/>
                    <w:rPr>
                      <w:rFonts w:hint="default" w:eastAsia="宋体"/>
                      <w:color w:val="auto"/>
                      <w:lang w:val="en-US" w:eastAsia="zh-CN"/>
                    </w:rPr>
                  </w:pPr>
                  <w:r>
                    <w:rPr>
                      <w:rFonts w:hint="eastAsia"/>
                      <w:color w:val="auto"/>
                      <w:lang w:val="en-US" w:eastAsia="zh-CN"/>
                    </w:rPr>
                    <w:t>/</w:t>
                  </w:r>
                </w:p>
              </w:tc>
              <w:tc>
                <w:tcPr>
                  <w:tcW w:w="641" w:type="pct"/>
                  <w:vMerge w:val="continue"/>
                  <w:tcBorders>
                    <w:left w:val="nil"/>
                    <w:right w:val="single" w:color="auto" w:sz="4" w:space="0"/>
                  </w:tcBorders>
                  <w:shd w:val="clear" w:color="auto" w:fill="auto"/>
                  <w:vAlign w:val="center"/>
                </w:tcPr>
                <w:p w14:paraId="5DAB76C4">
                  <w:pPr>
                    <w:widowControl/>
                    <w:autoSpaceDE w:val="0"/>
                    <w:jc w:val="center"/>
                    <w:rPr>
                      <w:rFonts w:hint="eastAsia"/>
                      <w:color w:val="auto"/>
                    </w:rPr>
                  </w:pPr>
                </w:p>
              </w:tc>
              <w:tc>
                <w:tcPr>
                  <w:tcW w:w="797" w:type="pct"/>
                  <w:tcBorders>
                    <w:top w:val="single" w:color="auto" w:sz="4" w:space="0"/>
                    <w:left w:val="nil"/>
                    <w:bottom w:val="single" w:color="auto" w:sz="4" w:space="0"/>
                    <w:right w:val="single" w:color="auto" w:sz="4" w:space="0"/>
                  </w:tcBorders>
                  <w:shd w:val="clear" w:color="auto" w:fill="auto"/>
                  <w:vAlign w:val="center"/>
                </w:tcPr>
                <w:p w14:paraId="0F84C11B">
                  <w:pPr>
                    <w:widowControl/>
                    <w:autoSpaceDE w:val="0"/>
                    <w:jc w:val="center"/>
                    <w:rPr>
                      <w:rFonts w:hint="eastAsia" w:eastAsia="宋体"/>
                      <w:color w:val="auto"/>
                      <w:lang w:val="en-US" w:eastAsia="zh-CN"/>
                    </w:rPr>
                  </w:pPr>
                  <w:r>
                    <w:rPr>
                      <w:rFonts w:hint="eastAsia"/>
                      <w:color w:val="auto"/>
                      <w:lang w:val="en-US" w:eastAsia="zh-CN"/>
                    </w:rPr>
                    <w:t>颗粒物</w:t>
                  </w:r>
                </w:p>
              </w:tc>
              <w:tc>
                <w:tcPr>
                  <w:tcW w:w="692" w:type="pct"/>
                  <w:tcBorders>
                    <w:top w:val="single" w:color="auto" w:sz="4" w:space="0"/>
                    <w:left w:val="nil"/>
                    <w:bottom w:val="single" w:color="auto" w:sz="4" w:space="0"/>
                    <w:right w:val="single" w:color="auto" w:sz="4" w:space="0"/>
                  </w:tcBorders>
                  <w:shd w:val="clear" w:color="auto" w:fill="auto"/>
                  <w:vAlign w:val="center"/>
                </w:tcPr>
                <w:p w14:paraId="32471914">
                  <w:pPr>
                    <w:widowControl/>
                    <w:autoSpaceDE w:val="0"/>
                    <w:jc w:val="center"/>
                    <w:rPr>
                      <w:rFonts w:hint="eastAsia"/>
                      <w:color w:val="auto"/>
                    </w:rPr>
                  </w:pPr>
                  <w:r>
                    <w:rPr>
                      <w:rFonts w:hint="eastAsia"/>
                      <w:color w:val="auto"/>
                    </w:rPr>
                    <w:t>1次/年</w:t>
                  </w:r>
                </w:p>
              </w:tc>
              <w:tc>
                <w:tcPr>
                  <w:tcW w:w="2101" w:type="pct"/>
                  <w:vMerge w:val="continue"/>
                  <w:tcBorders>
                    <w:left w:val="nil"/>
                    <w:right w:val="single" w:color="auto" w:sz="4" w:space="0"/>
                  </w:tcBorders>
                  <w:shd w:val="clear" w:color="auto" w:fill="auto"/>
                  <w:vAlign w:val="center"/>
                </w:tcPr>
                <w:p w14:paraId="3A114605">
                  <w:pPr>
                    <w:widowControl/>
                    <w:autoSpaceDE w:val="0"/>
                    <w:jc w:val="center"/>
                    <w:rPr>
                      <w:rFonts w:hint="eastAsia"/>
                      <w:color w:val="auto"/>
                    </w:rPr>
                  </w:pPr>
                </w:p>
              </w:tc>
            </w:tr>
            <w:tr w14:paraId="01912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8" w:type="pct"/>
                  <w:tcBorders>
                    <w:top w:val="single" w:color="auto" w:sz="4" w:space="0"/>
                    <w:left w:val="single" w:color="auto" w:sz="4" w:space="0"/>
                    <w:bottom w:val="single" w:color="auto" w:sz="4" w:space="0"/>
                    <w:right w:val="single" w:color="auto" w:sz="4" w:space="0"/>
                  </w:tcBorders>
                  <w:shd w:val="clear" w:color="auto" w:fill="auto"/>
                  <w:vAlign w:val="center"/>
                </w:tcPr>
                <w:p w14:paraId="4154F180">
                  <w:pPr>
                    <w:widowControl/>
                    <w:autoSpaceDE w:val="0"/>
                    <w:jc w:val="center"/>
                    <w:rPr>
                      <w:color w:val="auto"/>
                    </w:rPr>
                  </w:pPr>
                  <w:r>
                    <w:rPr>
                      <w:rFonts w:hint="eastAsia"/>
                      <w:color w:val="auto"/>
                    </w:rPr>
                    <w:t>/</w:t>
                  </w:r>
                </w:p>
              </w:tc>
              <w:tc>
                <w:tcPr>
                  <w:tcW w:w="641" w:type="pct"/>
                  <w:vMerge w:val="continue"/>
                  <w:tcBorders>
                    <w:left w:val="nil"/>
                    <w:right w:val="single" w:color="auto" w:sz="4" w:space="0"/>
                  </w:tcBorders>
                  <w:shd w:val="clear" w:color="auto" w:fill="auto"/>
                  <w:vAlign w:val="center"/>
                </w:tcPr>
                <w:p w14:paraId="72C19988">
                  <w:pPr>
                    <w:widowControl/>
                    <w:autoSpaceDE w:val="0"/>
                    <w:jc w:val="center"/>
                    <w:rPr>
                      <w:color w:val="auto"/>
                    </w:rPr>
                  </w:pPr>
                </w:p>
              </w:tc>
              <w:tc>
                <w:tcPr>
                  <w:tcW w:w="797" w:type="pct"/>
                  <w:tcBorders>
                    <w:top w:val="single" w:color="auto" w:sz="4" w:space="0"/>
                    <w:left w:val="nil"/>
                    <w:bottom w:val="single" w:color="auto" w:sz="4" w:space="0"/>
                    <w:right w:val="single" w:color="auto" w:sz="4" w:space="0"/>
                  </w:tcBorders>
                  <w:shd w:val="clear" w:color="auto" w:fill="auto"/>
                  <w:vAlign w:val="center"/>
                </w:tcPr>
                <w:p w14:paraId="082BF50A">
                  <w:pPr>
                    <w:widowControl/>
                    <w:autoSpaceDE w:val="0"/>
                    <w:jc w:val="center"/>
                    <w:rPr>
                      <w:color w:val="auto"/>
                    </w:rPr>
                  </w:pPr>
                  <w:r>
                    <w:rPr>
                      <w:rFonts w:hint="eastAsia"/>
                      <w:color w:val="auto"/>
                    </w:rPr>
                    <w:t>锡及其化合物</w:t>
                  </w:r>
                </w:p>
              </w:tc>
              <w:tc>
                <w:tcPr>
                  <w:tcW w:w="692" w:type="pct"/>
                  <w:tcBorders>
                    <w:top w:val="single" w:color="auto" w:sz="4" w:space="0"/>
                    <w:left w:val="nil"/>
                    <w:bottom w:val="single" w:color="auto" w:sz="4" w:space="0"/>
                    <w:right w:val="single" w:color="auto" w:sz="4" w:space="0"/>
                  </w:tcBorders>
                  <w:shd w:val="clear" w:color="auto" w:fill="auto"/>
                  <w:vAlign w:val="center"/>
                </w:tcPr>
                <w:p w14:paraId="19643336">
                  <w:pPr>
                    <w:widowControl/>
                    <w:autoSpaceDE w:val="0"/>
                    <w:jc w:val="center"/>
                    <w:rPr>
                      <w:color w:val="auto"/>
                    </w:rPr>
                  </w:pPr>
                  <w:r>
                    <w:rPr>
                      <w:rFonts w:hint="eastAsia"/>
                      <w:color w:val="auto"/>
                    </w:rPr>
                    <w:t>1</w:t>
                  </w:r>
                  <w:r>
                    <w:rPr>
                      <w:rFonts w:hint="eastAsia" w:ascii="宋体" w:hAnsi="宋体"/>
                      <w:color w:val="auto"/>
                    </w:rPr>
                    <w:t>次</w:t>
                  </w:r>
                  <w:r>
                    <w:rPr>
                      <w:rFonts w:hint="eastAsia"/>
                      <w:color w:val="auto"/>
                    </w:rPr>
                    <w:t>/</w:t>
                  </w:r>
                  <w:r>
                    <w:rPr>
                      <w:rFonts w:hint="eastAsia" w:ascii="宋体" w:hAnsi="宋体"/>
                      <w:color w:val="auto"/>
                    </w:rPr>
                    <w:t>年</w:t>
                  </w:r>
                </w:p>
              </w:tc>
              <w:tc>
                <w:tcPr>
                  <w:tcW w:w="2101" w:type="pct"/>
                  <w:vMerge w:val="continue"/>
                  <w:tcBorders>
                    <w:left w:val="nil"/>
                    <w:bottom w:val="single" w:color="auto" w:sz="4" w:space="0"/>
                    <w:right w:val="single" w:color="auto" w:sz="4" w:space="0"/>
                  </w:tcBorders>
                  <w:shd w:val="clear" w:color="auto" w:fill="auto"/>
                  <w:vAlign w:val="center"/>
                </w:tcPr>
                <w:p w14:paraId="340D6966">
                  <w:pPr>
                    <w:widowControl/>
                    <w:autoSpaceDE w:val="0"/>
                    <w:jc w:val="center"/>
                    <w:rPr>
                      <w:color w:val="auto"/>
                    </w:rPr>
                  </w:pPr>
                </w:p>
              </w:tc>
            </w:tr>
            <w:tr w14:paraId="48045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68" w:type="pct"/>
                  <w:tcBorders>
                    <w:top w:val="single" w:color="auto" w:sz="4" w:space="0"/>
                    <w:left w:val="single" w:color="auto" w:sz="4" w:space="0"/>
                    <w:bottom w:val="single" w:color="auto" w:sz="4" w:space="0"/>
                    <w:right w:val="single" w:color="auto" w:sz="4" w:space="0"/>
                  </w:tcBorders>
                  <w:shd w:val="clear" w:color="auto" w:fill="auto"/>
                  <w:vAlign w:val="center"/>
                </w:tcPr>
                <w:p w14:paraId="39585DB7">
                  <w:pPr>
                    <w:widowControl/>
                    <w:autoSpaceDE w:val="0"/>
                    <w:jc w:val="center"/>
                    <w:rPr>
                      <w:color w:val="auto"/>
                    </w:rPr>
                  </w:pPr>
                  <w:r>
                    <w:rPr>
                      <w:rFonts w:hint="eastAsia"/>
                      <w:color w:val="auto"/>
                    </w:rPr>
                    <w:t>/</w:t>
                  </w:r>
                </w:p>
              </w:tc>
              <w:tc>
                <w:tcPr>
                  <w:tcW w:w="641" w:type="pct"/>
                  <w:tcBorders>
                    <w:left w:val="nil"/>
                    <w:bottom w:val="single" w:color="auto" w:sz="4" w:space="0"/>
                    <w:right w:val="single" w:color="auto" w:sz="4" w:space="0"/>
                  </w:tcBorders>
                  <w:shd w:val="clear" w:color="auto" w:fill="auto"/>
                  <w:vAlign w:val="center"/>
                </w:tcPr>
                <w:p w14:paraId="0E100522">
                  <w:pPr>
                    <w:widowControl/>
                    <w:autoSpaceDE w:val="0"/>
                    <w:jc w:val="center"/>
                    <w:rPr>
                      <w:color w:val="auto"/>
                    </w:rPr>
                  </w:pPr>
                  <w:r>
                    <w:rPr>
                      <w:rFonts w:hint="eastAsia"/>
                      <w:color w:val="auto"/>
                    </w:rPr>
                    <w:t>厂区</w:t>
                  </w:r>
                </w:p>
              </w:tc>
              <w:tc>
                <w:tcPr>
                  <w:tcW w:w="797" w:type="pct"/>
                  <w:tcBorders>
                    <w:top w:val="single" w:color="auto" w:sz="4" w:space="0"/>
                    <w:left w:val="nil"/>
                    <w:bottom w:val="single" w:color="auto" w:sz="4" w:space="0"/>
                    <w:right w:val="single" w:color="auto" w:sz="4" w:space="0"/>
                  </w:tcBorders>
                  <w:shd w:val="clear" w:color="auto" w:fill="auto"/>
                  <w:vAlign w:val="center"/>
                </w:tcPr>
                <w:p w14:paraId="17A1AB84">
                  <w:pPr>
                    <w:widowControl/>
                    <w:autoSpaceDE w:val="0"/>
                    <w:jc w:val="center"/>
                    <w:rPr>
                      <w:color w:val="auto"/>
                    </w:rPr>
                  </w:pPr>
                  <w:r>
                    <w:rPr>
                      <w:rFonts w:hint="eastAsia"/>
                      <w:color w:val="auto"/>
                    </w:rPr>
                    <w:t>非甲烷总烃</w:t>
                  </w:r>
                </w:p>
              </w:tc>
              <w:tc>
                <w:tcPr>
                  <w:tcW w:w="692" w:type="pct"/>
                  <w:tcBorders>
                    <w:top w:val="single" w:color="auto" w:sz="4" w:space="0"/>
                    <w:left w:val="nil"/>
                    <w:bottom w:val="single" w:color="auto" w:sz="4" w:space="0"/>
                    <w:right w:val="single" w:color="auto" w:sz="4" w:space="0"/>
                  </w:tcBorders>
                  <w:shd w:val="clear" w:color="auto" w:fill="auto"/>
                  <w:vAlign w:val="center"/>
                </w:tcPr>
                <w:p w14:paraId="303DA957">
                  <w:pPr>
                    <w:widowControl/>
                    <w:autoSpaceDE w:val="0"/>
                    <w:jc w:val="center"/>
                    <w:rPr>
                      <w:color w:val="auto"/>
                    </w:rPr>
                  </w:pPr>
                  <w:r>
                    <w:rPr>
                      <w:rFonts w:hint="eastAsia"/>
                      <w:color w:val="auto"/>
                    </w:rPr>
                    <w:t>1次/年</w:t>
                  </w:r>
                </w:p>
              </w:tc>
              <w:tc>
                <w:tcPr>
                  <w:tcW w:w="2101" w:type="pct"/>
                  <w:tcBorders>
                    <w:top w:val="single" w:color="auto" w:sz="4" w:space="0"/>
                    <w:left w:val="nil"/>
                    <w:bottom w:val="single" w:color="auto" w:sz="4" w:space="0"/>
                    <w:right w:val="single" w:color="auto" w:sz="4" w:space="0"/>
                  </w:tcBorders>
                  <w:shd w:val="clear" w:color="auto" w:fill="auto"/>
                  <w:vAlign w:val="center"/>
                </w:tcPr>
                <w:p w14:paraId="489645E6">
                  <w:pPr>
                    <w:widowControl/>
                    <w:autoSpaceDE w:val="0"/>
                    <w:jc w:val="center"/>
                    <w:rPr>
                      <w:color w:val="auto"/>
                    </w:rPr>
                  </w:pPr>
                  <w:r>
                    <w:rPr>
                      <w:rFonts w:hint="eastAsia"/>
                      <w:color w:val="auto"/>
                    </w:rPr>
                    <w:t>《固定源挥发性有机物综合排放标准第5部分：电子工业》（DB34/4812.5-2024）表3中厂区内VOCs无组织排放限值</w:t>
                  </w:r>
                </w:p>
              </w:tc>
            </w:tr>
          </w:tbl>
          <w:p w14:paraId="7CE6CC82">
            <w:pPr>
              <w:pStyle w:val="51"/>
              <w:ind w:left="0" w:leftChars="0" w:firstLine="0" w:firstLineChars="0"/>
              <w:jc w:val="center"/>
              <w:rPr>
                <w:snapToGrid w:val="0"/>
              </w:rPr>
            </w:pPr>
          </w:p>
          <w:p w14:paraId="246C20C7">
            <w:pPr>
              <w:pStyle w:val="51"/>
              <w:ind w:left="0" w:leftChars="0" w:firstLine="0" w:firstLineChars="0"/>
              <w:rPr>
                <w:snapToGrid w:val="0"/>
              </w:rPr>
            </w:pPr>
          </w:p>
        </w:tc>
      </w:tr>
    </w:tbl>
    <w:p w14:paraId="19610B3B">
      <w:pPr>
        <w:pStyle w:val="51"/>
        <w:ind w:firstLine="480"/>
        <w:rPr>
          <w:snapToGrid w:val="0"/>
        </w:rPr>
        <w:sectPr>
          <w:pgSz w:w="23814" w:h="16840" w:orient="landscape"/>
          <w:pgMar w:top="1440" w:right="1418" w:bottom="1440" w:left="1418" w:header="851" w:footer="851" w:gutter="0"/>
          <w:pgBorders>
            <w:top w:val="none" w:sz="0" w:space="0"/>
            <w:left w:val="none" w:sz="0" w:space="0"/>
            <w:bottom w:val="none" w:sz="0" w:space="0"/>
            <w:right w:val="none" w:sz="0" w:space="0"/>
          </w:pgBorders>
          <w:cols w:space="720" w:num="1"/>
          <w:docGrid w:linePitch="312" w:charSpace="0"/>
        </w:sectPr>
      </w:pPr>
    </w:p>
    <w:tbl>
      <w:tblPr>
        <w:tblStyle w:val="2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608"/>
        <w:gridCol w:w="8373"/>
      </w:tblGrid>
      <w:tr w14:paraId="461CE6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340" w:hRule="atLeast"/>
          <w:jc w:val="center"/>
        </w:trPr>
        <w:tc>
          <w:tcPr>
            <w:tcW w:w="608" w:type="dxa"/>
            <w:tcMar>
              <w:left w:w="28" w:type="dxa"/>
              <w:right w:w="28" w:type="dxa"/>
            </w:tcMar>
            <w:vAlign w:val="center"/>
          </w:tcPr>
          <w:p w14:paraId="1EDD954B">
            <w:pPr>
              <w:adjustRightInd w:val="0"/>
              <w:snapToGrid w:val="0"/>
              <w:jc w:val="center"/>
              <w:rPr>
                <w:rFonts w:hint="eastAsia" w:ascii="宋体" w:hAnsi="宋体" w:cs="宋体"/>
                <w:bCs/>
                <w:sz w:val="24"/>
              </w:rPr>
            </w:pPr>
            <w:r>
              <w:rPr>
                <w:rFonts w:hint="eastAsia" w:ascii="宋体" w:hAnsi="宋体" w:cs="宋体"/>
                <w:bCs/>
                <w:sz w:val="24"/>
              </w:rPr>
              <w:t>运营</w:t>
            </w:r>
          </w:p>
          <w:p w14:paraId="35B51399">
            <w:pPr>
              <w:adjustRightInd w:val="0"/>
              <w:snapToGrid w:val="0"/>
              <w:jc w:val="center"/>
              <w:rPr>
                <w:rFonts w:hint="eastAsia" w:ascii="宋体" w:hAnsi="宋体" w:cs="宋体"/>
                <w:bCs/>
                <w:sz w:val="24"/>
              </w:rPr>
            </w:pPr>
            <w:r>
              <w:rPr>
                <w:rFonts w:hint="eastAsia" w:ascii="宋体" w:hAnsi="宋体" w:cs="宋体"/>
                <w:bCs/>
                <w:sz w:val="24"/>
              </w:rPr>
              <w:t>期环</w:t>
            </w:r>
          </w:p>
          <w:p w14:paraId="7EBD94A4">
            <w:pPr>
              <w:adjustRightInd w:val="0"/>
              <w:snapToGrid w:val="0"/>
              <w:jc w:val="center"/>
              <w:rPr>
                <w:rFonts w:hint="eastAsia" w:ascii="宋体" w:hAnsi="宋体" w:cs="宋体"/>
                <w:bCs/>
                <w:sz w:val="24"/>
              </w:rPr>
            </w:pPr>
            <w:r>
              <w:rPr>
                <w:rFonts w:hint="eastAsia" w:ascii="宋体" w:hAnsi="宋体" w:cs="宋体"/>
                <w:bCs/>
                <w:sz w:val="24"/>
              </w:rPr>
              <w:t>境影</w:t>
            </w:r>
          </w:p>
          <w:p w14:paraId="49FC6365">
            <w:pPr>
              <w:adjustRightInd w:val="0"/>
              <w:snapToGrid w:val="0"/>
              <w:jc w:val="center"/>
              <w:rPr>
                <w:rFonts w:hint="eastAsia" w:ascii="宋体" w:hAnsi="宋体" w:cs="宋体"/>
                <w:bCs/>
                <w:sz w:val="24"/>
              </w:rPr>
            </w:pPr>
            <w:r>
              <w:rPr>
                <w:rFonts w:hint="eastAsia" w:ascii="宋体" w:hAnsi="宋体" w:cs="宋体"/>
                <w:bCs/>
                <w:sz w:val="24"/>
              </w:rPr>
              <w:t>响和</w:t>
            </w:r>
          </w:p>
          <w:p w14:paraId="727DF16E">
            <w:pPr>
              <w:adjustRightInd w:val="0"/>
              <w:snapToGrid w:val="0"/>
              <w:jc w:val="center"/>
              <w:rPr>
                <w:rFonts w:hint="eastAsia" w:ascii="宋体" w:hAnsi="宋体" w:cs="宋体"/>
                <w:bCs/>
                <w:sz w:val="24"/>
              </w:rPr>
            </w:pPr>
            <w:r>
              <w:rPr>
                <w:rFonts w:hint="eastAsia" w:ascii="宋体" w:hAnsi="宋体" w:cs="宋体"/>
                <w:bCs/>
                <w:sz w:val="24"/>
              </w:rPr>
              <w:t>保护</w:t>
            </w:r>
          </w:p>
          <w:p w14:paraId="64A3FDB3">
            <w:pPr>
              <w:adjustRightInd w:val="0"/>
              <w:snapToGrid w:val="0"/>
              <w:jc w:val="center"/>
              <w:rPr>
                <w:rFonts w:hint="eastAsia" w:ascii="宋体" w:hAnsi="宋体" w:cs="宋体"/>
                <w:bCs/>
                <w:szCs w:val="21"/>
              </w:rPr>
            </w:pPr>
            <w:r>
              <w:rPr>
                <w:rFonts w:hint="eastAsia" w:ascii="宋体" w:hAnsi="宋体" w:cs="宋体"/>
                <w:bCs/>
                <w:sz w:val="24"/>
              </w:rPr>
              <w:t>措施</w:t>
            </w:r>
          </w:p>
        </w:tc>
        <w:tc>
          <w:tcPr>
            <w:tcW w:w="8373" w:type="dxa"/>
            <w:vAlign w:val="center"/>
          </w:tcPr>
          <w:p w14:paraId="3430FAA5">
            <w:pPr>
              <w:pStyle w:val="51"/>
              <w:ind w:firstLine="482"/>
              <w:rPr>
                <w:b/>
                <w:bCs/>
              </w:rPr>
            </w:pPr>
            <w:r>
              <w:rPr>
                <w:b/>
                <w:bCs/>
              </w:rPr>
              <w:t>1.4</w:t>
            </w:r>
            <w:r>
              <w:rPr>
                <w:rFonts w:hint="eastAsia"/>
                <w:b/>
                <w:bCs/>
              </w:rPr>
              <w:t>废气达标排放情况</w:t>
            </w:r>
          </w:p>
          <w:p w14:paraId="5F662E27">
            <w:pPr>
              <w:pStyle w:val="51"/>
              <w:ind w:firstLine="480"/>
            </w:pPr>
            <w:r>
              <w:rPr>
                <w:rFonts w:hint="eastAsia"/>
              </w:rPr>
              <w:t>项目有组织废气排放浓度及速率与排放标准对照见下表。</w:t>
            </w:r>
          </w:p>
          <w:p w14:paraId="6790E0A5">
            <w:pPr>
              <w:pStyle w:val="52"/>
            </w:pPr>
            <w:r>
              <w:rPr>
                <w:rFonts w:hint="eastAsia"/>
              </w:rPr>
              <w:t>表4-</w:t>
            </w:r>
            <w:r>
              <w:rPr>
                <w:rFonts w:hint="eastAsia"/>
                <w:lang w:val="en-US" w:eastAsia="zh-CN"/>
              </w:rPr>
              <w:t>5</w:t>
            </w:r>
            <w:r>
              <w:t xml:space="preserve"> </w:t>
            </w:r>
            <w:r>
              <w:rPr>
                <w:rFonts w:hint="eastAsia"/>
              </w:rPr>
              <w:t xml:space="preserve"> 项目有组织废气排放达标排放情况</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0"/>
              <w:gridCol w:w="1322"/>
              <w:gridCol w:w="973"/>
              <w:gridCol w:w="946"/>
              <w:gridCol w:w="957"/>
              <w:gridCol w:w="1234"/>
              <w:gridCol w:w="1019"/>
              <w:gridCol w:w="706"/>
            </w:tblGrid>
            <w:tr w14:paraId="43276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07" w:type="pct"/>
                  <w:vMerge w:val="restart"/>
                  <w:shd w:val="clear" w:color="auto" w:fill="auto"/>
                  <w:vAlign w:val="center"/>
                </w:tcPr>
                <w:p w14:paraId="6EA782A2">
                  <w:pPr>
                    <w:widowControl/>
                    <w:jc w:val="center"/>
                    <w:rPr>
                      <w:b/>
                      <w:bCs/>
                      <w:color w:val="auto"/>
                      <w:szCs w:val="21"/>
                    </w:rPr>
                  </w:pPr>
                  <w:r>
                    <w:rPr>
                      <w:rFonts w:hint="eastAsia"/>
                      <w:b/>
                      <w:bCs/>
                      <w:color w:val="auto"/>
                      <w:szCs w:val="21"/>
                    </w:rPr>
                    <w:t>排气筒编号</w:t>
                  </w:r>
                </w:p>
              </w:tc>
              <w:tc>
                <w:tcPr>
                  <w:tcW w:w="811" w:type="pct"/>
                  <w:vMerge w:val="restart"/>
                  <w:shd w:val="clear" w:color="auto" w:fill="auto"/>
                  <w:vAlign w:val="center"/>
                </w:tcPr>
                <w:p w14:paraId="2B4B6B1A">
                  <w:pPr>
                    <w:widowControl/>
                    <w:jc w:val="center"/>
                    <w:rPr>
                      <w:b/>
                      <w:bCs/>
                      <w:color w:val="auto"/>
                      <w:szCs w:val="21"/>
                    </w:rPr>
                  </w:pPr>
                  <w:r>
                    <w:rPr>
                      <w:b/>
                      <w:bCs/>
                      <w:color w:val="auto"/>
                      <w:szCs w:val="21"/>
                    </w:rPr>
                    <w:t>污染物</w:t>
                  </w:r>
                </w:p>
              </w:tc>
              <w:tc>
                <w:tcPr>
                  <w:tcW w:w="1764" w:type="pct"/>
                  <w:gridSpan w:val="3"/>
                  <w:shd w:val="clear" w:color="auto" w:fill="auto"/>
                  <w:vAlign w:val="center"/>
                </w:tcPr>
                <w:p w14:paraId="07588DCE">
                  <w:pPr>
                    <w:widowControl/>
                    <w:jc w:val="center"/>
                    <w:rPr>
                      <w:b/>
                      <w:bCs/>
                      <w:color w:val="auto"/>
                      <w:szCs w:val="21"/>
                    </w:rPr>
                  </w:pPr>
                  <w:r>
                    <w:rPr>
                      <w:b/>
                      <w:bCs/>
                      <w:color w:val="auto"/>
                      <w:szCs w:val="21"/>
                    </w:rPr>
                    <w:t>排放状况</w:t>
                  </w:r>
                </w:p>
              </w:tc>
              <w:tc>
                <w:tcPr>
                  <w:tcW w:w="1382" w:type="pct"/>
                  <w:gridSpan w:val="2"/>
                  <w:shd w:val="clear" w:color="auto" w:fill="auto"/>
                  <w:vAlign w:val="center"/>
                </w:tcPr>
                <w:p w14:paraId="6B44C4A4">
                  <w:pPr>
                    <w:widowControl/>
                    <w:jc w:val="center"/>
                    <w:rPr>
                      <w:b/>
                      <w:bCs/>
                      <w:color w:val="auto"/>
                      <w:szCs w:val="21"/>
                    </w:rPr>
                  </w:pPr>
                  <w:r>
                    <w:rPr>
                      <w:b/>
                      <w:bCs/>
                      <w:color w:val="auto"/>
                      <w:szCs w:val="21"/>
                    </w:rPr>
                    <w:t>排放标准限值</w:t>
                  </w:r>
                </w:p>
              </w:tc>
              <w:tc>
                <w:tcPr>
                  <w:tcW w:w="433" w:type="pct"/>
                  <w:vMerge w:val="restart"/>
                  <w:shd w:val="clear" w:color="auto" w:fill="auto"/>
                  <w:vAlign w:val="center"/>
                </w:tcPr>
                <w:p w14:paraId="4838B93F">
                  <w:pPr>
                    <w:widowControl/>
                    <w:jc w:val="center"/>
                    <w:rPr>
                      <w:b/>
                      <w:bCs/>
                      <w:color w:val="auto"/>
                      <w:szCs w:val="21"/>
                    </w:rPr>
                  </w:pPr>
                  <w:r>
                    <w:rPr>
                      <w:b/>
                      <w:bCs/>
                      <w:color w:val="auto"/>
                      <w:szCs w:val="21"/>
                    </w:rPr>
                    <w:t>达标情况</w:t>
                  </w:r>
                </w:p>
              </w:tc>
            </w:tr>
            <w:tr w14:paraId="67426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07" w:type="pct"/>
                  <w:vMerge w:val="continue"/>
                  <w:shd w:val="clear" w:color="auto" w:fill="auto"/>
                  <w:vAlign w:val="center"/>
                </w:tcPr>
                <w:p w14:paraId="5AC6B1FC">
                  <w:pPr>
                    <w:widowControl/>
                    <w:jc w:val="center"/>
                    <w:rPr>
                      <w:b/>
                      <w:bCs/>
                      <w:color w:val="auto"/>
                      <w:szCs w:val="21"/>
                    </w:rPr>
                  </w:pPr>
                </w:p>
              </w:tc>
              <w:tc>
                <w:tcPr>
                  <w:tcW w:w="811" w:type="pct"/>
                  <w:vMerge w:val="continue"/>
                  <w:shd w:val="clear" w:color="auto" w:fill="auto"/>
                  <w:vAlign w:val="center"/>
                </w:tcPr>
                <w:p w14:paraId="13A70510">
                  <w:pPr>
                    <w:widowControl/>
                    <w:jc w:val="center"/>
                    <w:rPr>
                      <w:b/>
                      <w:bCs/>
                      <w:color w:val="auto"/>
                      <w:szCs w:val="21"/>
                    </w:rPr>
                  </w:pPr>
                </w:p>
              </w:tc>
              <w:tc>
                <w:tcPr>
                  <w:tcW w:w="597" w:type="pct"/>
                  <w:shd w:val="clear" w:color="auto" w:fill="auto"/>
                  <w:vAlign w:val="center"/>
                </w:tcPr>
                <w:p w14:paraId="0979FB9A">
                  <w:pPr>
                    <w:widowControl/>
                    <w:jc w:val="center"/>
                    <w:rPr>
                      <w:b/>
                      <w:bCs/>
                      <w:color w:val="auto"/>
                      <w:szCs w:val="21"/>
                    </w:rPr>
                  </w:pPr>
                  <w:r>
                    <w:rPr>
                      <w:b/>
                      <w:bCs/>
                      <w:color w:val="auto"/>
                      <w:szCs w:val="21"/>
                    </w:rPr>
                    <w:t>浓度mg/m</w:t>
                  </w:r>
                  <w:r>
                    <w:rPr>
                      <w:b/>
                      <w:bCs/>
                      <w:color w:val="auto"/>
                      <w:szCs w:val="21"/>
                      <w:vertAlign w:val="superscript"/>
                    </w:rPr>
                    <w:t>3</w:t>
                  </w:r>
                </w:p>
              </w:tc>
              <w:tc>
                <w:tcPr>
                  <w:tcW w:w="580" w:type="pct"/>
                  <w:shd w:val="clear" w:color="auto" w:fill="auto"/>
                  <w:vAlign w:val="center"/>
                </w:tcPr>
                <w:p w14:paraId="27B5ECAF">
                  <w:pPr>
                    <w:widowControl/>
                    <w:jc w:val="center"/>
                    <w:rPr>
                      <w:b/>
                      <w:bCs/>
                      <w:color w:val="auto"/>
                      <w:szCs w:val="21"/>
                    </w:rPr>
                  </w:pPr>
                  <w:r>
                    <w:rPr>
                      <w:b/>
                      <w:bCs/>
                      <w:color w:val="auto"/>
                      <w:szCs w:val="21"/>
                    </w:rPr>
                    <w:t>速率kg/h</w:t>
                  </w:r>
                </w:p>
              </w:tc>
              <w:tc>
                <w:tcPr>
                  <w:tcW w:w="585" w:type="pct"/>
                  <w:shd w:val="clear" w:color="auto" w:fill="auto"/>
                  <w:vAlign w:val="center"/>
                </w:tcPr>
                <w:p w14:paraId="0945AFB9">
                  <w:pPr>
                    <w:widowControl/>
                    <w:jc w:val="center"/>
                    <w:rPr>
                      <w:b/>
                      <w:bCs/>
                      <w:color w:val="auto"/>
                      <w:szCs w:val="21"/>
                    </w:rPr>
                  </w:pPr>
                  <w:r>
                    <w:rPr>
                      <w:rFonts w:hint="eastAsia"/>
                      <w:b/>
                      <w:bCs/>
                      <w:color w:val="auto"/>
                      <w:szCs w:val="21"/>
                    </w:rPr>
                    <w:t>排放量t/a</w:t>
                  </w:r>
                </w:p>
              </w:tc>
              <w:tc>
                <w:tcPr>
                  <w:tcW w:w="757" w:type="pct"/>
                  <w:shd w:val="clear" w:color="auto" w:fill="auto"/>
                  <w:vAlign w:val="center"/>
                </w:tcPr>
                <w:p w14:paraId="5172FDE2">
                  <w:pPr>
                    <w:widowControl/>
                    <w:jc w:val="center"/>
                    <w:rPr>
                      <w:b/>
                      <w:bCs/>
                      <w:color w:val="auto"/>
                      <w:szCs w:val="21"/>
                    </w:rPr>
                  </w:pPr>
                  <w:r>
                    <w:rPr>
                      <w:b/>
                      <w:bCs/>
                      <w:color w:val="auto"/>
                      <w:szCs w:val="21"/>
                    </w:rPr>
                    <w:t>浓度mg/m</w:t>
                  </w:r>
                  <w:r>
                    <w:rPr>
                      <w:b/>
                      <w:bCs/>
                      <w:color w:val="auto"/>
                      <w:szCs w:val="21"/>
                      <w:vertAlign w:val="superscript"/>
                    </w:rPr>
                    <w:t>3</w:t>
                  </w:r>
                </w:p>
              </w:tc>
              <w:tc>
                <w:tcPr>
                  <w:tcW w:w="625" w:type="pct"/>
                  <w:vAlign w:val="center"/>
                </w:tcPr>
                <w:p w14:paraId="4382B15A">
                  <w:pPr>
                    <w:widowControl/>
                    <w:jc w:val="center"/>
                    <w:rPr>
                      <w:b/>
                      <w:bCs/>
                      <w:color w:val="auto"/>
                      <w:szCs w:val="21"/>
                    </w:rPr>
                  </w:pPr>
                  <w:r>
                    <w:rPr>
                      <w:b/>
                      <w:bCs/>
                      <w:color w:val="auto"/>
                      <w:szCs w:val="21"/>
                    </w:rPr>
                    <w:t>速率kg/h</w:t>
                  </w:r>
                </w:p>
              </w:tc>
              <w:tc>
                <w:tcPr>
                  <w:tcW w:w="433" w:type="pct"/>
                  <w:vMerge w:val="continue"/>
                  <w:shd w:val="clear" w:color="auto" w:fill="auto"/>
                  <w:vAlign w:val="center"/>
                </w:tcPr>
                <w:p w14:paraId="07DA92E7">
                  <w:pPr>
                    <w:widowControl/>
                    <w:jc w:val="center"/>
                    <w:rPr>
                      <w:color w:val="auto"/>
                      <w:szCs w:val="21"/>
                    </w:rPr>
                  </w:pPr>
                </w:p>
              </w:tc>
            </w:tr>
            <w:tr w14:paraId="1E85B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07" w:type="pct"/>
                  <w:vMerge w:val="restart"/>
                  <w:shd w:val="clear" w:color="auto" w:fill="auto"/>
                  <w:vAlign w:val="center"/>
                </w:tcPr>
                <w:p w14:paraId="7A6244B6">
                  <w:pPr>
                    <w:widowControl/>
                    <w:jc w:val="center"/>
                    <w:rPr>
                      <w:color w:val="auto"/>
                      <w:szCs w:val="21"/>
                    </w:rPr>
                  </w:pPr>
                  <w:r>
                    <w:rPr>
                      <w:rFonts w:hint="eastAsia"/>
                      <w:color w:val="auto"/>
                      <w:szCs w:val="21"/>
                    </w:rPr>
                    <w:t>DA001</w:t>
                  </w:r>
                </w:p>
              </w:tc>
              <w:tc>
                <w:tcPr>
                  <w:tcW w:w="811" w:type="pct"/>
                  <w:shd w:val="clear" w:color="auto" w:fill="auto"/>
                  <w:vAlign w:val="center"/>
                </w:tcPr>
                <w:p w14:paraId="26F2E843">
                  <w:pPr>
                    <w:jc w:val="center"/>
                    <w:rPr>
                      <w:color w:val="auto"/>
                      <w:szCs w:val="21"/>
                    </w:rPr>
                  </w:pPr>
                  <w:r>
                    <w:rPr>
                      <w:rFonts w:hint="eastAsia"/>
                      <w:color w:val="auto"/>
                      <w:szCs w:val="21"/>
                    </w:rPr>
                    <w:t>非甲烷总烃</w:t>
                  </w:r>
                </w:p>
              </w:tc>
              <w:tc>
                <w:tcPr>
                  <w:tcW w:w="597" w:type="pct"/>
                  <w:shd w:val="clear" w:color="auto" w:fill="auto"/>
                  <w:vAlign w:val="center"/>
                </w:tcPr>
                <w:p w14:paraId="4FC52CC7">
                  <w:pPr>
                    <w:jc w:val="center"/>
                    <w:rPr>
                      <w:rFonts w:hint="default" w:eastAsia="宋体"/>
                      <w:color w:val="FF0000"/>
                      <w:szCs w:val="21"/>
                      <w:lang w:val="en-US" w:eastAsia="zh-CN"/>
                    </w:rPr>
                  </w:pPr>
                  <w:r>
                    <w:rPr>
                      <w:rFonts w:hint="eastAsia"/>
                      <w:color w:val="FF0000"/>
                      <w:szCs w:val="21"/>
                      <w:lang w:val="en-US" w:eastAsia="zh-CN"/>
                    </w:rPr>
                    <w:t>5.718</w:t>
                  </w:r>
                </w:p>
              </w:tc>
              <w:tc>
                <w:tcPr>
                  <w:tcW w:w="580" w:type="pct"/>
                  <w:shd w:val="clear" w:color="auto" w:fill="auto"/>
                  <w:vAlign w:val="center"/>
                </w:tcPr>
                <w:p w14:paraId="5A53B159">
                  <w:pPr>
                    <w:widowControl/>
                    <w:jc w:val="center"/>
                    <w:rPr>
                      <w:rFonts w:hint="default" w:eastAsia="宋体"/>
                      <w:color w:val="FF0000"/>
                      <w:szCs w:val="21"/>
                      <w:lang w:val="en-US" w:eastAsia="zh-CN"/>
                    </w:rPr>
                  </w:pPr>
                  <w:r>
                    <w:rPr>
                      <w:rFonts w:hint="eastAsia"/>
                      <w:color w:val="FF0000"/>
                      <w:szCs w:val="21"/>
                      <w:lang w:val="en-US" w:eastAsia="zh-CN"/>
                    </w:rPr>
                    <w:t>0.120</w:t>
                  </w:r>
                </w:p>
              </w:tc>
              <w:tc>
                <w:tcPr>
                  <w:tcW w:w="585" w:type="pct"/>
                  <w:shd w:val="clear" w:color="auto" w:fill="auto"/>
                  <w:vAlign w:val="center"/>
                </w:tcPr>
                <w:p w14:paraId="57C7821D">
                  <w:pPr>
                    <w:widowControl/>
                    <w:jc w:val="center"/>
                    <w:rPr>
                      <w:rFonts w:hint="default" w:eastAsia="宋体"/>
                      <w:color w:val="FF0000"/>
                      <w:szCs w:val="21"/>
                      <w:lang w:val="en-US" w:eastAsia="zh-CN"/>
                    </w:rPr>
                  </w:pPr>
                  <w:r>
                    <w:rPr>
                      <w:rFonts w:hint="eastAsia"/>
                      <w:color w:val="FF0000"/>
                      <w:szCs w:val="21"/>
                    </w:rPr>
                    <w:t>0.</w:t>
                  </w:r>
                  <w:r>
                    <w:rPr>
                      <w:rFonts w:hint="eastAsia"/>
                      <w:color w:val="FF0000"/>
                      <w:szCs w:val="21"/>
                      <w:lang w:val="en-US" w:eastAsia="zh-CN"/>
                    </w:rPr>
                    <w:t>865</w:t>
                  </w:r>
                </w:p>
              </w:tc>
              <w:tc>
                <w:tcPr>
                  <w:tcW w:w="757" w:type="pct"/>
                  <w:shd w:val="clear" w:color="auto" w:fill="auto"/>
                  <w:vAlign w:val="center"/>
                </w:tcPr>
                <w:p w14:paraId="1BD78A20">
                  <w:pPr>
                    <w:jc w:val="center"/>
                    <w:rPr>
                      <w:rFonts w:hint="default" w:eastAsia="宋体"/>
                      <w:color w:val="FF0000"/>
                      <w:szCs w:val="21"/>
                      <w:lang w:val="en-US" w:eastAsia="zh-CN"/>
                    </w:rPr>
                  </w:pPr>
                  <w:r>
                    <w:rPr>
                      <w:rFonts w:hint="eastAsia"/>
                      <w:color w:val="FF0000"/>
                      <w:szCs w:val="21"/>
                      <w:lang w:val="en-US" w:eastAsia="zh-CN"/>
                    </w:rPr>
                    <w:t>50</w:t>
                  </w:r>
                </w:p>
              </w:tc>
              <w:tc>
                <w:tcPr>
                  <w:tcW w:w="625" w:type="pct"/>
                  <w:vAlign w:val="center"/>
                </w:tcPr>
                <w:p w14:paraId="36DA9D35">
                  <w:pPr>
                    <w:jc w:val="center"/>
                    <w:rPr>
                      <w:color w:val="FF0000"/>
                      <w:szCs w:val="21"/>
                    </w:rPr>
                  </w:pPr>
                  <w:r>
                    <w:rPr>
                      <w:rFonts w:hint="eastAsia"/>
                      <w:color w:val="FF0000"/>
                      <w:szCs w:val="21"/>
                      <w:lang w:val="en-US" w:eastAsia="zh-CN"/>
                    </w:rPr>
                    <w:t>5</w:t>
                  </w:r>
                  <w:r>
                    <w:rPr>
                      <w:rFonts w:hint="eastAsia"/>
                      <w:color w:val="FF0000"/>
                      <w:szCs w:val="21"/>
                    </w:rPr>
                    <w:t>.0</w:t>
                  </w:r>
                </w:p>
              </w:tc>
              <w:tc>
                <w:tcPr>
                  <w:tcW w:w="433" w:type="pct"/>
                  <w:shd w:val="clear" w:color="auto" w:fill="auto"/>
                  <w:vAlign w:val="center"/>
                </w:tcPr>
                <w:p w14:paraId="7BCDBAD7">
                  <w:pPr>
                    <w:widowControl/>
                    <w:jc w:val="center"/>
                    <w:rPr>
                      <w:color w:val="auto"/>
                      <w:szCs w:val="21"/>
                    </w:rPr>
                  </w:pPr>
                  <w:r>
                    <w:rPr>
                      <w:color w:val="auto"/>
                      <w:szCs w:val="21"/>
                    </w:rPr>
                    <w:t>达标</w:t>
                  </w:r>
                </w:p>
              </w:tc>
            </w:tr>
            <w:tr w14:paraId="0456D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07" w:type="pct"/>
                  <w:vMerge w:val="continue"/>
                  <w:shd w:val="clear" w:color="auto" w:fill="auto"/>
                  <w:vAlign w:val="center"/>
                </w:tcPr>
                <w:p w14:paraId="0572879F">
                  <w:pPr>
                    <w:widowControl/>
                    <w:jc w:val="center"/>
                    <w:rPr>
                      <w:rFonts w:hint="eastAsia"/>
                      <w:color w:val="auto"/>
                      <w:szCs w:val="21"/>
                    </w:rPr>
                  </w:pPr>
                </w:p>
              </w:tc>
              <w:tc>
                <w:tcPr>
                  <w:tcW w:w="811" w:type="pct"/>
                  <w:shd w:val="clear" w:color="auto" w:fill="auto"/>
                  <w:vAlign w:val="center"/>
                </w:tcPr>
                <w:p w14:paraId="5D08F0EA">
                  <w:pPr>
                    <w:jc w:val="center"/>
                    <w:rPr>
                      <w:rFonts w:hint="default" w:eastAsia="宋体"/>
                      <w:color w:val="auto"/>
                      <w:szCs w:val="21"/>
                      <w:lang w:val="en-US" w:eastAsia="zh-CN"/>
                    </w:rPr>
                  </w:pPr>
                  <w:r>
                    <w:rPr>
                      <w:rFonts w:hint="eastAsia"/>
                      <w:color w:val="auto"/>
                      <w:szCs w:val="21"/>
                      <w:lang w:val="en-US" w:eastAsia="zh-CN"/>
                    </w:rPr>
                    <w:t>颗粒物</w:t>
                  </w:r>
                </w:p>
              </w:tc>
              <w:tc>
                <w:tcPr>
                  <w:tcW w:w="597" w:type="pct"/>
                  <w:shd w:val="clear" w:color="auto" w:fill="auto"/>
                  <w:vAlign w:val="center"/>
                </w:tcPr>
                <w:p w14:paraId="6181BCC0">
                  <w:pPr>
                    <w:jc w:val="center"/>
                    <w:rPr>
                      <w:rFonts w:hint="default"/>
                      <w:color w:val="FF0000"/>
                      <w:szCs w:val="21"/>
                      <w:lang w:val="en-US" w:eastAsia="zh-CN"/>
                    </w:rPr>
                  </w:pPr>
                  <w:r>
                    <w:rPr>
                      <w:rFonts w:hint="eastAsia"/>
                      <w:color w:val="FF0000"/>
                      <w:szCs w:val="21"/>
                      <w:lang w:val="en-US" w:eastAsia="zh-CN"/>
                    </w:rPr>
                    <w:t>0.040</w:t>
                  </w:r>
                </w:p>
              </w:tc>
              <w:tc>
                <w:tcPr>
                  <w:tcW w:w="580" w:type="pct"/>
                  <w:shd w:val="clear" w:color="auto" w:fill="auto"/>
                  <w:vAlign w:val="center"/>
                </w:tcPr>
                <w:p w14:paraId="64890155">
                  <w:pPr>
                    <w:widowControl/>
                    <w:jc w:val="center"/>
                    <w:rPr>
                      <w:rFonts w:hint="default"/>
                      <w:color w:val="FF0000"/>
                      <w:szCs w:val="21"/>
                      <w:lang w:val="en-US" w:eastAsia="zh-CN"/>
                    </w:rPr>
                  </w:pPr>
                  <w:r>
                    <w:rPr>
                      <w:rFonts w:hint="eastAsia"/>
                      <w:color w:val="FF0000"/>
                      <w:szCs w:val="21"/>
                      <w:lang w:val="en-US" w:eastAsia="zh-CN"/>
                    </w:rPr>
                    <w:t>0.0008</w:t>
                  </w:r>
                </w:p>
              </w:tc>
              <w:tc>
                <w:tcPr>
                  <w:tcW w:w="585" w:type="pct"/>
                  <w:shd w:val="clear" w:color="auto" w:fill="auto"/>
                  <w:vAlign w:val="center"/>
                </w:tcPr>
                <w:p w14:paraId="4E70B9A1">
                  <w:pPr>
                    <w:widowControl/>
                    <w:jc w:val="center"/>
                    <w:rPr>
                      <w:rFonts w:hint="default" w:eastAsia="宋体"/>
                      <w:color w:val="FF0000"/>
                      <w:szCs w:val="21"/>
                      <w:lang w:val="en-US" w:eastAsia="zh-CN"/>
                    </w:rPr>
                  </w:pPr>
                  <w:r>
                    <w:rPr>
                      <w:rFonts w:hint="eastAsia"/>
                      <w:color w:val="FF0000"/>
                      <w:szCs w:val="21"/>
                      <w:lang w:val="en-US" w:eastAsia="zh-CN"/>
                    </w:rPr>
                    <w:t>0.006</w:t>
                  </w:r>
                </w:p>
              </w:tc>
              <w:tc>
                <w:tcPr>
                  <w:tcW w:w="757" w:type="pct"/>
                  <w:shd w:val="clear" w:color="auto" w:fill="auto"/>
                  <w:vAlign w:val="center"/>
                </w:tcPr>
                <w:p w14:paraId="4E236F4D">
                  <w:pPr>
                    <w:jc w:val="center"/>
                    <w:rPr>
                      <w:rFonts w:hint="default" w:eastAsia="宋体"/>
                      <w:color w:val="FF0000"/>
                      <w:szCs w:val="21"/>
                      <w:lang w:val="en-US" w:eastAsia="zh-CN"/>
                    </w:rPr>
                  </w:pPr>
                  <w:r>
                    <w:rPr>
                      <w:rFonts w:hint="eastAsia"/>
                      <w:color w:val="FF0000"/>
                      <w:szCs w:val="21"/>
                      <w:lang w:val="en-US" w:eastAsia="zh-CN"/>
                    </w:rPr>
                    <w:t>120</w:t>
                  </w:r>
                </w:p>
              </w:tc>
              <w:tc>
                <w:tcPr>
                  <w:tcW w:w="625" w:type="pct"/>
                  <w:vAlign w:val="center"/>
                </w:tcPr>
                <w:p w14:paraId="75147D47">
                  <w:pPr>
                    <w:jc w:val="center"/>
                    <w:rPr>
                      <w:rFonts w:hint="default" w:eastAsia="宋体"/>
                      <w:color w:val="FF0000"/>
                      <w:szCs w:val="21"/>
                      <w:lang w:val="en-US" w:eastAsia="zh-CN"/>
                    </w:rPr>
                  </w:pPr>
                  <w:r>
                    <w:rPr>
                      <w:rFonts w:hint="eastAsia"/>
                      <w:color w:val="FF0000"/>
                      <w:szCs w:val="21"/>
                      <w:lang w:val="en-US" w:eastAsia="zh-CN"/>
                    </w:rPr>
                    <w:t>7.255</w:t>
                  </w:r>
                </w:p>
              </w:tc>
              <w:tc>
                <w:tcPr>
                  <w:tcW w:w="433" w:type="pct"/>
                  <w:shd w:val="clear" w:color="auto" w:fill="auto"/>
                  <w:vAlign w:val="center"/>
                </w:tcPr>
                <w:p w14:paraId="728AC61E">
                  <w:pPr>
                    <w:widowControl/>
                    <w:jc w:val="center"/>
                    <w:rPr>
                      <w:rFonts w:hint="eastAsia" w:eastAsia="宋体"/>
                      <w:color w:val="auto"/>
                      <w:szCs w:val="21"/>
                      <w:lang w:val="en-US" w:eastAsia="zh-CN"/>
                    </w:rPr>
                  </w:pPr>
                  <w:r>
                    <w:rPr>
                      <w:rFonts w:hint="eastAsia"/>
                      <w:color w:val="auto"/>
                      <w:szCs w:val="21"/>
                      <w:lang w:val="en-US" w:eastAsia="zh-CN"/>
                    </w:rPr>
                    <w:t>达标</w:t>
                  </w:r>
                </w:p>
              </w:tc>
            </w:tr>
            <w:tr w14:paraId="1866C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07" w:type="pct"/>
                  <w:vMerge w:val="continue"/>
                  <w:shd w:val="clear" w:color="auto" w:fill="auto"/>
                  <w:vAlign w:val="center"/>
                </w:tcPr>
                <w:p w14:paraId="0C8972DF">
                  <w:pPr>
                    <w:widowControl/>
                    <w:jc w:val="center"/>
                    <w:rPr>
                      <w:color w:val="auto"/>
                      <w:szCs w:val="21"/>
                    </w:rPr>
                  </w:pPr>
                </w:p>
              </w:tc>
              <w:tc>
                <w:tcPr>
                  <w:tcW w:w="811" w:type="pct"/>
                  <w:shd w:val="clear" w:color="auto" w:fill="auto"/>
                  <w:vAlign w:val="center"/>
                </w:tcPr>
                <w:p w14:paraId="273A6B9C">
                  <w:pPr>
                    <w:jc w:val="center"/>
                    <w:rPr>
                      <w:color w:val="auto"/>
                      <w:szCs w:val="21"/>
                    </w:rPr>
                  </w:pPr>
                  <w:r>
                    <w:rPr>
                      <w:rFonts w:hint="eastAsia"/>
                      <w:color w:val="auto"/>
                      <w:szCs w:val="21"/>
                    </w:rPr>
                    <w:t>锡及其化合物</w:t>
                  </w:r>
                </w:p>
              </w:tc>
              <w:tc>
                <w:tcPr>
                  <w:tcW w:w="597" w:type="pct"/>
                  <w:shd w:val="clear" w:color="auto" w:fill="auto"/>
                  <w:vAlign w:val="center"/>
                </w:tcPr>
                <w:p w14:paraId="073F04D6">
                  <w:pPr>
                    <w:jc w:val="center"/>
                    <w:rPr>
                      <w:rFonts w:hint="default" w:eastAsia="宋体"/>
                      <w:color w:val="FF0000"/>
                      <w:szCs w:val="21"/>
                      <w:lang w:val="en-US" w:eastAsia="zh-CN"/>
                    </w:rPr>
                  </w:pPr>
                  <w:r>
                    <w:rPr>
                      <w:rFonts w:hint="eastAsia"/>
                      <w:color w:val="FF0000"/>
                      <w:szCs w:val="21"/>
                    </w:rPr>
                    <w:t>0.0</w:t>
                  </w:r>
                  <w:r>
                    <w:rPr>
                      <w:rFonts w:hint="eastAsia"/>
                      <w:color w:val="FF0000"/>
                      <w:szCs w:val="21"/>
                      <w:lang w:val="en-US" w:eastAsia="zh-CN"/>
                    </w:rPr>
                    <w:t>35</w:t>
                  </w:r>
                </w:p>
              </w:tc>
              <w:tc>
                <w:tcPr>
                  <w:tcW w:w="580" w:type="pct"/>
                  <w:shd w:val="clear" w:color="auto" w:fill="auto"/>
                  <w:vAlign w:val="center"/>
                </w:tcPr>
                <w:p w14:paraId="17A92BF5">
                  <w:pPr>
                    <w:widowControl/>
                    <w:jc w:val="center"/>
                    <w:rPr>
                      <w:rFonts w:hint="default" w:eastAsia="宋体"/>
                      <w:color w:val="FF0000"/>
                      <w:szCs w:val="21"/>
                      <w:lang w:val="en-US" w:eastAsia="zh-CN"/>
                    </w:rPr>
                  </w:pPr>
                  <w:r>
                    <w:rPr>
                      <w:rFonts w:hint="eastAsia"/>
                      <w:color w:val="FF0000"/>
                      <w:szCs w:val="21"/>
                      <w:lang w:val="en-US" w:eastAsia="zh-CN"/>
                    </w:rPr>
                    <w:t>0.0007</w:t>
                  </w:r>
                </w:p>
              </w:tc>
              <w:tc>
                <w:tcPr>
                  <w:tcW w:w="585" w:type="pct"/>
                  <w:shd w:val="clear" w:color="auto" w:fill="auto"/>
                  <w:vAlign w:val="center"/>
                </w:tcPr>
                <w:p w14:paraId="500821E8">
                  <w:pPr>
                    <w:widowControl/>
                    <w:jc w:val="center"/>
                    <w:rPr>
                      <w:rFonts w:hint="default" w:eastAsia="宋体"/>
                      <w:color w:val="FF0000"/>
                      <w:szCs w:val="21"/>
                      <w:lang w:val="en-US" w:eastAsia="zh-CN"/>
                    </w:rPr>
                  </w:pPr>
                  <w:r>
                    <w:rPr>
                      <w:rFonts w:hint="eastAsia"/>
                      <w:color w:val="FF0000"/>
                      <w:szCs w:val="21"/>
                      <w:lang w:val="en-US" w:eastAsia="zh-CN"/>
                    </w:rPr>
                    <w:t>0.005</w:t>
                  </w:r>
                </w:p>
              </w:tc>
              <w:tc>
                <w:tcPr>
                  <w:tcW w:w="757" w:type="pct"/>
                  <w:shd w:val="clear" w:color="auto" w:fill="auto"/>
                  <w:vAlign w:val="center"/>
                </w:tcPr>
                <w:p w14:paraId="63099B32">
                  <w:pPr>
                    <w:jc w:val="center"/>
                    <w:rPr>
                      <w:color w:val="FF0000"/>
                      <w:szCs w:val="21"/>
                    </w:rPr>
                  </w:pPr>
                  <w:r>
                    <w:rPr>
                      <w:rFonts w:hint="eastAsia"/>
                      <w:color w:val="FF0000"/>
                      <w:szCs w:val="21"/>
                    </w:rPr>
                    <w:t>8.5</w:t>
                  </w:r>
                </w:p>
              </w:tc>
              <w:tc>
                <w:tcPr>
                  <w:tcW w:w="625" w:type="pct"/>
                  <w:vAlign w:val="center"/>
                </w:tcPr>
                <w:p w14:paraId="0293A5CF">
                  <w:pPr>
                    <w:jc w:val="center"/>
                    <w:rPr>
                      <w:rFonts w:hint="default" w:eastAsia="宋体"/>
                      <w:color w:val="FF0000"/>
                      <w:szCs w:val="21"/>
                      <w:lang w:val="en-US" w:eastAsia="zh-CN"/>
                    </w:rPr>
                  </w:pPr>
                  <w:r>
                    <w:rPr>
                      <w:rFonts w:hint="eastAsia"/>
                      <w:color w:val="FF0000"/>
                      <w:szCs w:val="21"/>
                      <w:lang w:val="en-US" w:eastAsia="zh-CN"/>
                    </w:rPr>
                    <w:t>0.58</w:t>
                  </w:r>
                </w:p>
              </w:tc>
              <w:tc>
                <w:tcPr>
                  <w:tcW w:w="433" w:type="pct"/>
                  <w:shd w:val="clear" w:color="auto" w:fill="auto"/>
                  <w:vAlign w:val="center"/>
                </w:tcPr>
                <w:p w14:paraId="754CA51A">
                  <w:pPr>
                    <w:widowControl/>
                    <w:jc w:val="center"/>
                    <w:rPr>
                      <w:color w:val="auto"/>
                      <w:szCs w:val="21"/>
                    </w:rPr>
                  </w:pPr>
                  <w:r>
                    <w:rPr>
                      <w:color w:val="auto"/>
                      <w:szCs w:val="21"/>
                    </w:rPr>
                    <w:t>达标</w:t>
                  </w:r>
                </w:p>
              </w:tc>
            </w:tr>
          </w:tbl>
          <w:p w14:paraId="5FC45569">
            <w:pPr>
              <w:pStyle w:val="51"/>
              <w:ind w:firstLine="480"/>
            </w:pPr>
            <w:r>
              <w:t>由上表可知，</w:t>
            </w:r>
            <w:r>
              <w:rPr>
                <w:rFonts w:hint="eastAsia"/>
              </w:rPr>
              <w:t>项目产生的各项废气采取环评提出的各项措施后，可实现达标排放。</w:t>
            </w:r>
          </w:p>
          <w:p w14:paraId="40CA4D57">
            <w:pPr>
              <w:pStyle w:val="51"/>
              <w:ind w:firstLine="482"/>
              <w:rPr>
                <w:b/>
                <w:bCs/>
              </w:rPr>
            </w:pPr>
            <w:r>
              <w:rPr>
                <w:rFonts w:hint="eastAsia"/>
                <w:b/>
                <w:bCs/>
              </w:rPr>
              <w:t>1</w:t>
            </w:r>
            <w:r>
              <w:rPr>
                <w:b/>
                <w:bCs/>
              </w:rPr>
              <w:t>.5</w:t>
            </w:r>
            <w:r>
              <w:rPr>
                <w:rFonts w:hint="eastAsia"/>
                <w:b/>
                <w:bCs/>
                <w:color w:val="auto"/>
              </w:rPr>
              <w:t>项目废气治理措施可行性</w:t>
            </w:r>
          </w:p>
          <w:p w14:paraId="0B98D1EB">
            <w:pPr>
              <w:pStyle w:val="51"/>
              <w:rPr>
                <w:color w:val="auto"/>
              </w:rPr>
            </w:pPr>
            <w:r>
              <w:rPr>
                <w:rFonts w:hint="eastAsia"/>
                <w:color w:val="auto"/>
              </w:rPr>
              <w:t>本项目废气主要污染物为</w:t>
            </w:r>
            <w:r>
              <w:rPr>
                <w:rFonts w:hint="eastAsia"/>
                <w:color w:val="auto"/>
                <w:lang w:val="en-US" w:eastAsia="zh-CN"/>
              </w:rPr>
              <w:t>颗粒物、</w:t>
            </w:r>
            <w:r>
              <w:rPr>
                <w:rFonts w:hint="eastAsia"/>
                <w:color w:val="auto"/>
              </w:rPr>
              <w:t>锡及其化合物和有机废气，产生的废气经集气管道</w:t>
            </w:r>
            <w:r>
              <w:rPr>
                <w:rFonts w:hint="eastAsia"/>
                <w:color w:val="auto"/>
                <w:lang w:val="en-US" w:eastAsia="zh-CN"/>
              </w:rPr>
              <w:t>和集气罩</w:t>
            </w:r>
            <w:r>
              <w:rPr>
                <w:rFonts w:hint="eastAsia"/>
                <w:color w:val="auto"/>
              </w:rPr>
              <w:t>收集后，通过过滤棉和二级活性炭吸附装置处理后经排气筒排放。</w:t>
            </w:r>
          </w:p>
          <w:p w14:paraId="00B9D6B1">
            <w:pPr>
              <w:pStyle w:val="51"/>
              <w:rPr>
                <w:color w:val="auto"/>
              </w:rPr>
            </w:pPr>
            <w:r>
              <w:rPr>
                <w:rFonts w:hint="eastAsia"/>
                <w:color w:val="auto"/>
              </w:rPr>
              <w:t>（1）有机废气</w:t>
            </w:r>
          </w:p>
          <w:p w14:paraId="746DE381">
            <w:pPr>
              <w:pStyle w:val="51"/>
              <w:rPr>
                <w:color w:val="auto"/>
              </w:rPr>
            </w:pPr>
            <w:r>
              <w:rPr>
                <w:rFonts w:hint="eastAsia"/>
                <w:color w:val="auto"/>
              </w:rPr>
              <w:t>活性炭吸附工艺简述：活性炭是一种黑色粉状、粒状或丸状的无定形具有多孔的炭。主要成份为炭，还含有少量氧、氢、硫、氮、氯。也具有石墨那样的精细结构，只是晶粒较小，层层不规则堆积。具有较大的表面积，有很强的吸附能力。废气经过风管输送进入活性炭吸附器内部，由于活性炭固体表面上存在着未平衡和未饱和的分子引力或化学健力，因此当此固体表面与气体接触时，就能吸引气体分子，使其浓聚并保持在固体表面。</w:t>
            </w:r>
          </w:p>
          <w:p w14:paraId="36BDD1F3">
            <w:pPr>
              <w:pStyle w:val="51"/>
              <w:rPr>
                <w:color w:val="auto"/>
              </w:rPr>
            </w:pPr>
            <w:r>
              <w:rPr>
                <w:rFonts w:hint="eastAsia"/>
                <w:color w:val="auto"/>
              </w:rPr>
              <w:t>参照《排污许可证申请与核发技术规范 电子工业》（HJ 1031—2019）“表B.1</w:t>
            </w:r>
            <w:r>
              <w:rPr>
                <w:color w:val="auto"/>
              </w:rPr>
              <w:t xml:space="preserve"> </w:t>
            </w:r>
            <w:r>
              <w:rPr>
                <w:rFonts w:hint="eastAsia"/>
                <w:color w:val="auto"/>
              </w:rPr>
              <w:t>电子工业排污单位废气防治可行技术参考表”，活性炭吸附属于挥发性有机物推荐可行技术。</w:t>
            </w:r>
          </w:p>
          <w:p w14:paraId="793D3734">
            <w:pPr>
              <w:pStyle w:val="51"/>
              <w:rPr>
                <w:color w:val="auto"/>
              </w:rPr>
            </w:pPr>
            <w:r>
              <w:rPr>
                <w:rFonts w:hint="eastAsia"/>
                <w:color w:val="auto"/>
              </w:rPr>
              <w:t>根据《吸附法工业有机废气治理工程技术规范》（HJ 2026-2013），进入吸附装置的颗粒物含量宜低于1mg/m</w:t>
            </w:r>
            <w:r>
              <w:rPr>
                <w:rFonts w:hint="eastAsia"/>
                <w:color w:val="auto"/>
                <w:vertAlign w:val="superscript"/>
              </w:rPr>
              <w:t>3</w:t>
            </w:r>
            <w:r>
              <w:rPr>
                <w:rFonts w:hint="eastAsia"/>
                <w:color w:val="auto"/>
              </w:rPr>
              <w:t>，本项目颗粒物形式存在浓度为0.0</w:t>
            </w:r>
            <w:r>
              <w:rPr>
                <w:rFonts w:hint="eastAsia"/>
                <w:color w:val="auto"/>
                <w:lang w:val="en-US" w:eastAsia="zh-CN"/>
              </w:rPr>
              <w:t>4</w:t>
            </w:r>
            <w:r>
              <w:rPr>
                <w:rFonts w:hint="eastAsia"/>
                <w:color w:val="auto"/>
              </w:rPr>
              <w:t>mg/m</w:t>
            </w:r>
            <w:r>
              <w:rPr>
                <w:rFonts w:hint="eastAsia"/>
                <w:color w:val="auto"/>
                <w:vertAlign w:val="superscript"/>
              </w:rPr>
              <w:t>3</w:t>
            </w:r>
            <w:r>
              <w:rPr>
                <w:rFonts w:hint="eastAsia"/>
                <w:color w:val="auto"/>
              </w:rPr>
              <w:t>，可接入活性炭吸附装置进行有机废气的治理。</w:t>
            </w:r>
          </w:p>
          <w:p w14:paraId="2B2C2B46">
            <w:pPr>
              <w:pStyle w:val="51"/>
              <w:rPr>
                <w:color w:val="auto"/>
              </w:rPr>
            </w:pPr>
            <w:r>
              <w:rPr>
                <w:rFonts w:hint="eastAsia"/>
                <w:color w:val="auto"/>
              </w:rPr>
              <w:t>综上，活性炭吸附属于挥发性有机物推荐可行技术。根据工程分析内容，项目生产过程中产生的有机废气经两级活性炭吸附处理后，可实现达标排放，治理措施可行。</w:t>
            </w:r>
          </w:p>
          <w:p w14:paraId="5884E7A8">
            <w:pPr>
              <w:pStyle w:val="51"/>
              <w:rPr>
                <w:color w:val="auto"/>
              </w:rPr>
            </w:pPr>
            <w:r>
              <w:rPr>
                <w:rFonts w:hint="eastAsia"/>
                <w:color w:val="auto"/>
              </w:rPr>
              <w:t>（2）</w:t>
            </w:r>
            <w:r>
              <w:rPr>
                <w:rFonts w:hint="eastAsia"/>
                <w:color w:val="auto"/>
                <w:lang w:val="en-US" w:eastAsia="zh-CN"/>
              </w:rPr>
              <w:t>颗粒物、</w:t>
            </w:r>
            <w:r>
              <w:rPr>
                <w:rFonts w:hint="eastAsia"/>
                <w:color w:val="auto"/>
              </w:rPr>
              <w:t>锡及其化合物</w:t>
            </w:r>
          </w:p>
          <w:p w14:paraId="7D26BAD8">
            <w:pPr>
              <w:pStyle w:val="51"/>
              <w:ind w:firstLine="480"/>
            </w:pPr>
            <w:r>
              <w:rPr>
                <w:rFonts w:hint="eastAsia"/>
                <w:color w:val="auto"/>
              </w:rPr>
              <w:t>由于焊锡废气中含有一定量细微杂尘及少量颗粒物质（主要成分为锡及其化合物），若未经除去直接进入吸附装置，极易造成吸附材料（蜂窝状活性炭）的微孔堵塞，严重影响吸附效果、增加系统阻力、影响通风效果甚至给系统造成安全隐患，因此本工艺在两级活性炭吸附装置前设置过滤棉去除废气中细微尘杂及少量颗粒物质，从而确保由风机抽风引入的废气中所含的细微尘杂及少量颗粒物质在进入二级活性炭吸附装置前得到有效的拦截过滤。</w:t>
            </w:r>
          </w:p>
          <w:p w14:paraId="3BCABA3F">
            <w:pPr>
              <w:pStyle w:val="51"/>
              <w:ind w:firstLine="482"/>
              <w:rPr>
                <w:b/>
                <w:bCs/>
              </w:rPr>
            </w:pPr>
            <w:r>
              <w:rPr>
                <w:rFonts w:hint="eastAsia"/>
                <w:b/>
                <w:bCs/>
              </w:rPr>
              <w:t>1.6大气污染治理措施技术要求</w:t>
            </w:r>
          </w:p>
          <w:p w14:paraId="24E9DB8F">
            <w:pPr>
              <w:pStyle w:val="51"/>
              <w:rPr>
                <w:color w:val="auto"/>
              </w:rPr>
            </w:pPr>
            <w:r>
              <w:rPr>
                <w:rFonts w:hint="eastAsia"/>
                <w:color w:val="auto"/>
              </w:rPr>
              <w:t>根据《排风罩的分类及技术条件》（GB/T</w:t>
            </w:r>
            <w:r>
              <w:rPr>
                <w:color w:val="auto"/>
              </w:rPr>
              <w:t xml:space="preserve"> </w:t>
            </w:r>
            <w:r>
              <w:rPr>
                <w:rFonts w:hint="eastAsia"/>
                <w:color w:val="auto"/>
              </w:rPr>
              <w:t>16758</w:t>
            </w:r>
            <w:r>
              <w:rPr>
                <w:color w:val="auto"/>
              </w:rPr>
              <w:t>-</w:t>
            </w:r>
            <w:r>
              <w:rPr>
                <w:rFonts w:hint="eastAsia"/>
                <w:color w:val="auto"/>
              </w:rPr>
              <w:t>2008）：“对于可密闭的有害物源，应首先采用密闭的措施，尽可能将其密闭，用较小的排风量达到较好的控制效果”。项目回流焊</w:t>
            </w:r>
            <w:r>
              <w:rPr>
                <w:rFonts w:hint="eastAsia"/>
                <w:color w:val="auto"/>
                <w:lang w:val="en-US" w:eastAsia="zh-CN"/>
              </w:rPr>
              <w:t>和隧道炉</w:t>
            </w:r>
            <w:r>
              <w:rPr>
                <w:rFonts w:hint="eastAsia"/>
                <w:color w:val="auto"/>
              </w:rPr>
              <w:t>均</w:t>
            </w:r>
            <w:r>
              <w:rPr>
                <w:rFonts w:hint="eastAsia"/>
                <w:color w:val="auto"/>
                <w:lang w:val="en-US" w:eastAsia="zh-CN"/>
              </w:rPr>
              <w:t>为</w:t>
            </w:r>
            <w:r>
              <w:rPr>
                <w:rFonts w:hint="eastAsia"/>
                <w:color w:val="auto"/>
              </w:rPr>
              <w:t>密闭</w:t>
            </w:r>
            <w:r>
              <w:rPr>
                <w:rFonts w:hint="eastAsia"/>
                <w:color w:val="auto"/>
                <w:lang w:val="en-US" w:eastAsia="zh-CN"/>
              </w:rPr>
              <w:t>结构</w:t>
            </w:r>
            <w:r>
              <w:rPr>
                <w:rFonts w:hint="eastAsia"/>
                <w:color w:val="auto"/>
              </w:rPr>
              <w:t>，产生的污染物经环保设备处理后有组织排放。</w:t>
            </w:r>
          </w:p>
          <w:p w14:paraId="3A98D2D1">
            <w:pPr>
              <w:pStyle w:val="51"/>
              <w:rPr>
                <w:color w:val="auto"/>
              </w:rPr>
            </w:pPr>
            <w:r>
              <w:rPr>
                <w:rFonts w:hint="eastAsia"/>
                <w:color w:val="auto"/>
              </w:rPr>
              <w:t>根据《吸附法工业有机废气治理工程技术规范（H</w:t>
            </w:r>
            <w:r>
              <w:rPr>
                <w:color w:val="auto"/>
              </w:rPr>
              <w:t>J 2026-2013</w:t>
            </w:r>
            <w:r>
              <w:rPr>
                <w:rFonts w:hint="eastAsia"/>
                <w:color w:val="auto"/>
              </w:rPr>
              <w:t>）》，项目使用的活性炭吸附装置还需满足以下要求：</w:t>
            </w:r>
          </w:p>
          <w:p w14:paraId="13DC7BE9">
            <w:pPr>
              <w:pStyle w:val="51"/>
              <w:rPr>
                <w:color w:val="auto"/>
              </w:rPr>
            </w:pPr>
            <w:r>
              <w:rPr>
                <w:rFonts w:hint="eastAsia"/>
                <w:color w:val="auto"/>
              </w:rPr>
              <w:t>①蜂窝活性炭的横向强度应不低于0.3MPa，纵向强度应不低于0.8MPa，蜂窝活性炭的BET比表面积（利用BET法测试的单位质量吸附剂的表面积）应不低于750m</w:t>
            </w:r>
            <w:r>
              <w:rPr>
                <w:rFonts w:hint="eastAsia"/>
                <w:color w:val="auto"/>
                <w:vertAlign w:val="superscript"/>
              </w:rPr>
              <w:t>2</w:t>
            </w:r>
            <w:r>
              <w:rPr>
                <w:rFonts w:hint="eastAsia"/>
                <w:color w:val="auto"/>
              </w:rPr>
              <w:t>/g，蜂窝分子筛的BET比表面积应不低于350m</w:t>
            </w:r>
            <w:r>
              <w:rPr>
                <w:rFonts w:hint="eastAsia"/>
                <w:color w:val="auto"/>
                <w:vertAlign w:val="superscript"/>
              </w:rPr>
              <w:t>2</w:t>
            </w:r>
            <w:r>
              <w:rPr>
                <w:rFonts w:hint="eastAsia"/>
                <w:color w:val="auto"/>
              </w:rPr>
              <w:t>/g。</w:t>
            </w:r>
          </w:p>
          <w:p w14:paraId="0C8A6746">
            <w:pPr>
              <w:pStyle w:val="51"/>
              <w:rPr>
                <w:color w:val="auto"/>
              </w:rPr>
            </w:pPr>
            <w:r>
              <w:rPr>
                <w:rFonts w:hint="eastAsia"/>
                <w:color w:val="auto"/>
              </w:rPr>
              <w:t>②固定床吸附装置吸附层的气体流速应根据吸附剂的形态确定。采用颗粒状吸附剂时，气体流速宜低于0.60m/s；采用纤维状吸附剂(活性炭纤维毡)时，气体流速宜低于0.15m/s；采用蜂窝状吸附剂时，气体流速宜低于1.20m/s。</w:t>
            </w:r>
          </w:p>
          <w:p w14:paraId="34A8A2CD">
            <w:pPr>
              <w:pStyle w:val="51"/>
              <w:rPr>
                <w:color w:val="auto"/>
              </w:rPr>
            </w:pPr>
            <w:r>
              <w:rPr>
                <w:rFonts w:hint="eastAsia"/>
                <w:color w:val="auto"/>
              </w:rPr>
              <w:t>③对于一次性吸附工艺，当排气浓度不能满足设计或排放要求时应更换吸附剂。</w:t>
            </w:r>
          </w:p>
          <w:p w14:paraId="447A590E">
            <w:pPr>
              <w:pStyle w:val="51"/>
              <w:rPr>
                <w:color w:val="auto"/>
              </w:rPr>
            </w:pPr>
            <w:r>
              <w:rPr>
                <w:rFonts w:hint="eastAsia"/>
                <w:color w:val="auto"/>
              </w:rPr>
              <w:t>④按照“应收尽收”的原则提升废气收集率。优先采用密闭设备、在密闭空间中操作或采用全密闭集气罩收集方式；对于采用局部集气罩的，应根据废气排放特点合理选择收集点位，距集气罩开口面最远处的VOCs无组织排放位置，控制风速不低于0.3米/秒，达不到要求的通过更换大功率风机、增设烟道风机、增加垂帘等方式及时改造；加强生产车间密闭管理，在符合安全生产、职业卫生相关规定前提下，采用自动卷帘门、密闭性好的塑钢门窗等，在非必要时保持关闭。</w:t>
            </w:r>
          </w:p>
          <w:p w14:paraId="24B74BF9">
            <w:pPr>
              <w:pStyle w:val="51"/>
              <w:rPr>
                <w:color w:val="auto"/>
              </w:rPr>
            </w:pPr>
            <w:r>
              <w:rPr>
                <w:rFonts w:hint="eastAsia"/>
                <w:color w:val="auto"/>
              </w:rPr>
              <w:t>⑤按照与生产设备“同启同停”的原则提升治理设施运行率。根据处理工艺要求，在处理设施达到正常运行条件后方可启动生产设备，在生产设备停止、残留VOCs废气收集处理完毕后，方可停运处理设施。VOCs废气处理系统发生故障或检修时，对应生产工艺设备应停止运行，待检修完毕后同步投入使用。</w:t>
            </w:r>
          </w:p>
          <w:p w14:paraId="26EA59CA">
            <w:pPr>
              <w:pStyle w:val="51"/>
              <w:rPr>
                <w:color w:val="auto"/>
              </w:rPr>
            </w:pPr>
            <w:r>
              <w:rPr>
                <w:rFonts w:hint="eastAsia"/>
                <w:color w:val="auto"/>
              </w:rPr>
              <w:t>本项目二级活性炭吸附装置相关参数见下表。</w:t>
            </w:r>
          </w:p>
          <w:p w14:paraId="0783550E">
            <w:pPr>
              <w:pStyle w:val="52"/>
              <w:spacing w:before="0" w:beforeLines="0"/>
              <w:rPr>
                <w:color w:val="auto"/>
              </w:rPr>
            </w:pPr>
            <w:r>
              <w:rPr>
                <w:rFonts w:hint="eastAsia"/>
                <w:color w:val="auto"/>
              </w:rPr>
              <w:t>表4</w:t>
            </w:r>
            <w:r>
              <w:rPr>
                <w:color w:val="auto"/>
              </w:rPr>
              <w:t>-</w:t>
            </w:r>
            <w:r>
              <w:rPr>
                <w:rFonts w:hint="eastAsia"/>
                <w:color w:val="auto"/>
                <w:lang w:val="en-US" w:eastAsia="zh-CN"/>
              </w:rPr>
              <w:t>6</w:t>
            </w:r>
            <w:r>
              <w:rPr>
                <w:color w:val="auto"/>
              </w:rPr>
              <w:t xml:space="preserve">  </w:t>
            </w:r>
            <w:r>
              <w:rPr>
                <w:rFonts w:hint="eastAsia"/>
                <w:color w:val="auto"/>
              </w:rPr>
              <w:t>项目二级活性炭吸附装置技术参数一览表</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63"/>
              <w:gridCol w:w="5381"/>
            </w:tblGrid>
            <w:tr w14:paraId="5CAB2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pct"/>
                  <w:tcBorders>
                    <w:tl2br w:val="single" w:color="auto" w:sz="4" w:space="0"/>
                  </w:tcBorders>
                  <w:vAlign w:val="center"/>
                </w:tcPr>
                <w:p w14:paraId="5462B62D">
                  <w:pPr>
                    <w:pStyle w:val="201"/>
                    <w:rPr>
                      <w:b/>
                      <w:bCs/>
                      <w:color w:val="FF0000"/>
                    </w:rPr>
                  </w:pPr>
                  <w:r>
                    <w:rPr>
                      <w:b/>
                      <w:bCs/>
                      <w:color w:val="FF0000"/>
                    </w:rPr>
                    <w:t xml:space="preserve">       装置</w:t>
                  </w:r>
                </w:p>
                <w:p w14:paraId="69F3D01C">
                  <w:pPr>
                    <w:pStyle w:val="201"/>
                    <w:jc w:val="both"/>
                    <w:rPr>
                      <w:b/>
                      <w:bCs/>
                      <w:color w:val="FF0000"/>
                    </w:rPr>
                  </w:pPr>
                  <w:r>
                    <w:rPr>
                      <w:b/>
                      <w:bCs/>
                      <w:color w:val="FF0000"/>
                    </w:rPr>
                    <w:t>参数</w:t>
                  </w:r>
                </w:p>
              </w:tc>
              <w:tc>
                <w:tcPr>
                  <w:tcW w:w="3303" w:type="pct"/>
                  <w:vAlign w:val="center"/>
                </w:tcPr>
                <w:p w14:paraId="4983B45D">
                  <w:pPr>
                    <w:pStyle w:val="201"/>
                    <w:rPr>
                      <w:b/>
                      <w:bCs/>
                      <w:color w:val="FF0000"/>
                    </w:rPr>
                  </w:pPr>
                  <w:r>
                    <w:rPr>
                      <w:rFonts w:hint="eastAsia"/>
                      <w:b/>
                      <w:bCs/>
                      <w:color w:val="FF0000"/>
                    </w:rPr>
                    <w:t>DA001二级活性炭吸附装置</w:t>
                  </w:r>
                </w:p>
              </w:tc>
            </w:tr>
            <w:tr w14:paraId="4C9D4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pct"/>
                  <w:vAlign w:val="center"/>
                </w:tcPr>
                <w:p w14:paraId="2CF9B0B2">
                  <w:pPr>
                    <w:pStyle w:val="201"/>
                    <w:rPr>
                      <w:color w:val="FF0000"/>
                    </w:rPr>
                  </w:pPr>
                  <w:r>
                    <w:rPr>
                      <w:color w:val="FF0000"/>
                    </w:rPr>
                    <w:t>出口风量/m</w:t>
                  </w:r>
                  <w:r>
                    <w:rPr>
                      <w:color w:val="FF0000"/>
                      <w:vertAlign w:val="superscript"/>
                    </w:rPr>
                    <w:t>3</w:t>
                  </w:r>
                  <w:r>
                    <w:rPr>
                      <w:color w:val="FF0000"/>
                    </w:rPr>
                    <w:t>/h</w:t>
                  </w:r>
                </w:p>
              </w:tc>
              <w:tc>
                <w:tcPr>
                  <w:tcW w:w="3303" w:type="pct"/>
                  <w:vAlign w:val="center"/>
                </w:tcPr>
                <w:p w14:paraId="01FC7190">
                  <w:pPr>
                    <w:pStyle w:val="201"/>
                    <w:rPr>
                      <w:color w:val="FF0000"/>
                    </w:rPr>
                  </w:pPr>
                  <w:r>
                    <w:rPr>
                      <w:rFonts w:hint="eastAsia"/>
                      <w:color w:val="FF0000"/>
                      <w:lang w:val="en-US" w:eastAsia="zh-CN"/>
                    </w:rPr>
                    <w:t>21</w:t>
                  </w:r>
                  <w:r>
                    <w:rPr>
                      <w:rFonts w:hint="eastAsia"/>
                      <w:color w:val="FF0000"/>
                    </w:rPr>
                    <w:t>000</w:t>
                  </w:r>
                </w:p>
              </w:tc>
            </w:tr>
            <w:tr w14:paraId="33B4C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pct"/>
                  <w:vAlign w:val="center"/>
                </w:tcPr>
                <w:p w14:paraId="483C0B91">
                  <w:pPr>
                    <w:pStyle w:val="201"/>
                    <w:rPr>
                      <w:rFonts w:hint="default" w:eastAsia="宋体"/>
                      <w:color w:val="FF0000"/>
                      <w:lang w:val="en-US" w:eastAsia="zh-CN"/>
                    </w:rPr>
                  </w:pPr>
                  <w:r>
                    <w:rPr>
                      <w:color w:val="FF0000"/>
                    </w:rPr>
                    <w:t>活性炭形态</w:t>
                  </w:r>
                </w:p>
              </w:tc>
              <w:tc>
                <w:tcPr>
                  <w:tcW w:w="3303" w:type="pct"/>
                  <w:vAlign w:val="center"/>
                </w:tcPr>
                <w:p w14:paraId="4DA5BD96">
                  <w:pPr>
                    <w:pStyle w:val="201"/>
                    <w:rPr>
                      <w:rFonts w:hint="eastAsia"/>
                      <w:color w:val="FF0000"/>
                      <w:lang w:val="en-US" w:eastAsia="zh-CN"/>
                    </w:rPr>
                  </w:pPr>
                  <w:r>
                    <w:rPr>
                      <w:color w:val="FF0000"/>
                    </w:rPr>
                    <w:t>蜂窝状活性炭</w:t>
                  </w:r>
                </w:p>
              </w:tc>
            </w:tr>
            <w:tr w14:paraId="66516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pct"/>
                  <w:vAlign w:val="center"/>
                </w:tcPr>
                <w:p w14:paraId="038D6A1C">
                  <w:pPr>
                    <w:pStyle w:val="201"/>
                    <w:rPr>
                      <w:rFonts w:hint="default" w:eastAsia="宋体"/>
                      <w:color w:val="FF0000"/>
                      <w:lang w:val="en-US" w:eastAsia="zh-CN"/>
                    </w:rPr>
                  </w:pPr>
                  <w:r>
                    <w:rPr>
                      <w:rFonts w:hint="eastAsia"/>
                      <w:color w:val="FF0000"/>
                      <w:lang w:val="en-US" w:eastAsia="zh-CN"/>
                    </w:rPr>
                    <w:t>单级活性炭箱尺寸</w:t>
                  </w:r>
                </w:p>
              </w:tc>
              <w:tc>
                <w:tcPr>
                  <w:tcW w:w="3303" w:type="pct"/>
                  <w:vAlign w:val="center"/>
                </w:tcPr>
                <w:p w14:paraId="0F7D5E63">
                  <w:pPr>
                    <w:pStyle w:val="201"/>
                    <w:rPr>
                      <w:color w:val="FF0000"/>
                    </w:rPr>
                  </w:pPr>
                  <w:r>
                    <w:rPr>
                      <w:rFonts w:hint="eastAsia"/>
                      <w:color w:val="FF0000"/>
                    </w:rPr>
                    <w:t>L2.8m×W</w:t>
                  </w:r>
                  <w:r>
                    <w:rPr>
                      <w:rFonts w:hint="eastAsia"/>
                      <w:color w:val="FF0000"/>
                      <w:lang w:val="en-US" w:eastAsia="zh-CN"/>
                    </w:rPr>
                    <w:t>1.9</w:t>
                  </w:r>
                  <w:r>
                    <w:rPr>
                      <w:rFonts w:hint="eastAsia"/>
                      <w:color w:val="FF0000"/>
                    </w:rPr>
                    <w:t>m×H2.</w:t>
                  </w:r>
                  <w:r>
                    <w:rPr>
                      <w:rFonts w:hint="eastAsia"/>
                      <w:color w:val="FF0000"/>
                      <w:lang w:val="en-US" w:eastAsia="zh-CN"/>
                    </w:rPr>
                    <w:t>2</w:t>
                  </w:r>
                  <w:r>
                    <w:rPr>
                      <w:rFonts w:hint="eastAsia"/>
                      <w:color w:val="FF0000"/>
                    </w:rPr>
                    <w:t>m</w:t>
                  </w:r>
                </w:p>
              </w:tc>
            </w:tr>
            <w:tr w14:paraId="178CC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pct"/>
                  <w:vAlign w:val="center"/>
                </w:tcPr>
                <w:p w14:paraId="17031052">
                  <w:pPr>
                    <w:pStyle w:val="201"/>
                    <w:rPr>
                      <w:rFonts w:hint="default"/>
                      <w:color w:val="FF0000"/>
                      <w:lang w:val="en-US" w:eastAsia="zh-CN"/>
                    </w:rPr>
                  </w:pPr>
                  <w:r>
                    <w:rPr>
                      <w:rFonts w:hint="eastAsia"/>
                      <w:color w:val="FF0000"/>
                      <w:lang w:val="en-US" w:eastAsia="zh-CN"/>
                    </w:rPr>
                    <w:t>最小截面积m</w:t>
                  </w:r>
                  <w:r>
                    <w:rPr>
                      <w:rFonts w:hint="eastAsia"/>
                      <w:color w:val="FF0000"/>
                      <w:vertAlign w:val="superscript"/>
                      <w:lang w:val="en-US" w:eastAsia="zh-CN"/>
                    </w:rPr>
                    <w:t>2</w:t>
                  </w:r>
                </w:p>
              </w:tc>
              <w:tc>
                <w:tcPr>
                  <w:tcW w:w="3303" w:type="pct"/>
                  <w:vAlign w:val="center"/>
                </w:tcPr>
                <w:p w14:paraId="226FE06B">
                  <w:pPr>
                    <w:pStyle w:val="201"/>
                    <w:rPr>
                      <w:rFonts w:hint="default" w:eastAsia="宋体"/>
                      <w:color w:val="FF0000"/>
                      <w:lang w:val="en-US" w:eastAsia="zh-CN"/>
                    </w:rPr>
                  </w:pPr>
                  <w:r>
                    <w:rPr>
                      <w:rFonts w:hint="eastAsia"/>
                      <w:color w:val="FF0000"/>
                      <w:lang w:val="en-US" w:eastAsia="zh-CN"/>
                    </w:rPr>
                    <w:t>4.86</w:t>
                  </w:r>
                </w:p>
              </w:tc>
            </w:tr>
            <w:tr w14:paraId="49B9E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pct"/>
                  <w:vAlign w:val="center"/>
                </w:tcPr>
                <w:p w14:paraId="49A28861">
                  <w:pPr>
                    <w:pStyle w:val="201"/>
                    <w:rPr>
                      <w:color w:val="FF0000"/>
                    </w:rPr>
                  </w:pPr>
                  <w:r>
                    <w:rPr>
                      <w:color w:val="FF0000"/>
                    </w:rPr>
                    <w:t>工作阻力/</w:t>
                  </w:r>
                  <w:r>
                    <w:rPr>
                      <w:bCs/>
                      <w:color w:val="FF0000"/>
                    </w:rPr>
                    <w:t>Pa</w:t>
                  </w:r>
                </w:p>
              </w:tc>
              <w:tc>
                <w:tcPr>
                  <w:tcW w:w="3303" w:type="pct"/>
                  <w:vAlign w:val="center"/>
                </w:tcPr>
                <w:p w14:paraId="7B56BDBD">
                  <w:pPr>
                    <w:pStyle w:val="201"/>
                    <w:rPr>
                      <w:color w:val="FF0000"/>
                    </w:rPr>
                  </w:pPr>
                  <w:r>
                    <w:rPr>
                      <w:color w:val="FF0000"/>
                    </w:rPr>
                    <w:t>800~1200</w:t>
                  </w:r>
                </w:p>
              </w:tc>
            </w:tr>
            <w:tr w14:paraId="6E8F6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pct"/>
                  <w:vAlign w:val="center"/>
                </w:tcPr>
                <w:p w14:paraId="7BDE2309">
                  <w:pPr>
                    <w:pStyle w:val="201"/>
                    <w:rPr>
                      <w:color w:val="FF0000"/>
                    </w:rPr>
                  </w:pPr>
                  <w:r>
                    <w:rPr>
                      <w:color w:val="FF0000"/>
                    </w:rPr>
                    <w:t>活性炭层数</w:t>
                  </w:r>
                </w:p>
              </w:tc>
              <w:tc>
                <w:tcPr>
                  <w:tcW w:w="3303" w:type="pct"/>
                  <w:vAlign w:val="center"/>
                </w:tcPr>
                <w:p w14:paraId="13F30EE7">
                  <w:pPr>
                    <w:pStyle w:val="201"/>
                    <w:rPr>
                      <w:color w:val="FF0000"/>
                    </w:rPr>
                  </w:pPr>
                  <w:r>
                    <w:rPr>
                      <w:color w:val="FF0000"/>
                    </w:rPr>
                    <w:t>2级1层</w:t>
                  </w:r>
                </w:p>
              </w:tc>
            </w:tr>
            <w:tr w14:paraId="5424B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pct"/>
                  <w:vAlign w:val="center"/>
                </w:tcPr>
                <w:p w14:paraId="3A2416A9">
                  <w:pPr>
                    <w:pStyle w:val="201"/>
                    <w:rPr>
                      <w:color w:val="FF0000"/>
                    </w:rPr>
                  </w:pPr>
                  <w:r>
                    <w:rPr>
                      <w:color w:val="FF0000"/>
                    </w:rPr>
                    <w:t>孔隙度</w:t>
                  </w:r>
                </w:p>
              </w:tc>
              <w:tc>
                <w:tcPr>
                  <w:tcW w:w="3303" w:type="pct"/>
                  <w:vAlign w:val="center"/>
                </w:tcPr>
                <w:p w14:paraId="158616C8">
                  <w:pPr>
                    <w:pStyle w:val="201"/>
                    <w:rPr>
                      <w:color w:val="FF0000"/>
                    </w:rPr>
                  </w:pPr>
                  <w:r>
                    <w:rPr>
                      <w:color w:val="FF0000"/>
                    </w:rPr>
                    <w:t>0.75</w:t>
                  </w:r>
                </w:p>
              </w:tc>
            </w:tr>
            <w:tr w14:paraId="423D1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pct"/>
                  <w:vAlign w:val="center"/>
                </w:tcPr>
                <w:p w14:paraId="1EC4DED6">
                  <w:pPr>
                    <w:pStyle w:val="201"/>
                    <w:rPr>
                      <w:color w:val="FF0000"/>
                    </w:rPr>
                  </w:pPr>
                  <w:r>
                    <w:rPr>
                      <w:color w:val="FF0000"/>
                    </w:rPr>
                    <w:t>吸附介质</w:t>
                  </w:r>
                </w:p>
              </w:tc>
              <w:tc>
                <w:tcPr>
                  <w:tcW w:w="3303" w:type="pct"/>
                  <w:vAlign w:val="center"/>
                </w:tcPr>
                <w:p w14:paraId="01A56C6C">
                  <w:pPr>
                    <w:pStyle w:val="201"/>
                    <w:rPr>
                      <w:color w:val="FF0000"/>
                    </w:rPr>
                  </w:pPr>
                  <w:r>
                    <w:rPr>
                      <w:color w:val="FF0000"/>
                    </w:rPr>
                    <w:t>有机废气</w:t>
                  </w:r>
                </w:p>
              </w:tc>
            </w:tr>
            <w:tr w14:paraId="4C170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pct"/>
                  <w:vAlign w:val="center"/>
                </w:tcPr>
                <w:p w14:paraId="790E228A">
                  <w:pPr>
                    <w:pStyle w:val="201"/>
                    <w:rPr>
                      <w:rFonts w:hint="default" w:eastAsia="宋体"/>
                      <w:color w:val="FF0000"/>
                      <w:lang w:val="en-US" w:eastAsia="zh-CN"/>
                    </w:rPr>
                  </w:pPr>
                  <w:r>
                    <w:rPr>
                      <w:rFonts w:hint="eastAsia"/>
                      <w:color w:val="FF0000"/>
                      <w:lang w:val="en-US" w:eastAsia="zh-CN"/>
                    </w:rPr>
                    <w:t>过滤风速m/s</w:t>
                  </w:r>
                </w:p>
              </w:tc>
              <w:tc>
                <w:tcPr>
                  <w:tcW w:w="3303" w:type="pct"/>
                  <w:vAlign w:val="center"/>
                </w:tcPr>
                <w:p w14:paraId="429597AF">
                  <w:pPr>
                    <w:pStyle w:val="201"/>
                    <w:rPr>
                      <w:rFonts w:hint="default" w:eastAsia="宋体"/>
                      <w:color w:val="FF0000"/>
                      <w:lang w:val="en-US" w:eastAsia="zh-CN"/>
                    </w:rPr>
                  </w:pPr>
                  <w:r>
                    <w:rPr>
                      <w:rFonts w:hint="eastAsia"/>
                      <w:color w:val="FF0000"/>
                      <w:lang w:val="en-US" w:eastAsia="zh-CN"/>
                    </w:rPr>
                    <w:t>≤1.2</w:t>
                  </w:r>
                </w:p>
              </w:tc>
            </w:tr>
            <w:tr w14:paraId="3549A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pct"/>
                  <w:vAlign w:val="center"/>
                </w:tcPr>
                <w:p w14:paraId="3C0CB218">
                  <w:pPr>
                    <w:pStyle w:val="201"/>
                    <w:rPr>
                      <w:color w:val="FF0000"/>
                    </w:rPr>
                  </w:pPr>
                  <w:r>
                    <w:rPr>
                      <w:color w:val="FF0000"/>
                    </w:rPr>
                    <w:t>停留时间</w:t>
                  </w:r>
                </w:p>
              </w:tc>
              <w:tc>
                <w:tcPr>
                  <w:tcW w:w="3303" w:type="pct"/>
                  <w:vAlign w:val="center"/>
                </w:tcPr>
                <w:p w14:paraId="4E192267">
                  <w:pPr>
                    <w:pStyle w:val="201"/>
                    <w:rPr>
                      <w:color w:val="FF0000"/>
                    </w:rPr>
                  </w:pPr>
                  <w:r>
                    <w:rPr>
                      <w:color w:val="FF0000"/>
                    </w:rPr>
                    <w:t>0.2~2s</w:t>
                  </w:r>
                </w:p>
              </w:tc>
            </w:tr>
            <w:tr w14:paraId="43B3C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96" w:type="pct"/>
                  <w:vAlign w:val="center"/>
                </w:tcPr>
                <w:p w14:paraId="64C6CF9F">
                  <w:pPr>
                    <w:pStyle w:val="201"/>
                    <w:rPr>
                      <w:color w:val="FF0000"/>
                    </w:rPr>
                  </w:pPr>
                  <w:r>
                    <w:rPr>
                      <w:rFonts w:hint="eastAsia"/>
                      <w:bCs/>
                      <w:color w:val="FF0000"/>
                    </w:rPr>
                    <w:t>吸附污染物量</w:t>
                  </w:r>
                  <w:r>
                    <w:rPr>
                      <w:rFonts w:hint="eastAsia"/>
                      <w:color w:val="FF0000"/>
                    </w:rPr>
                    <w:t>t/a</w:t>
                  </w:r>
                </w:p>
              </w:tc>
              <w:tc>
                <w:tcPr>
                  <w:tcW w:w="3303" w:type="pct"/>
                  <w:vAlign w:val="center"/>
                </w:tcPr>
                <w:p w14:paraId="3A17F236">
                  <w:pPr>
                    <w:pStyle w:val="201"/>
                    <w:rPr>
                      <w:rFonts w:hint="default" w:eastAsia="宋体"/>
                      <w:color w:val="FF0000"/>
                      <w:lang w:val="en-US" w:eastAsia="zh-CN"/>
                    </w:rPr>
                  </w:pPr>
                  <w:r>
                    <w:rPr>
                      <w:rFonts w:hint="eastAsia"/>
                      <w:color w:val="FF0000"/>
                      <w:lang w:val="en-US" w:eastAsia="zh-CN"/>
                    </w:rPr>
                    <w:t>3.4</w:t>
                  </w:r>
                </w:p>
              </w:tc>
            </w:tr>
            <w:tr w14:paraId="0F165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96" w:type="pct"/>
                  <w:vAlign w:val="center"/>
                </w:tcPr>
                <w:p w14:paraId="62EECC18">
                  <w:pPr>
                    <w:pStyle w:val="201"/>
                    <w:rPr>
                      <w:color w:val="FF0000"/>
                    </w:rPr>
                  </w:pPr>
                  <w:r>
                    <w:rPr>
                      <w:rFonts w:hint="eastAsia"/>
                      <w:bCs/>
                      <w:color w:val="FF0000"/>
                    </w:rPr>
                    <w:t>理论活性炭用量</w:t>
                  </w:r>
                  <w:r>
                    <w:rPr>
                      <w:rFonts w:hint="eastAsia"/>
                      <w:color w:val="FF0000"/>
                    </w:rPr>
                    <w:t>t/a</w:t>
                  </w:r>
                </w:p>
              </w:tc>
              <w:tc>
                <w:tcPr>
                  <w:tcW w:w="3303" w:type="pct"/>
                  <w:vAlign w:val="center"/>
                </w:tcPr>
                <w:p w14:paraId="7E188E41">
                  <w:pPr>
                    <w:pStyle w:val="201"/>
                    <w:rPr>
                      <w:rFonts w:hint="default" w:eastAsia="宋体"/>
                      <w:color w:val="FF0000"/>
                      <w:lang w:val="en-US" w:eastAsia="zh-CN"/>
                    </w:rPr>
                  </w:pPr>
                  <w:r>
                    <w:rPr>
                      <w:rFonts w:hint="eastAsia"/>
                      <w:color w:val="FF0000"/>
                      <w:lang w:val="en-US" w:eastAsia="zh-CN"/>
                    </w:rPr>
                    <w:t>11.333</w:t>
                  </w:r>
                </w:p>
              </w:tc>
            </w:tr>
            <w:tr w14:paraId="3725B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pct"/>
                  <w:vAlign w:val="center"/>
                </w:tcPr>
                <w:p w14:paraId="66F366BC">
                  <w:pPr>
                    <w:pStyle w:val="201"/>
                    <w:rPr>
                      <w:color w:val="FF0000"/>
                    </w:rPr>
                  </w:pPr>
                  <w:r>
                    <w:rPr>
                      <w:color w:val="FF0000"/>
                    </w:rPr>
                    <w:t>活性炭一次填充量</w:t>
                  </w:r>
                  <w:r>
                    <w:rPr>
                      <w:rFonts w:hint="eastAsia"/>
                      <w:color w:val="FF0000"/>
                    </w:rPr>
                    <w:t>t</w:t>
                  </w:r>
                </w:p>
              </w:tc>
              <w:tc>
                <w:tcPr>
                  <w:tcW w:w="3303" w:type="pct"/>
                  <w:vAlign w:val="center"/>
                </w:tcPr>
                <w:p w14:paraId="22B93B53">
                  <w:pPr>
                    <w:pStyle w:val="201"/>
                    <w:rPr>
                      <w:color w:val="FF0000"/>
                    </w:rPr>
                  </w:pPr>
                  <w:r>
                    <w:rPr>
                      <w:rFonts w:hint="eastAsia"/>
                      <w:color w:val="FF0000"/>
                    </w:rPr>
                    <w:t>0.</w:t>
                  </w:r>
                  <w:r>
                    <w:rPr>
                      <w:rFonts w:hint="eastAsia"/>
                      <w:color w:val="FF0000"/>
                      <w:lang w:val="en-US" w:eastAsia="zh-CN"/>
                    </w:rPr>
                    <w:t>99</w:t>
                  </w:r>
                  <w:r>
                    <w:rPr>
                      <w:rFonts w:hint="eastAsia"/>
                      <w:bCs/>
                      <w:color w:val="FF0000"/>
                    </w:rPr>
                    <w:t>×2</w:t>
                  </w:r>
                </w:p>
              </w:tc>
            </w:tr>
            <w:tr w14:paraId="58FFD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pct"/>
                  <w:vAlign w:val="center"/>
                </w:tcPr>
                <w:p w14:paraId="3BFA882C">
                  <w:pPr>
                    <w:pStyle w:val="201"/>
                    <w:rPr>
                      <w:color w:val="FF0000"/>
                    </w:rPr>
                  </w:pPr>
                  <w:r>
                    <w:rPr>
                      <w:color w:val="FF0000"/>
                    </w:rPr>
                    <w:t>设计处理效率/%</w:t>
                  </w:r>
                </w:p>
              </w:tc>
              <w:tc>
                <w:tcPr>
                  <w:tcW w:w="3303" w:type="pct"/>
                  <w:vAlign w:val="center"/>
                </w:tcPr>
                <w:p w14:paraId="1546D255">
                  <w:pPr>
                    <w:pStyle w:val="201"/>
                    <w:rPr>
                      <w:color w:val="FF0000"/>
                    </w:rPr>
                  </w:pPr>
                  <w:r>
                    <w:rPr>
                      <w:rFonts w:hint="eastAsia"/>
                      <w:color w:val="FF0000"/>
                    </w:rPr>
                    <w:t>9</w:t>
                  </w:r>
                  <w:r>
                    <w:rPr>
                      <w:color w:val="FF0000"/>
                    </w:rPr>
                    <w:t>0</w:t>
                  </w:r>
                </w:p>
              </w:tc>
            </w:tr>
            <w:tr w14:paraId="55DBE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pct"/>
                  <w:vAlign w:val="center"/>
                </w:tcPr>
                <w:p w14:paraId="6931FD79">
                  <w:pPr>
                    <w:pStyle w:val="201"/>
                    <w:rPr>
                      <w:color w:val="FF0000"/>
                    </w:rPr>
                  </w:pPr>
                  <w:r>
                    <w:rPr>
                      <w:color w:val="FF0000"/>
                    </w:rPr>
                    <w:t>吸附碘值/mg/g</w:t>
                  </w:r>
                </w:p>
              </w:tc>
              <w:tc>
                <w:tcPr>
                  <w:tcW w:w="3303" w:type="pct"/>
                  <w:vAlign w:val="center"/>
                </w:tcPr>
                <w:p w14:paraId="3DD60072">
                  <w:pPr>
                    <w:pStyle w:val="201"/>
                    <w:rPr>
                      <w:color w:val="FF0000"/>
                    </w:rPr>
                  </w:pPr>
                  <w:r>
                    <w:rPr>
                      <w:color w:val="FF0000"/>
                    </w:rPr>
                    <w:t>≥800</w:t>
                  </w:r>
                </w:p>
              </w:tc>
            </w:tr>
            <w:tr w14:paraId="58589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pct"/>
                  <w:vAlign w:val="center"/>
                </w:tcPr>
                <w:p w14:paraId="70626EB3">
                  <w:pPr>
                    <w:pStyle w:val="201"/>
                    <w:rPr>
                      <w:color w:val="FF0000"/>
                    </w:rPr>
                  </w:pPr>
                  <w:r>
                    <w:rPr>
                      <w:color w:val="FF0000"/>
                    </w:rPr>
                    <w:t>活性炭密度</w:t>
                  </w:r>
                  <w:r>
                    <w:rPr>
                      <w:bCs/>
                      <w:color w:val="FF0000"/>
                    </w:rPr>
                    <w:t>kg/m</w:t>
                  </w:r>
                  <w:r>
                    <w:rPr>
                      <w:bCs/>
                      <w:color w:val="FF0000"/>
                      <w:vertAlign w:val="superscript"/>
                    </w:rPr>
                    <w:t>3</w:t>
                  </w:r>
                </w:p>
              </w:tc>
              <w:tc>
                <w:tcPr>
                  <w:tcW w:w="3303" w:type="pct"/>
                  <w:vAlign w:val="center"/>
                </w:tcPr>
                <w:p w14:paraId="0B3DAE69">
                  <w:pPr>
                    <w:pStyle w:val="201"/>
                    <w:rPr>
                      <w:color w:val="FF0000"/>
                    </w:rPr>
                  </w:pPr>
                  <w:r>
                    <w:rPr>
                      <w:color w:val="FF0000"/>
                    </w:rPr>
                    <w:t>550</w:t>
                  </w:r>
                </w:p>
              </w:tc>
            </w:tr>
            <w:tr w14:paraId="34FB7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696" w:type="pct"/>
                  <w:vAlign w:val="center"/>
                </w:tcPr>
                <w:p w14:paraId="5A77E636">
                  <w:pPr>
                    <w:pStyle w:val="201"/>
                    <w:rPr>
                      <w:color w:val="FF0000"/>
                    </w:rPr>
                  </w:pPr>
                  <w:r>
                    <w:rPr>
                      <w:color w:val="FF0000"/>
                    </w:rPr>
                    <w:t>更换周期</w:t>
                  </w:r>
                </w:p>
              </w:tc>
              <w:tc>
                <w:tcPr>
                  <w:tcW w:w="3303" w:type="pct"/>
                  <w:vAlign w:val="center"/>
                </w:tcPr>
                <w:p w14:paraId="44C7830E">
                  <w:pPr>
                    <w:pStyle w:val="201"/>
                    <w:rPr>
                      <w:color w:val="FF0000"/>
                    </w:rPr>
                  </w:pPr>
                  <w:r>
                    <w:rPr>
                      <w:rFonts w:hint="eastAsia"/>
                      <w:color w:val="FF0000"/>
                      <w:lang w:val="en-US" w:eastAsia="zh-CN"/>
                    </w:rPr>
                    <w:t>2</w:t>
                  </w:r>
                  <w:r>
                    <w:rPr>
                      <w:rFonts w:hint="eastAsia"/>
                      <w:color w:val="FF0000"/>
                    </w:rPr>
                    <w:t>个月</w:t>
                  </w:r>
                </w:p>
              </w:tc>
            </w:tr>
          </w:tbl>
          <w:p w14:paraId="46B098A2">
            <w:pPr>
              <w:pStyle w:val="51"/>
              <w:ind w:firstLine="482"/>
              <w:rPr>
                <w:b/>
                <w:bCs/>
              </w:rPr>
            </w:pPr>
            <w:r>
              <w:rPr>
                <w:b/>
                <w:bCs/>
              </w:rPr>
              <w:t>1.</w:t>
            </w:r>
            <w:r>
              <w:rPr>
                <w:rFonts w:hint="eastAsia"/>
                <w:b/>
                <w:bCs/>
              </w:rPr>
              <w:t>7项目无组织废气控制措施</w:t>
            </w:r>
          </w:p>
          <w:p w14:paraId="29106AA4">
            <w:pPr>
              <w:pStyle w:val="51"/>
              <w:rPr>
                <w:color w:val="auto"/>
              </w:rPr>
            </w:pPr>
            <w:r>
              <w:rPr>
                <w:rFonts w:hint="eastAsia"/>
                <w:color w:val="auto"/>
              </w:rPr>
              <w:t>为了进一步减少项目生产过程产生的废气无组织排放，为员工提供一个良好的工作生活环境，企业通过加强厂区绿化等方式降低无组织废气对周围环境的影响。具体措施如下：</w:t>
            </w:r>
          </w:p>
          <w:p w14:paraId="676ADAB1">
            <w:pPr>
              <w:pStyle w:val="51"/>
              <w:rPr>
                <w:color w:val="auto"/>
              </w:rPr>
            </w:pPr>
            <w:r>
              <w:rPr>
                <w:rFonts w:hint="eastAsia"/>
                <w:color w:val="auto"/>
              </w:rPr>
              <w:t>①加强运行管理和环境管理，提高工人操作水平，通过宣传增强职工环保意识，积极推行清洁生产，节能降耗，多种措施并举，减少污染物排放；</w:t>
            </w:r>
          </w:p>
          <w:p w14:paraId="70CB457B">
            <w:pPr>
              <w:pStyle w:val="51"/>
              <w:rPr>
                <w:color w:val="auto"/>
              </w:rPr>
            </w:pPr>
            <w:r>
              <w:rPr>
                <w:rFonts w:hint="eastAsia"/>
                <w:color w:val="auto"/>
              </w:rPr>
              <w:t>②废气收集系统应根据气体性质、流量等因素综合设计，确保废气收集效果；</w:t>
            </w:r>
          </w:p>
          <w:p w14:paraId="35BC8431">
            <w:pPr>
              <w:pStyle w:val="51"/>
              <w:rPr>
                <w:color w:val="auto"/>
              </w:rPr>
            </w:pPr>
            <w:r>
              <w:rPr>
                <w:rFonts w:hint="eastAsia"/>
                <w:color w:val="auto"/>
              </w:rPr>
              <w:t>③污染气体应尽可能利用生产设备本身的集气系统进行收集，设备自身无集气系统的，尽可能对产污设备或施工区域进行密闭，废气采用负压收集，便于捕集和控制污染物；</w:t>
            </w:r>
          </w:p>
          <w:p w14:paraId="580B252E">
            <w:pPr>
              <w:pStyle w:val="51"/>
              <w:ind w:firstLine="480"/>
            </w:pPr>
            <w:r>
              <w:rPr>
                <w:rFonts w:hint="eastAsia"/>
                <w:color w:val="auto"/>
                <w:kern w:val="0"/>
                <w:sz w:val="24"/>
              </w:rPr>
              <w:t>综上所述，通过采取表4-2及上述大气污染防治措施后，本项目运营期间产生废气均能实现达标排放，采取的大气污染防治措施可行，对周边环境影响可接受。</w:t>
            </w:r>
          </w:p>
          <w:p w14:paraId="3E9E3878">
            <w:pPr>
              <w:pStyle w:val="51"/>
              <w:ind w:firstLine="482"/>
              <w:rPr>
                <w:b/>
                <w:bCs/>
              </w:rPr>
            </w:pPr>
            <w:r>
              <w:rPr>
                <w:rFonts w:hint="eastAsia"/>
                <w:b/>
                <w:bCs/>
              </w:rPr>
              <w:t>1</w:t>
            </w:r>
            <w:r>
              <w:rPr>
                <w:b/>
                <w:bCs/>
              </w:rPr>
              <w:t>.</w:t>
            </w:r>
            <w:r>
              <w:rPr>
                <w:rFonts w:hint="eastAsia"/>
                <w:b/>
                <w:bCs/>
                <w:lang w:val="en-US" w:eastAsia="zh-CN"/>
              </w:rPr>
              <w:t xml:space="preserve">8 </w:t>
            </w:r>
            <w:r>
              <w:rPr>
                <w:rFonts w:hint="eastAsia"/>
                <w:b/>
                <w:bCs/>
              </w:rPr>
              <w:t>非正常情况分析</w:t>
            </w:r>
          </w:p>
          <w:p w14:paraId="028A9217">
            <w:pPr>
              <w:pStyle w:val="51"/>
              <w:rPr>
                <w:color w:val="auto"/>
              </w:rPr>
            </w:pPr>
            <w:r>
              <w:rPr>
                <w:rFonts w:hint="eastAsia"/>
                <w:color w:val="auto"/>
              </w:rPr>
              <w:t>（1）开停机</w:t>
            </w:r>
          </w:p>
          <w:p w14:paraId="19132964">
            <w:pPr>
              <w:pStyle w:val="51"/>
              <w:rPr>
                <w:color w:val="auto"/>
              </w:rPr>
            </w:pPr>
            <w:r>
              <w:rPr>
                <w:rFonts w:hint="eastAsia"/>
                <w:color w:val="auto"/>
              </w:rPr>
              <w:t>建设单位在开启设备生产前，应先开启相应的收集设施及污染物治理设施，避免开机阶段产生未经处理而排放的废气；结束生产、设备停机后，应延长收集系统及污染物治理设施运行时间，确保废气污染物均得到有效处理后方关闭抽风系统及环保设施。采取上述措施后，设备开停机阶段的废气可得到有效处理，无非正常排放情况。</w:t>
            </w:r>
          </w:p>
          <w:p w14:paraId="0F279B2E">
            <w:pPr>
              <w:pStyle w:val="51"/>
              <w:rPr>
                <w:color w:val="auto"/>
              </w:rPr>
            </w:pPr>
            <w:r>
              <w:rPr>
                <w:rFonts w:hint="eastAsia"/>
                <w:color w:val="auto"/>
              </w:rPr>
              <w:t>（2）治理设施不能正常正常运行</w:t>
            </w:r>
          </w:p>
          <w:p w14:paraId="7D78E084">
            <w:pPr>
              <w:pStyle w:val="51"/>
              <w:rPr>
                <w:color w:val="auto"/>
              </w:rPr>
            </w:pPr>
            <w:r>
              <w:rPr>
                <w:rFonts w:hint="eastAsia"/>
                <w:color w:val="auto"/>
              </w:rPr>
              <w:t>本项目治理设施非正常运行主要考虑废气治理设施活性炭饱和达不到应有效率，有机废气未经净化直接排放分析。根据源强分析可知，若在废气治理设施发生故障的情况下，废气非正常排放情况统计如下表所示：</w:t>
            </w:r>
          </w:p>
          <w:p w14:paraId="214A199F">
            <w:pPr>
              <w:spacing w:line="360" w:lineRule="auto"/>
              <w:jc w:val="center"/>
              <w:rPr>
                <w:b/>
                <w:bCs/>
                <w:color w:val="auto"/>
                <w:kern w:val="0"/>
                <w:szCs w:val="21"/>
              </w:rPr>
            </w:pPr>
            <w:r>
              <w:rPr>
                <w:rFonts w:hint="eastAsia"/>
                <w:b/>
                <w:bCs/>
                <w:color w:val="auto"/>
                <w:kern w:val="0"/>
                <w:szCs w:val="21"/>
              </w:rPr>
              <w:t>表4-</w:t>
            </w:r>
            <w:r>
              <w:rPr>
                <w:rFonts w:hint="eastAsia"/>
                <w:b/>
                <w:bCs/>
                <w:color w:val="auto"/>
                <w:kern w:val="0"/>
                <w:szCs w:val="21"/>
                <w:lang w:val="en-US" w:eastAsia="zh-CN"/>
              </w:rPr>
              <w:t>7</w:t>
            </w:r>
            <w:r>
              <w:rPr>
                <w:rFonts w:hint="eastAsia"/>
                <w:b/>
                <w:bCs/>
                <w:color w:val="auto"/>
                <w:kern w:val="0"/>
                <w:szCs w:val="21"/>
              </w:rPr>
              <w:t xml:space="preserve">  项目废气非正常排放源强</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8"/>
              <w:gridCol w:w="1322"/>
              <w:gridCol w:w="1029"/>
              <w:gridCol w:w="1073"/>
              <w:gridCol w:w="1187"/>
              <w:gridCol w:w="1159"/>
              <w:gridCol w:w="1019"/>
            </w:tblGrid>
            <w:tr w14:paraId="0067B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1379" w:type="dxa"/>
                  <w:vAlign w:val="center"/>
                </w:tcPr>
                <w:p w14:paraId="32C5B15E">
                  <w:pPr>
                    <w:spacing w:line="260" w:lineRule="exact"/>
                    <w:jc w:val="center"/>
                    <w:rPr>
                      <w:b/>
                      <w:bCs/>
                      <w:color w:val="auto"/>
                      <w:szCs w:val="21"/>
                    </w:rPr>
                  </w:pPr>
                  <w:r>
                    <w:rPr>
                      <w:b/>
                      <w:bCs/>
                      <w:color w:val="auto"/>
                      <w:szCs w:val="21"/>
                    </w:rPr>
                    <w:t>非正常排放情景</w:t>
                  </w:r>
                </w:p>
              </w:tc>
              <w:tc>
                <w:tcPr>
                  <w:tcW w:w="1348" w:type="dxa"/>
                  <w:vAlign w:val="center"/>
                </w:tcPr>
                <w:p w14:paraId="65323D5C">
                  <w:pPr>
                    <w:spacing w:line="260" w:lineRule="exact"/>
                    <w:jc w:val="center"/>
                    <w:rPr>
                      <w:b/>
                      <w:bCs/>
                      <w:color w:val="auto"/>
                      <w:szCs w:val="21"/>
                    </w:rPr>
                  </w:pPr>
                  <w:r>
                    <w:rPr>
                      <w:b/>
                      <w:bCs/>
                      <w:color w:val="auto"/>
                      <w:szCs w:val="21"/>
                    </w:rPr>
                    <w:t>污染源</w:t>
                  </w:r>
                </w:p>
              </w:tc>
              <w:tc>
                <w:tcPr>
                  <w:tcW w:w="1047" w:type="dxa"/>
                  <w:vAlign w:val="center"/>
                </w:tcPr>
                <w:p w14:paraId="5368E6EF">
                  <w:pPr>
                    <w:spacing w:line="260" w:lineRule="exact"/>
                    <w:jc w:val="center"/>
                    <w:rPr>
                      <w:b/>
                      <w:bCs/>
                      <w:color w:val="auto"/>
                      <w:szCs w:val="21"/>
                    </w:rPr>
                  </w:pPr>
                  <w:r>
                    <w:rPr>
                      <w:b/>
                      <w:bCs/>
                      <w:color w:val="auto"/>
                      <w:szCs w:val="21"/>
                    </w:rPr>
                    <w:t>污染因子</w:t>
                  </w:r>
                </w:p>
              </w:tc>
              <w:tc>
                <w:tcPr>
                  <w:tcW w:w="1081" w:type="dxa"/>
                  <w:vAlign w:val="center"/>
                </w:tcPr>
                <w:p w14:paraId="7A7049F8">
                  <w:pPr>
                    <w:spacing w:line="260" w:lineRule="exact"/>
                    <w:jc w:val="center"/>
                    <w:rPr>
                      <w:b/>
                      <w:bCs/>
                      <w:color w:val="auto"/>
                      <w:szCs w:val="21"/>
                      <w:vertAlign w:val="superscript"/>
                    </w:rPr>
                  </w:pPr>
                  <w:r>
                    <w:rPr>
                      <w:b/>
                      <w:bCs/>
                      <w:color w:val="auto"/>
                      <w:szCs w:val="21"/>
                    </w:rPr>
                    <w:t>非正常排放</w:t>
                  </w:r>
                  <w:r>
                    <w:rPr>
                      <w:rFonts w:hint="eastAsia"/>
                      <w:b/>
                      <w:bCs/>
                      <w:color w:val="auto"/>
                      <w:szCs w:val="21"/>
                    </w:rPr>
                    <w:t>浓度mg/m</w:t>
                  </w:r>
                  <w:r>
                    <w:rPr>
                      <w:rFonts w:hint="eastAsia"/>
                      <w:b/>
                      <w:bCs/>
                      <w:color w:val="auto"/>
                      <w:szCs w:val="21"/>
                      <w:vertAlign w:val="superscript"/>
                    </w:rPr>
                    <w:t>3</w:t>
                  </w:r>
                </w:p>
              </w:tc>
              <w:tc>
                <w:tcPr>
                  <w:tcW w:w="1201" w:type="dxa"/>
                  <w:vAlign w:val="center"/>
                </w:tcPr>
                <w:p w14:paraId="40D2A58E">
                  <w:pPr>
                    <w:spacing w:line="260" w:lineRule="exact"/>
                    <w:jc w:val="center"/>
                    <w:rPr>
                      <w:b/>
                      <w:bCs/>
                      <w:color w:val="auto"/>
                      <w:szCs w:val="21"/>
                    </w:rPr>
                  </w:pPr>
                  <w:r>
                    <w:rPr>
                      <w:b/>
                      <w:bCs/>
                      <w:color w:val="auto"/>
                      <w:szCs w:val="21"/>
                    </w:rPr>
                    <w:t>非正常排放</w:t>
                  </w:r>
                  <w:r>
                    <w:rPr>
                      <w:rFonts w:hint="eastAsia"/>
                      <w:b/>
                      <w:bCs/>
                      <w:color w:val="auto"/>
                      <w:szCs w:val="21"/>
                    </w:rPr>
                    <w:t>速率</w:t>
                  </w:r>
                  <w:r>
                    <w:rPr>
                      <w:b/>
                      <w:bCs/>
                      <w:color w:val="auto"/>
                      <w:szCs w:val="21"/>
                    </w:rPr>
                    <w:t>kg/h</w:t>
                  </w:r>
                </w:p>
              </w:tc>
              <w:tc>
                <w:tcPr>
                  <w:tcW w:w="1179" w:type="dxa"/>
                  <w:vAlign w:val="center"/>
                </w:tcPr>
                <w:p w14:paraId="6C26192B">
                  <w:pPr>
                    <w:spacing w:line="260" w:lineRule="exact"/>
                    <w:jc w:val="center"/>
                    <w:rPr>
                      <w:b/>
                      <w:bCs/>
                      <w:color w:val="auto"/>
                      <w:szCs w:val="21"/>
                    </w:rPr>
                  </w:pPr>
                  <w:r>
                    <w:rPr>
                      <w:b/>
                      <w:bCs/>
                      <w:color w:val="auto"/>
                      <w:szCs w:val="21"/>
                    </w:rPr>
                    <w:t>单次持续时间/h</w:t>
                  </w:r>
                </w:p>
              </w:tc>
              <w:tc>
                <w:tcPr>
                  <w:tcW w:w="1036" w:type="dxa"/>
                  <w:vAlign w:val="center"/>
                </w:tcPr>
                <w:p w14:paraId="0CA065A2">
                  <w:pPr>
                    <w:spacing w:line="260" w:lineRule="exact"/>
                    <w:jc w:val="center"/>
                    <w:rPr>
                      <w:b/>
                      <w:bCs/>
                      <w:color w:val="auto"/>
                      <w:szCs w:val="21"/>
                    </w:rPr>
                  </w:pPr>
                  <w:r>
                    <w:rPr>
                      <w:b/>
                      <w:bCs/>
                      <w:color w:val="auto"/>
                      <w:szCs w:val="21"/>
                    </w:rPr>
                    <w:t>年发生频次/次</w:t>
                  </w:r>
                </w:p>
              </w:tc>
            </w:tr>
            <w:tr w14:paraId="4C35C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9" w:type="dxa"/>
                  <w:vMerge w:val="restart"/>
                  <w:vAlign w:val="center"/>
                </w:tcPr>
                <w:p w14:paraId="25FBF1FB">
                  <w:pPr>
                    <w:pStyle w:val="8"/>
                    <w:snapToGrid w:val="0"/>
                    <w:spacing w:after="0"/>
                    <w:ind w:left="0" w:leftChars="0" w:firstLine="0" w:firstLineChars="0"/>
                    <w:jc w:val="center"/>
                    <w:rPr>
                      <w:color w:val="auto"/>
                      <w:szCs w:val="21"/>
                    </w:rPr>
                  </w:pPr>
                  <w:r>
                    <w:rPr>
                      <w:rFonts w:hint="eastAsia"/>
                      <w:color w:val="auto"/>
                      <w:szCs w:val="21"/>
                      <w:lang w:val="en-US" w:eastAsia="zh-CN"/>
                    </w:rPr>
                    <w:t>过滤棉、</w:t>
                  </w:r>
                  <w:r>
                    <w:rPr>
                      <w:rFonts w:hint="eastAsia"/>
                      <w:color w:val="auto"/>
                      <w:szCs w:val="21"/>
                    </w:rPr>
                    <w:t>活性炭吸附设施饱和</w:t>
                  </w:r>
                </w:p>
              </w:tc>
              <w:tc>
                <w:tcPr>
                  <w:tcW w:w="1348" w:type="dxa"/>
                  <w:vMerge w:val="restart"/>
                  <w:vAlign w:val="center"/>
                </w:tcPr>
                <w:p w14:paraId="4D7EEBE6">
                  <w:pPr>
                    <w:pStyle w:val="8"/>
                    <w:snapToGrid w:val="0"/>
                    <w:spacing w:after="0"/>
                    <w:ind w:left="0" w:leftChars="0" w:firstLine="0" w:firstLineChars="0"/>
                    <w:jc w:val="center"/>
                    <w:rPr>
                      <w:color w:val="auto"/>
                      <w:szCs w:val="21"/>
                    </w:rPr>
                  </w:pPr>
                  <w:r>
                    <w:rPr>
                      <w:rFonts w:hint="eastAsia"/>
                      <w:color w:val="auto"/>
                      <w:szCs w:val="21"/>
                    </w:rPr>
                    <w:t>生产车间</w:t>
                  </w:r>
                </w:p>
              </w:tc>
              <w:tc>
                <w:tcPr>
                  <w:tcW w:w="1047" w:type="dxa"/>
                  <w:vAlign w:val="center"/>
                </w:tcPr>
                <w:p w14:paraId="192CA3E2">
                  <w:pPr>
                    <w:jc w:val="center"/>
                    <w:rPr>
                      <w:color w:val="auto"/>
                      <w:szCs w:val="21"/>
                    </w:rPr>
                  </w:pPr>
                  <w:r>
                    <w:rPr>
                      <w:rFonts w:hint="eastAsia"/>
                      <w:color w:val="auto"/>
                      <w:szCs w:val="21"/>
                    </w:rPr>
                    <w:t>非甲烷总烃</w:t>
                  </w:r>
                </w:p>
              </w:tc>
              <w:tc>
                <w:tcPr>
                  <w:tcW w:w="1081" w:type="dxa"/>
                  <w:vAlign w:val="center"/>
                </w:tcPr>
                <w:p w14:paraId="6097D9F6">
                  <w:pPr>
                    <w:jc w:val="center"/>
                    <w:rPr>
                      <w:rFonts w:hint="default" w:eastAsia="宋体"/>
                      <w:color w:val="FF0000"/>
                      <w:szCs w:val="21"/>
                      <w:lang w:val="en-US" w:eastAsia="zh-CN"/>
                    </w:rPr>
                  </w:pPr>
                  <w:r>
                    <w:rPr>
                      <w:rFonts w:hint="eastAsia"/>
                      <w:color w:val="FF0000"/>
                      <w:szCs w:val="21"/>
                      <w:lang w:val="en-US" w:eastAsia="zh-CN"/>
                    </w:rPr>
                    <w:t>57.177</w:t>
                  </w:r>
                </w:p>
              </w:tc>
              <w:tc>
                <w:tcPr>
                  <w:tcW w:w="1201" w:type="dxa"/>
                  <w:vAlign w:val="center"/>
                </w:tcPr>
                <w:p w14:paraId="3C91896F">
                  <w:pPr>
                    <w:jc w:val="center"/>
                    <w:rPr>
                      <w:rFonts w:hint="default" w:eastAsia="宋体"/>
                      <w:color w:val="FF0000"/>
                      <w:szCs w:val="21"/>
                      <w:lang w:val="en-US" w:eastAsia="zh-CN"/>
                    </w:rPr>
                  </w:pPr>
                  <w:r>
                    <w:rPr>
                      <w:rFonts w:hint="eastAsia"/>
                      <w:color w:val="FF0000"/>
                      <w:szCs w:val="21"/>
                      <w:lang w:val="en-US" w:eastAsia="zh-CN"/>
                    </w:rPr>
                    <w:t>1.201</w:t>
                  </w:r>
                </w:p>
              </w:tc>
              <w:tc>
                <w:tcPr>
                  <w:tcW w:w="1179" w:type="dxa"/>
                  <w:vMerge w:val="restart"/>
                  <w:vAlign w:val="center"/>
                </w:tcPr>
                <w:p w14:paraId="365243B6">
                  <w:pPr>
                    <w:jc w:val="center"/>
                    <w:rPr>
                      <w:color w:val="auto"/>
                      <w:szCs w:val="21"/>
                    </w:rPr>
                  </w:pPr>
                  <w:r>
                    <w:rPr>
                      <w:rFonts w:hint="eastAsia"/>
                      <w:color w:val="auto"/>
                      <w:szCs w:val="21"/>
                    </w:rPr>
                    <w:t>0.5</w:t>
                  </w:r>
                </w:p>
              </w:tc>
              <w:tc>
                <w:tcPr>
                  <w:tcW w:w="1036" w:type="dxa"/>
                  <w:vMerge w:val="restart"/>
                  <w:vAlign w:val="center"/>
                </w:tcPr>
                <w:p w14:paraId="0CFC7589">
                  <w:pPr>
                    <w:jc w:val="center"/>
                    <w:rPr>
                      <w:color w:val="auto"/>
                      <w:szCs w:val="21"/>
                    </w:rPr>
                  </w:pPr>
                  <w:r>
                    <w:rPr>
                      <w:color w:val="auto"/>
                      <w:szCs w:val="21"/>
                    </w:rPr>
                    <w:t>1</w:t>
                  </w:r>
                  <w:r>
                    <w:rPr>
                      <w:rFonts w:hint="eastAsia"/>
                      <w:color w:val="auto"/>
                      <w:szCs w:val="21"/>
                    </w:rPr>
                    <w:t>次</w:t>
                  </w:r>
                </w:p>
              </w:tc>
            </w:tr>
            <w:tr w14:paraId="5D3D3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9" w:type="dxa"/>
                  <w:vMerge w:val="continue"/>
                  <w:vAlign w:val="center"/>
                </w:tcPr>
                <w:p w14:paraId="07611276">
                  <w:pPr>
                    <w:pStyle w:val="8"/>
                    <w:snapToGrid w:val="0"/>
                    <w:spacing w:after="0"/>
                    <w:ind w:left="0" w:leftChars="0" w:firstLine="0" w:firstLineChars="0"/>
                    <w:jc w:val="center"/>
                    <w:rPr>
                      <w:rFonts w:hint="eastAsia"/>
                      <w:color w:val="auto"/>
                      <w:szCs w:val="21"/>
                    </w:rPr>
                  </w:pPr>
                </w:p>
              </w:tc>
              <w:tc>
                <w:tcPr>
                  <w:tcW w:w="1348" w:type="dxa"/>
                  <w:vMerge w:val="continue"/>
                  <w:vAlign w:val="center"/>
                </w:tcPr>
                <w:p w14:paraId="5E05B5AE">
                  <w:pPr>
                    <w:pStyle w:val="8"/>
                    <w:snapToGrid w:val="0"/>
                    <w:spacing w:after="0"/>
                    <w:ind w:left="0" w:leftChars="0" w:firstLine="0" w:firstLineChars="0"/>
                    <w:jc w:val="center"/>
                    <w:rPr>
                      <w:rFonts w:hint="eastAsia"/>
                      <w:color w:val="auto"/>
                      <w:szCs w:val="21"/>
                    </w:rPr>
                  </w:pPr>
                </w:p>
              </w:tc>
              <w:tc>
                <w:tcPr>
                  <w:tcW w:w="1047" w:type="dxa"/>
                  <w:vAlign w:val="center"/>
                </w:tcPr>
                <w:p w14:paraId="496C2A30">
                  <w:pPr>
                    <w:jc w:val="center"/>
                    <w:rPr>
                      <w:rFonts w:hint="eastAsia" w:eastAsia="宋体"/>
                      <w:color w:val="auto"/>
                      <w:szCs w:val="21"/>
                      <w:lang w:val="en-US" w:eastAsia="zh-CN"/>
                    </w:rPr>
                  </w:pPr>
                  <w:r>
                    <w:rPr>
                      <w:rFonts w:hint="eastAsia"/>
                      <w:color w:val="auto"/>
                      <w:szCs w:val="21"/>
                      <w:lang w:val="en-US" w:eastAsia="zh-CN"/>
                    </w:rPr>
                    <w:t>颗粒物</w:t>
                  </w:r>
                </w:p>
              </w:tc>
              <w:tc>
                <w:tcPr>
                  <w:tcW w:w="1081" w:type="dxa"/>
                  <w:vAlign w:val="center"/>
                </w:tcPr>
                <w:p w14:paraId="0F702E8F">
                  <w:pPr>
                    <w:jc w:val="center"/>
                    <w:rPr>
                      <w:rFonts w:hint="default"/>
                      <w:color w:val="FF0000"/>
                      <w:szCs w:val="21"/>
                      <w:lang w:val="en-US" w:eastAsia="zh-CN"/>
                    </w:rPr>
                  </w:pPr>
                  <w:r>
                    <w:rPr>
                      <w:rFonts w:hint="eastAsia"/>
                      <w:color w:val="FF0000"/>
                      <w:szCs w:val="21"/>
                      <w:lang w:val="en-US" w:eastAsia="zh-CN"/>
                    </w:rPr>
                    <w:t>0.101</w:t>
                  </w:r>
                </w:p>
              </w:tc>
              <w:tc>
                <w:tcPr>
                  <w:tcW w:w="1201" w:type="dxa"/>
                  <w:vAlign w:val="center"/>
                </w:tcPr>
                <w:p w14:paraId="5F92E616">
                  <w:pPr>
                    <w:jc w:val="center"/>
                    <w:rPr>
                      <w:rFonts w:hint="default"/>
                      <w:color w:val="FF0000"/>
                      <w:szCs w:val="21"/>
                      <w:lang w:val="en-US" w:eastAsia="zh-CN"/>
                    </w:rPr>
                  </w:pPr>
                  <w:r>
                    <w:rPr>
                      <w:rFonts w:hint="eastAsia"/>
                      <w:color w:val="FF0000"/>
                      <w:szCs w:val="21"/>
                      <w:lang w:val="en-US" w:eastAsia="zh-CN"/>
                    </w:rPr>
                    <w:t>0.002</w:t>
                  </w:r>
                </w:p>
              </w:tc>
              <w:tc>
                <w:tcPr>
                  <w:tcW w:w="1179" w:type="dxa"/>
                  <w:vMerge w:val="continue"/>
                  <w:vAlign w:val="center"/>
                </w:tcPr>
                <w:p w14:paraId="2F054850">
                  <w:pPr>
                    <w:jc w:val="center"/>
                    <w:rPr>
                      <w:rFonts w:hint="eastAsia"/>
                      <w:color w:val="auto"/>
                      <w:szCs w:val="21"/>
                    </w:rPr>
                  </w:pPr>
                </w:p>
              </w:tc>
              <w:tc>
                <w:tcPr>
                  <w:tcW w:w="1036" w:type="dxa"/>
                  <w:vMerge w:val="continue"/>
                  <w:vAlign w:val="center"/>
                </w:tcPr>
                <w:p w14:paraId="333428C2">
                  <w:pPr>
                    <w:jc w:val="center"/>
                    <w:rPr>
                      <w:color w:val="auto"/>
                      <w:szCs w:val="21"/>
                    </w:rPr>
                  </w:pPr>
                </w:p>
              </w:tc>
            </w:tr>
            <w:tr w14:paraId="008C6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379" w:type="dxa"/>
                  <w:vMerge w:val="continue"/>
                  <w:vAlign w:val="center"/>
                </w:tcPr>
                <w:p w14:paraId="5CCA73C2">
                  <w:pPr>
                    <w:pStyle w:val="8"/>
                    <w:snapToGrid w:val="0"/>
                    <w:spacing w:after="0"/>
                    <w:ind w:left="0" w:leftChars="0" w:firstLine="0" w:firstLineChars="0"/>
                    <w:jc w:val="center"/>
                    <w:rPr>
                      <w:color w:val="auto"/>
                      <w:szCs w:val="21"/>
                    </w:rPr>
                  </w:pPr>
                </w:p>
              </w:tc>
              <w:tc>
                <w:tcPr>
                  <w:tcW w:w="1348" w:type="dxa"/>
                  <w:vMerge w:val="continue"/>
                  <w:vAlign w:val="center"/>
                </w:tcPr>
                <w:p w14:paraId="1D500289">
                  <w:pPr>
                    <w:pStyle w:val="8"/>
                    <w:snapToGrid w:val="0"/>
                    <w:spacing w:after="0"/>
                    <w:ind w:left="0" w:leftChars="0" w:firstLine="0" w:firstLineChars="0"/>
                    <w:jc w:val="center"/>
                    <w:rPr>
                      <w:color w:val="auto"/>
                      <w:szCs w:val="21"/>
                    </w:rPr>
                  </w:pPr>
                </w:p>
              </w:tc>
              <w:tc>
                <w:tcPr>
                  <w:tcW w:w="1047" w:type="dxa"/>
                  <w:vAlign w:val="center"/>
                </w:tcPr>
                <w:p w14:paraId="217E03B5">
                  <w:pPr>
                    <w:jc w:val="center"/>
                    <w:rPr>
                      <w:color w:val="auto"/>
                      <w:szCs w:val="21"/>
                    </w:rPr>
                  </w:pPr>
                  <w:r>
                    <w:rPr>
                      <w:rFonts w:hint="eastAsia"/>
                      <w:color w:val="auto"/>
                      <w:szCs w:val="21"/>
                    </w:rPr>
                    <w:t>锡及其化合物</w:t>
                  </w:r>
                </w:p>
              </w:tc>
              <w:tc>
                <w:tcPr>
                  <w:tcW w:w="1081" w:type="dxa"/>
                  <w:vAlign w:val="center"/>
                </w:tcPr>
                <w:p w14:paraId="7A610A98">
                  <w:pPr>
                    <w:jc w:val="center"/>
                    <w:rPr>
                      <w:rFonts w:hint="default" w:eastAsia="宋体"/>
                      <w:color w:val="FF0000"/>
                      <w:szCs w:val="21"/>
                      <w:lang w:val="en-US" w:eastAsia="zh-CN"/>
                    </w:rPr>
                  </w:pPr>
                  <w:r>
                    <w:rPr>
                      <w:rFonts w:hint="eastAsia"/>
                      <w:color w:val="FF0000"/>
                      <w:szCs w:val="21"/>
                    </w:rPr>
                    <w:t>0.0</w:t>
                  </w:r>
                  <w:r>
                    <w:rPr>
                      <w:rFonts w:hint="eastAsia"/>
                      <w:color w:val="FF0000"/>
                      <w:szCs w:val="21"/>
                      <w:lang w:val="en-US" w:eastAsia="zh-CN"/>
                    </w:rPr>
                    <w:t>88</w:t>
                  </w:r>
                </w:p>
              </w:tc>
              <w:tc>
                <w:tcPr>
                  <w:tcW w:w="1201" w:type="dxa"/>
                  <w:vAlign w:val="center"/>
                </w:tcPr>
                <w:p w14:paraId="77E0733C">
                  <w:pPr>
                    <w:jc w:val="center"/>
                    <w:rPr>
                      <w:rFonts w:hint="default" w:eastAsia="宋体"/>
                      <w:color w:val="FF0000"/>
                      <w:szCs w:val="21"/>
                      <w:lang w:val="en-US" w:eastAsia="zh-CN"/>
                    </w:rPr>
                  </w:pPr>
                  <w:r>
                    <w:rPr>
                      <w:rFonts w:hint="eastAsia"/>
                      <w:color w:val="FF0000"/>
                      <w:szCs w:val="21"/>
                    </w:rPr>
                    <w:t>0.00</w:t>
                  </w:r>
                  <w:r>
                    <w:rPr>
                      <w:rFonts w:hint="eastAsia"/>
                      <w:color w:val="FF0000"/>
                      <w:szCs w:val="21"/>
                      <w:lang w:val="en-US" w:eastAsia="zh-CN"/>
                    </w:rPr>
                    <w:t>2</w:t>
                  </w:r>
                </w:p>
              </w:tc>
              <w:tc>
                <w:tcPr>
                  <w:tcW w:w="1179" w:type="dxa"/>
                  <w:vMerge w:val="continue"/>
                  <w:vAlign w:val="center"/>
                </w:tcPr>
                <w:p w14:paraId="78B1B51C">
                  <w:pPr>
                    <w:jc w:val="center"/>
                    <w:rPr>
                      <w:color w:val="auto"/>
                      <w:szCs w:val="21"/>
                    </w:rPr>
                  </w:pPr>
                </w:p>
              </w:tc>
              <w:tc>
                <w:tcPr>
                  <w:tcW w:w="1036" w:type="dxa"/>
                  <w:vMerge w:val="continue"/>
                  <w:vAlign w:val="center"/>
                </w:tcPr>
                <w:p w14:paraId="547DFE2A">
                  <w:pPr>
                    <w:jc w:val="center"/>
                    <w:rPr>
                      <w:color w:val="auto"/>
                      <w:szCs w:val="21"/>
                    </w:rPr>
                  </w:pPr>
                </w:p>
              </w:tc>
            </w:tr>
          </w:tbl>
          <w:p w14:paraId="25A4F360">
            <w:pPr>
              <w:adjustRightInd w:val="0"/>
              <w:snapToGrid w:val="0"/>
              <w:spacing w:before="120" w:beforeLines="50" w:line="360" w:lineRule="auto"/>
              <w:ind w:firstLine="480" w:firstLineChars="200"/>
              <w:rPr>
                <w:color w:val="auto"/>
                <w:sz w:val="24"/>
              </w:rPr>
            </w:pPr>
            <w:r>
              <w:rPr>
                <w:rFonts w:hint="eastAsia"/>
                <w:color w:val="auto"/>
                <w:sz w:val="24"/>
              </w:rPr>
              <w:t>非正常工况下应对措施：</w:t>
            </w:r>
          </w:p>
          <w:p w14:paraId="44198391">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①制定作业规程，首先运行废气处理装置，然后再开启车间的生产设备；车间停工时，废气处理装置继续运行，待工艺中产生的废气全部排出之后再关闭。</w:t>
            </w:r>
          </w:p>
          <w:p w14:paraId="21D920EA">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②废气处理设施的集气风机故障时，涉及的生产工序应停止生产；项目应将废气处理设施集气风机的配件纳入日常备品备件清单中，确保第一时间得到维修。</w:t>
            </w:r>
          </w:p>
          <w:p w14:paraId="21D07AE4">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③废气处理设备设施发生故障时，涉及的生产工序应停止生产，直至设备正常工作。按照环评要求定期对废气处理装置进行维护保养，并定期更换活性炭，尤其需保证活性炭处理装置的正常运行，以减少有机废气的非正常排放。</w:t>
            </w:r>
          </w:p>
          <w:p w14:paraId="5607340D">
            <w:pPr>
              <w:adjustRightInd w:val="0"/>
              <w:snapToGrid w:val="0"/>
              <w:spacing w:line="360" w:lineRule="auto"/>
              <w:ind w:firstLine="480" w:firstLineChars="200"/>
              <w:rPr>
                <w:rFonts w:hint="eastAsia" w:ascii="宋体" w:hAnsi="宋体" w:cs="宋体"/>
                <w:color w:val="auto"/>
                <w:sz w:val="24"/>
              </w:rPr>
            </w:pPr>
            <w:r>
              <w:rPr>
                <w:rFonts w:hint="eastAsia" w:ascii="宋体" w:hAnsi="宋体" w:cs="宋体"/>
                <w:color w:val="auto"/>
                <w:sz w:val="24"/>
              </w:rPr>
              <w:t>④建立健全的环保机构及配置管理人员，对管理人员和技术人员进行岗位培训，对废气处理实行全过程跟踪控制。建立废气处理装置运行管理台账，由专人负责记录。</w:t>
            </w:r>
          </w:p>
          <w:p w14:paraId="30A8DF86">
            <w:pPr>
              <w:pStyle w:val="51"/>
              <w:ind w:firstLine="480"/>
            </w:pPr>
            <w:r>
              <w:rPr>
                <w:rFonts w:hint="eastAsia" w:ascii="宋体" w:hAnsi="宋体" w:cs="宋体"/>
                <w:color w:val="auto"/>
              </w:rPr>
              <w:t>⑤平时注意废气处理设施的维护保养，及时发现处理设备的隐患，确保废气处理系统正常运行。</w:t>
            </w:r>
          </w:p>
          <w:p w14:paraId="4A15BEA6">
            <w:pPr>
              <w:adjustRightInd w:val="0"/>
              <w:snapToGrid w:val="0"/>
              <w:spacing w:line="360" w:lineRule="auto"/>
              <w:ind w:left="420" w:leftChars="200"/>
              <w:rPr>
                <w:b/>
                <w:bCs/>
                <w:color w:val="auto"/>
                <w:sz w:val="24"/>
              </w:rPr>
            </w:pPr>
            <w:r>
              <w:rPr>
                <w:rFonts w:hint="eastAsia"/>
                <w:b/>
                <w:bCs/>
                <w:color w:val="auto"/>
                <w:sz w:val="24"/>
              </w:rPr>
              <w:t>1.</w:t>
            </w:r>
            <w:r>
              <w:rPr>
                <w:rFonts w:hint="eastAsia"/>
                <w:b/>
                <w:bCs/>
                <w:color w:val="auto"/>
                <w:sz w:val="24"/>
                <w:lang w:val="en-US" w:eastAsia="zh-CN"/>
              </w:rPr>
              <w:t>9</w:t>
            </w:r>
            <w:r>
              <w:rPr>
                <w:rFonts w:hint="eastAsia"/>
                <w:b/>
                <w:bCs/>
                <w:color w:val="auto"/>
                <w:sz w:val="24"/>
              </w:rPr>
              <w:t xml:space="preserve"> </w:t>
            </w:r>
            <w:r>
              <w:rPr>
                <w:b/>
                <w:bCs/>
                <w:color w:val="auto"/>
                <w:sz w:val="24"/>
              </w:rPr>
              <w:t>防护距离设置</w:t>
            </w:r>
          </w:p>
          <w:p w14:paraId="3F3FC756">
            <w:pPr>
              <w:adjustRightInd w:val="0"/>
              <w:snapToGrid w:val="0"/>
              <w:spacing w:line="360" w:lineRule="auto"/>
              <w:ind w:firstLine="480" w:firstLineChars="200"/>
              <w:rPr>
                <w:color w:val="auto"/>
                <w:sz w:val="24"/>
              </w:rPr>
            </w:pPr>
            <w:r>
              <w:rPr>
                <w:rFonts w:hint="eastAsia"/>
                <w:color w:val="auto"/>
                <w:sz w:val="24"/>
              </w:rPr>
              <w:t>根据《建设项目环境影响报告表编制技术指南（污染影响类）（试行）》，拟建项目不需进行定量预测与评价，拟建项目不需要设置大气环境防护距离。</w:t>
            </w:r>
          </w:p>
          <w:p w14:paraId="0CCF10B4">
            <w:pPr>
              <w:adjustRightInd w:val="0"/>
              <w:snapToGrid w:val="0"/>
              <w:spacing w:line="360" w:lineRule="auto"/>
              <w:ind w:firstLine="480" w:firstLineChars="200"/>
              <w:rPr>
                <w:color w:val="auto"/>
                <w:sz w:val="24"/>
              </w:rPr>
            </w:pPr>
            <w:r>
              <w:rPr>
                <w:color w:val="auto"/>
                <w:sz w:val="24"/>
              </w:rPr>
              <w:t>根据《</w:t>
            </w:r>
            <w:r>
              <w:rPr>
                <w:rFonts w:hint="eastAsia"/>
                <w:color w:val="auto"/>
                <w:sz w:val="24"/>
              </w:rPr>
              <w:t>大气有害物质无组织排放卫生防护距离推导技术导则</w:t>
            </w:r>
            <w:r>
              <w:rPr>
                <w:color w:val="auto"/>
                <w:sz w:val="24"/>
              </w:rPr>
              <w:t>》（GB/T</w:t>
            </w:r>
            <w:r>
              <w:rPr>
                <w:rFonts w:hint="eastAsia"/>
                <w:color w:val="auto"/>
                <w:sz w:val="24"/>
              </w:rPr>
              <w:t>39499-2020</w:t>
            </w:r>
            <w:r>
              <w:rPr>
                <w:color w:val="auto"/>
                <w:sz w:val="24"/>
              </w:rPr>
              <w:t>）规定，无组织排放有害气体应设置卫生防护距离，本评价采用</w:t>
            </w:r>
            <w:r>
              <w:rPr>
                <w:rFonts w:hint="eastAsia"/>
                <w:color w:val="auto"/>
                <w:sz w:val="24"/>
              </w:rPr>
              <w:t>该导则</w:t>
            </w:r>
            <w:r>
              <w:rPr>
                <w:color w:val="auto"/>
                <w:sz w:val="24"/>
              </w:rPr>
              <w:t>中推荐的计算公式，即：</w:t>
            </w:r>
          </w:p>
          <w:p w14:paraId="7EC0706D">
            <w:pPr>
              <w:adjustRightInd w:val="0"/>
              <w:snapToGrid w:val="0"/>
              <w:spacing w:line="360" w:lineRule="auto"/>
              <w:rPr>
                <w:color w:val="auto"/>
                <w:sz w:val="24"/>
              </w:rPr>
            </w:pPr>
            <w:r>
              <w:rPr>
                <w:color w:val="auto"/>
                <w:sz w:val="24"/>
              </w:rPr>
              <w:pict>
                <v:shape id="Object 6" o:spid="_x0000_s1026" o:spt="75" type="#_x0000_t75" style="position:absolute;left:0pt;margin-left:23.65pt;margin-top:10.7pt;height:34pt;width:139.95pt;mso-wrap-distance-bottom:0pt;mso-wrap-distance-top:0pt;z-index:251662336;mso-width-relative:page;mso-height-relative:page;" o:ole="t" filled="f" o:preferrelative="t" stroked="f" coordsize="21600,21600">
                  <v:path/>
                  <v:fill on="f" focussize="0,0"/>
                  <v:stroke on="f" joinstyle="miter"/>
                  <v:imagedata r:id="rId21" o:title=""/>
                  <o:lock v:ext="edit" aspectratio="t"/>
                  <w10:wrap type="topAndBottom"/>
                </v:shape>
                <o:OLEObject Type="Embed" ProgID="" ShapeID="Object 6" DrawAspect="Content" ObjectID="_1468075728" r:id="rId20">
                  <o:LockedField>false</o:LockedField>
                </o:OLEObject>
              </w:pict>
            </w:r>
          </w:p>
          <w:p w14:paraId="37A5F7CA">
            <w:pPr>
              <w:adjustRightInd w:val="0"/>
              <w:snapToGrid w:val="0"/>
              <w:spacing w:line="360" w:lineRule="auto"/>
              <w:ind w:firstLine="480" w:firstLineChars="200"/>
              <w:rPr>
                <w:color w:val="auto"/>
                <w:sz w:val="24"/>
              </w:rPr>
            </w:pPr>
            <w:r>
              <w:rPr>
                <w:color w:val="auto"/>
                <w:sz w:val="24"/>
              </w:rPr>
              <w:t>式中：Cm——标准浓度限值，mg/m</w:t>
            </w:r>
            <w:r>
              <w:rPr>
                <w:color w:val="auto"/>
                <w:sz w:val="24"/>
                <w:vertAlign w:val="superscript"/>
              </w:rPr>
              <w:t>3</w:t>
            </w:r>
            <w:r>
              <w:rPr>
                <w:color w:val="auto"/>
                <w:sz w:val="24"/>
              </w:rPr>
              <w:t>；</w:t>
            </w:r>
          </w:p>
          <w:p w14:paraId="751FD353">
            <w:pPr>
              <w:adjustRightInd w:val="0"/>
              <w:snapToGrid w:val="0"/>
              <w:spacing w:line="360" w:lineRule="auto"/>
              <w:ind w:firstLine="480" w:firstLineChars="200"/>
              <w:rPr>
                <w:color w:val="auto"/>
                <w:sz w:val="24"/>
              </w:rPr>
            </w:pPr>
            <w:r>
              <w:rPr>
                <w:color w:val="auto"/>
                <w:sz w:val="24"/>
              </w:rPr>
              <w:t>L——工业企业所需卫生防护距离，m；</w:t>
            </w:r>
          </w:p>
          <w:p w14:paraId="60FB1A46">
            <w:pPr>
              <w:adjustRightInd w:val="0"/>
              <w:snapToGrid w:val="0"/>
              <w:spacing w:line="360" w:lineRule="auto"/>
              <w:ind w:firstLine="480" w:firstLineChars="200"/>
              <w:rPr>
                <w:color w:val="auto"/>
                <w:sz w:val="24"/>
              </w:rPr>
            </w:pPr>
            <w:r>
              <w:rPr>
                <w:color w:val="auto"/>
                <w:sz w:val="24"/>
              </w:rPr>
              <w:t>r——无组织排放源所在生产单元的等效半径，m。根据该生产单元面积S（m</w:t>
            </w:r>
            <w:r>
              <w:rPr>
                <w:color w:val="auto"/>
                <w:sz w:val="24"/>
                <w:vertAlign w:val="superscript"/>
              </w:rPr>
              <w:t>2</w:t>
            </w:r>
            <w:r>
              <w:rPr>
                <w:color w:val="auto"/>
                <w:sz w:val="24"/>
              </w:rPr>
              <w:t>）计算，r=（S/π）</w:t>
            </w:r>
            <w:r>
              <w:rPr>
                <w:color w:val="auto"/>
                <w:sz w:val="24"/>
                <w:vertAlign w:val="superscript"/>
              </w:rPr>
              <w:t>1/2</w:t>
            </w:r>
            <w:r>
              <w:rPr>
                <w:color w:val="auto"/>
                <w:sz w:val="24"/>
              </w:rPr>
              <w:t>；</w:t>
            </w:r>
          </w:p>
          <w:p w14:paraId="1C2BEAD7">
            <w:pPr>
              <w:adjustRightInd w:val="0"/>
              <w:snapToGrid w:val="0"/>
              <w:spacing w:line="360" w:lineRule="auto"/>
              <w:ind w:firstLine="480" w:firstLineChars="200"/>
              <w:rPr>
                <w:color w:val="auto"/>
                <w:sz w:val="24"/>
              </w:rPr>
            </w:pPr>
            <w:r>
              <w:rPr>
                <w:color w:val="auto"/>
                <w:sz w:val="24"/>
              </w:rPr>
              <w:t>A、B、C、D——卫生防护距离计算系数，无因次；</w:t>
            </w:r>
          </w:p>
          <w:p w14:paraId="5BDCF3CD">
            <w:pPr>
              <w:adjustRightInd w:val="0"/>
              <w:snapToGrid w:val="0"/>
              <w:spacing w:line="360" w:lineRule="auto"/>
              <w:ind w:left="420" w:leftChars="200"/>
              <w:rPr>
                <w:color w:val="auto"/>
                <w:sz w:val="24"/>
              </w:rPr>
            </w:pPr>
            <w:r>
              <w:rPr>
                <w:color w:val="auto"/>
                <w:sz w:val="24"/>
              </w:rPr>
              <w:t>Q</w:t>
            </w:r>
            <w:r>
              <w:rPr>
                <w:color w:val="auto"/>
                <w:sz w:val="24"/>
                <w:vertAlign w:val="subscript"/>
              </w:rPr>
              <w:t>C</w:t>
            </w:r>
            <w:r>
              <w:rPr>
                <w:color w:val="auto"/>
                <w:sz w:val="24"/>
              </w:rPr>
              <w:t>——工业企业有害气体无组织排放可以达到的控制水平，kg/h。</w:t>
            </w:r>
          </w:p>
          <w:p w14:paraId="4681D411">
            <w:pPr>
              <w:pStyle w:val="22"/>
              <w:spacing w:before="0" w:after="0" w:line="360" w:lineRule="auto"/>
              <w:rPr>
                <w:color w:val="auto"/>
                <w:kern w:val="2"/>
                <w:sz w:val="24"/>
                <w:szCs w:val="24"/>
              </w:rPr>
            </w:pPr>
            <w:r>
              <w:rPr>
                <w:rFonts w:hint="eastAsia"/>
                <w:color w:val="auto"/>
                <w:kern w:val="2"/>
                <w:sz w:val="24"/>
                <w:szCs w:val="24"/>
              </w:rPr>
              <w:t>本项目无组织排放的污染物主要为非甲烷总烃和锡及其化合物（以颗粒物形式存在），本项目卫生防护距离计算结果如下：</w:t>
            </w:r>
          </w:p>
          <w:p w14:paraId="6D4213C6">
            <w:pPr>
              <w:pStyle w:val="202"/>
              <w:spacing w:line="360" w:lineRule="auto"/>
              <w:rPr>
                <w:bCs/>
                <w:color w:val="auto"/>
                <w:sz w:val="21"/>
                <w:szCs w:val="21"/>
              </w:rPr>
            </w:pPr>
          </w:p>
          <w:p w14:paraId="7DB16CC9">
            <w:pPr>
              <w:pStyle w:val="202"/>
              <w:spacing w:line="360" w:lineRule="auto"/>
              <w:rPr>
                <w:bCs/>
                <w:color w:val="auto"/>
                <w:sz w:val="21"/>
                <w:szCs w:val="21"/>
              </w:rPr>
            </w:pPr>
            <w:r>
              <w:rPr>
                <w:bCs/>
                <w:color w:val="auto"/>
                <w:sz w:val="21"/>
                <w:szCs w:val="21"/>
              </w:rPr>
              <w:t>表</w:t>
            </w:r>
            <w:r>
              <w:rPr>
                <w:rFonts w:hint="eastAsia"/>
                <w:bCs/>
                <w:color w:val="auto"/>
                <w:sz w:val="21"/>
                <w:szCs w:val="21"/>
              </w:rPr>
              <w:t>4-</w:t>
            </w:r>
            <w:r>
              <w:rPr>
                <w:rFonts w:hint="eastAsia"/>
                <w:bCs/>
                <w:color w:val="auto"/>
                <w:sz w:val="21"/>
                <w:szCs w:val="21"/>
                <w:lang w:val="en-US" w:eastAsia="zh-CN"/>
              </w:rPr>
              <w:t>8</w:t>
            </w:r>
            <w:r>
              <w:rPr>
                <w:bCs/>
                <w:color w:val="auto"/>
                <w:sz w:val="21"/>
                <w:szCs w:val="21"/>
              </w:rPr>
              <w:t xml:space="preserve"> 卫生防护距离计算参数值</w:t>
            </w:r>
          </w:p>
          <w:tbl>
            <w:tblPr>
              <w:tblStyle w:val="2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1"/>
              <w:gridCol w:w="1693"/>
              <w:gridCol w:w="1090"/>
              <w:gridCol w:w="1736"/>
              <w:gridCol w:w="2104"/>
            </w:tblGrid>
            <w:tr w14:paraId="1F25C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pct"/>
                  <w:vAlign w:val="center"/>
                </w:tcPr>
                <w:p w14:paraId="1AA74858">
                  <w:pPr>
                    <w:pStyle w:val="12"/>
                    <w:widowControl w:val="0"/>
                    <w:snapToGrid/>
                    <w:spacing w:after="0" w:line="240" w:lineRule="auto"/>
                    <w:ind w:right="0"/>
                    <w:jc w:val="center"/>
                    <w:rPr>
                      <w:color w:val="auto"/>
                      <w:sz w:val="21"/>
                      <w:szCs w:val="21"/>
                    </w:rPr>
                  </w:pPr>
                  <w:r>
                    <w:rPr>
                      <w:rFonts w:hint="eastAsia"/>
                      <w:color w:val="auto"/>
                      <w:sz w:val="21"/>
                      <w:szCs w:val="21"/>
                    </w:rPr>
                    <w:t>污染源</w:t>
                  </w:r>
                </w:p>
              </w:tc>
              <w:tc>
                <w:tcPr>
                  <w:tcW w:w="1039" w:type="pct"/>
                  <w:vAlign w:val="center"/>
                </w:tcPr>
                <w:p w14:paraId="1E8F0C0C">
                  <w:pPr>
                    <w:pStyle w:val="12"/>
                    <w:widowControl w:val="0"/>
                    <w:snapToGrid/>
                    <w:spacing w:after="0" w:line="240" w:lineRule="auto"/>
                    <w:ind w:right="0"/>
                    <w:jc w:val="center"/>
                    <w:rPr>
                      <w:color w:val="auto"/>
                      <w:sz w:val="21"/>
                      <w:szCs w:val="21"/>
                    </w:rPr>
                  </w:pPr>
                  <w:r>
                    <w:rPr>
                      <w:rFonts w:hint="eastAsia"/>
                      <w:color w:val="auto"/>
                      <w:sz w:val="21"/>
                      <w:szCs w:val="21"/>
                    </w:rPr>
                    <w:t>污染物</w:t>
                  </w:r>
                </w:p>
              </w:tc>
              <w:tc>
                <w:tcPr>
                  <w:tcW w:w="669" w:type="pct"/>
                  <w:vAlign w:val="center"/>
                </w:tcPr>
                <w:p w14:paraId="70CDE50C">
                  <w:pPr>
                    <w:pStyle w:val="12"/>
                    <w:widowControl w:val="0"/>
                    <w:snapToGrid/>
                    <w:spacing w:after="0" w:line="240" w:lineRule="auto"/>
                    <w:ind w:right="0"/>
                    <w:jc w:val="center"/>
                    <w:rPr>
                      <w:color w:val="auto"/>
                      <w:sz w:val="21"/>
                      <w:szCs w:val="21"/>
                    </w:rPr>
                  </w:pPr>
                  <w:r>
                    <w:rPr>
                      <w:rFonts w:hint="eastAsia"/>
                      <w:color w:val="auto"/>
                      <w:sz w:val="21"/>
                      <w:szCs w:val="21"/>
                    </w:rPr>
                    <w:t>Cm</w:t>
                  </w:r>
                </w:p>
              </w:tc>
              <w:tc>
                <w:tcPr>
                  <w:tcW w:w="1065" w:type="pct"/>
                  <w:vAlign w:val="center"/>
                </w:tcPr>
                <w:p w14:paraId="11420687">
                  <w:pPr>
                    <w:pStyle w:val="12"/>
                    <w:widowControl w:val="0"/>
                    <w:snapToGrid/>
                    <w:spacing w:after="0" w:line="240" w:lineRule="auto"/>
                    <w:ind w:right="0"/>
                    <w:jc w:val="center"/>
                    <w:rPr>
                      <w:color w:val="auto"/>
                      <w:sz w:val="21"/>
                      <w:szCs w:val="21"/>
                    </w:rPr>
                  </w:pPr>
                  <w:r>
                    <w:rPr>
                      <w:rFonts w:hint="eastAsia"/>
                      <w:color w:val="auto"/>
                      <w:sz w:val="21"/>
                      <w:szCs w:val="21"/>
                    </w:rPr>
                    <w:t>计算值L（m）</w:t>
                  </w:r>
                </w:p>
              </w:tc>
              <w:tc>
                <w:tcPr>
                  <w:tcW w:w="1291" w:type="pct"/>
                  <w:vAlign w:val="center"/>
                </w:tcPr>
                <w:p w14:paraId="2D011F98">
                  <w:pPr>
                    <w:pStyle w:val="12"/>
                    <w:widowControl w:val="0"/>
                    <w:snapToGrid/>
                    <w:spacing w:after="0" w:line="240" w:lineRule="auto"/>
                    <w:ind w:right="0"/>
                    <w:jc w:val="center"/>
                    <w:rPr>
                      <w:color w:val="auto"/>
                      <w:sz w:val="21"/>
                      <w:szCs w:val="21"/>
                    </w:rPr>
                  </w:pPr>
                  <w:r>
                    <w:rPr>
                      <w:rFonts w:hint="eastAsia"/>
                      <w:color w:val="auto"/>
                      <w:sz w:val="21"/>
                      <w:szCs w:val="21"/>
                    </w:rPr>
                    <w:t>卫生防护距离（m）</w:t>
                  </w:r>
                </w:p>
              </w:tc>
            </w:tr>
            <w:tr w14:paraId="17EBB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33" w:type="pct"/>
                  <w:vMerge w:val="restart"/>
                  <w:vAlign w:val="center"/>
                </w:tcPr>
                <w:p w14:paraId="074417D2">
                  <w:pPr>
                    <w:pStyle w:val="12"/>
                    <w:widowControl w:val="0"/>
                    <w:snapToGrid/>
                    <w:spacing w:after="0" w:line="240" w:lineRule="auto"/>
                    <w:ind w:right="0"/>
                    <w:jc w:val="center"/>
                    <w:rPr>
                      <w:color w:val="auto"/>
                      <w:sz w:val="21"/>
                      <w:szCs w:val="21"/>
                    </w:rPr>
                  </w:pPr>
                  <w:r>
                    <w:rPr>
                      <w:rFonts w:hint="eastAsia"/>
                      <w:color w:val="auto"/>
                      <w:sz w:val="21"/>
                      <w:szCs w:val="21"/>
                    </w:rPr>
                    <w:t>生产车间</w:t>
                  </w:r>
                </w:p>
              </w:tc>
              <w:tc>
                <w:tcPr>
                  <w:tcW w:w="1039" w:type="pct"/>
                  <w:vAlign w:val="center"/>
                </w:tcPr>
                <w:p w14:paraId="5A528A83">
                  <w:pPr>
                    <w:jc w:val="center"/>
                    <w:rPr>
                      <w:color w:val="auto"/>
                      <w:szCs w:val="21"/>
                    </w:rPr>
                  </w:pPr>
                  <w:r>
                    <w:rPr>
                      <w:rFonts w:hint="eastAsia"/>
                      <w:color w:val="auto"/>
                      <w:szCs w:val="21"/>
                    </w:rPr>
                    <w:t>非甲烷总烃</w:t>
                  </w:r>
                </w:p>
              </w:tc>
              <w:tc>
                <w:tcPr>
                  <w:tcW w:w="669" w:type="pct"/>
                  <w:vAlign w:val="center"/>
                </w:tcPr>
                <w:p w14:paraId="2B989869">
                  <w:pPr>
                    <w:jc w:val="center"/>
                    <w:rPr>
                      <w:color w:val="auto"/>
                      <w:szCs w:val="21"/>
                    </w:rPr>
                  </w:pPr>
                  <w:r>
                    <w:rPr>
                      <w:color w:val="auto"/>
                      <w:szCs w:val="21"/>
                    </w:rPr>
                    <w:t>2</w:t>
                  </w:r>
                </w:p>
              </w:tc>
              <w:tc>
                <w:tcPr>
                  <w:tcW w:w="1065" w:type="pct"/>
                  <w:vAlign w:val="center"/>
                </w:tcPr>
                <w:p w14:paraId="7B86A790">
                  <w:pPr>
                    <w:jc w:val="center"/>
                    <w:rPr>
                      <w:rFonts w:hint="default" w:eastAsia="宋体"/>
                      <w:color w:val="FF0000"/>
                      <w:szCs w:val="21"/>
                      <w:lang w:val="en-US" w:eastAsia="zh-CN"/>
                    </w:rPr>
                  </w:pPr>
                  <w:r>
                    <w:rPr>
                      <w:rFonts w:hint="eastAsia"/>
                      <w:color w:val="FF0000"/>
                      <w:szCs w:val="21"/>
                    </w:rPr>
                    <w:t>0.0</w:t>
                  </w:r>
                  <w:r>
                    <w:rPr>
                      <w:rFonts w:hint="eastAsia"/>
                      <w:color w:val="FF0000"/>
                      <w:szCs w:val="21"/>
                      <w:lang w:val="en-US" w:eastAsia="zh-CN"/>
                    </w:rPr>
                    <w:t>01</w:t>
                  </w:r>
                </w:p>
              </w:tc>
              <w:tc>
                <w:tcPr>
                  <w:tcW w:w="1291" w:type="pct"/>
                  <w:vAlign w:val="center"/>
                </w:tcPr>
                <w:p w14:paraId="77D74129">
                  <w:pPr>
                    <w:jc w:val="center"/>
                    <w:rPr>
                      <w:color w:val="auto"/>
                      <w:szCs w:val="21"/>
                    </w:rPr>
                  </w:pPr>
                  <w:r>
                    <w:rPr>
                      <w:color w:val="auto"/>
                      <w:szCs w:val="21"/>
                    </w:rPr>
                    <w:t>50</w:t>
                  </w:r>
                </w:p>
              </w:tc>
            </w:tr>
            <w:tr w14:paraId="59054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3" w:type="pct"/>
                  <w:vMerge w:val="continue"/>
                  <w:vAlign w:val="center"/>
                </w:tcPr>
                <w:p w14:paraId="4945D90E">
                  <w:pPr>
                    <w:pStyle w:val="12"/>
                    <w:widowControl w:val="0"/>
                    <w:snapToGrid/>
                    <w:spacing w:after="0" w:line="240" w:lineRule="auto"/>
                    <w:ind w:right="0"/>
                    <w:jc w:val="center"/>
                    <w:rPr>
                      <w:color w:val="auto"/>
                      <w:sz w:val="21"/>
                      <w:szCs w:val="21"/>
                    </w:rPr>
                  </w:pPr>
                </w:p>
              </w:tc>
              <w:tc>
                <w:tcPr>
                  <w:tcW w:w="1039" w:type="pct"/>
                  <w:vAlign w:val="center"/>
                </w:tcPr>
                <w:p w14:paraId="17A4C767">
                  <w:pPr>
                    <w:jc w:val="center"/>
                    <w:rPr>
                      <w:color w:val="auto"/>
                      <w:szCs w:val="21"/>
                    </w:rPr>
                  </w:pPr>
                  <w:r>
                    <w:rPr>
                      <w:rFonts w:hint="eastAsia"/>
                      <w:color w:val="auto"/>
                      <w:szCs w:val="21"/>
                    </w:rPr>
                    <w:t>颗粒物</w:t>
                  </w:r>
                </w:p>
              </w:tc>
              <w:tc>
                <w:tcPr>
                  <w:tcW w:w="669" w:type="pct"/>
                  <w:vAlign w:val="center"/>
                </w:tcPr>
                <w:p w14:paraId="278281AD">
                  <w:pPr>
                    <w:jc w:val="center"/>
                    <w:rPr>
                      <w:color w:val="auto"/>
                      <w:szCs w:val="21"/>
                    </w:rPr>
                  </w:pPr>
                  <w:r>
                    <w:rPr>
                      <w:rFonts w:hint="eastAsia"/>
                      <w:color w:val="auto"/>
                      <w:szCs w:val="21"/>
                    </w:rPr>
                    <w:t>0.9</w:t>
                  </w:r>
                </w:p>
              </w:tc>
              <w:tc>
                <w:tcPr>
                  <w:tcW w:w="1065" w:type="pct"/>
                  <w:vAlign w:val="center"/>
                </w:tcPr>
                <w:p w14:paraId="55D719CF">
                  <w:pPr>
                    <w:jc w:val="center"/>
                    <w:rPr>
                      <w:rFonts w:hint="default" w:eastAsia="宋体"/>
                      <w:color w:val="FF0000"/>
                      <w:szCs w:val="21"/>
                      <w:lang w:val="en-US" w:eastAsia="zh-CN"/>
                    </w:rPr>
                  </w:pPr>
                  <w:r>
                    <w:rPr>
                      <w:rFonts w:hint="eastAsia"/>
                      <w:color w:val="FF0000"/>
                      <w:szCs w:val="21"/>
                      <w:lang w:val="en-US" w:eastAsia="zh-CN"/>
                    </w:rPr>
                    <w:t>6.289</w:t>
                  </w:r>
                </w:p>
              </w:tc>
              <w:tc>
                <w:tcPr>
                  <w:tcW w:w="1291" w:type="pct"/>
                  <w:vAlign w:val="center"/>
                </w:tcPr>
                <w:p w14:paraId="3805FE9B">
                  <w:pPr>
                    <w:jc w:val="center"/>
                    <w:rPr>
                      <w:color w:val="auto"/>
                      <w:szCs w:val="21"/>
                    </w:rPr>
                  </w:pPr>
                  <w:r>
                    <w:rPr>
                      <w:rFonts w:hint="eastAsia"/>
                      <w:color w:val="auto"/>
                      <w:szCs w:val="21"/>
                    </w:rPr>
                    <w:t>50</w:t>
                  </w:r>
                </w:p>
              </w:tc>
            </w:tr>
          </w:tbl>
          <w:p w14:paraId="1457D811">
            <w:pPr>
              <w:pStyle w:val="51"/>
              <w:ind w:firstLine="480"/>
              <w:rPr>
                <w:rFonts w:hint="eastAsia" w:eastAsia="宋体"/>
                <w:lang w:eastAsia="zh-CN"/>
              </w:rPr>
            </w:pPr>
            <w:r>
              <w:rPr>
                <w:color w:val="auto"/>
                <w:sz w:val="24"/>
              </w:rPr>
              <w:t>根据GB/T</w:t>
            </w:r>
            <w:r>
              <w:rPr>
                <w:rFonts w:hint="eastAsia"/>
                <w:color w:val="auto"/>
                <w:sz w:val="24"/>
              </w:rPr>
              <w:t>39499-2020</w:t>
            </w:r>
            <w:r>
              <w:rPr>
                <w:color w:val="auto"/>
                <w:sz w:val="24"/>
              </w:rPr>
              <w:t>中规定L值在两级之间取偏宽的一级，不足100m的级差为50m，同时当两者或两种以上的有害气体计算的卫生防护距离在同一级别时，卫生防护距离级别应该高一级</w:t>
            </w:r>
            <w:r>
              <w:rPr>
                <w:rFonts w:hint="eastAsia"/>
                <w:color w:val="auto"/>
                <w:sz w:val="24"/>
              </w:rPr>
              <w:t>。</w:t>
            </w:r>
            <w:r>
              <w:rPr>
                <w:color w:val="auto"/>
                <w:sz w:val="24"/>
              </w:rPr>
              <w:t>综上所述，本项目</w:t>
            </w:r>
            <w:r>
              <w:rPr>
                <w:rFonts w:hint="eastAsia"/>
                <w:color w:val="auto"/>
                <w:sz w:val="24"/>
              </w:rPr>
              <w:t>卫生</w:t>
            </w:r>
            <w:r>
              <w:rPr>
                <w:color w:val="auto"/>
                <w:sz w:val="24"/>
              </w:rPr>
              <w:t>防护距离</w:t>
            </w:r>
            <w:r>
              <w:rPr>
                <w:rFonts w:hint="eastAsia"/>
                <w:color w:val="auto"/>
                <w:sz w:val="24"/>
              </w:rPr>
              <w:t>为生产车间外10</w:t>
            </w:r>
            <w:r>
              <w:rPr>
                <w:color w:val="auto"/>
                <w:sz w:val="24"/>
              </w:rPr>
              <w:t>0m。根据调查，</w:t>
            </w:r>
            <w:r>
              <w:rPr>
                <w:rFonts w:hint="eastAsia"/>
                <w:color w:val="auto"/>
                <w:sz w:val="24"/>
              </w:rPr>
              <w:t>厂房</w:t>
            </w:r>
            <w:r>
              <w:rPr>
                <w:color w:val="auto"/>
                <w:sz w:val="24"/>
              </w:rPr>
              <w:t>周边</w:t>
            </w:r>
            <w:r>
              <w:rPr>
                <w:rFonts w:hint="eastAsia"/>
                <w:color w:val="auto"/>
                <w:sz w:val="24"/>
              </w:rPr>
              <w:t>10</w:t>
            </w:r>
            <w:r>
              <w:rPr>
                <w:color w:val="auto"/>
                <w:sz w:val="24"/>
              </w:rPr>
              <w:t>0m范围内无居民区、学校等敏感点，防护距离满足要求</w:t>
            </w:r>
            <w:r>
              <w:rPr>
                <w:rFonts w:hint="eastAsia"/>
                <w:color w:val="auto"/>
                <w:sz w:val="24"/>
                <w:lang w:eastAsia="zh-CN"/>
              </w:rPr>
              <w:t>。</w:t>
            </w:r>
          </w:p>
          <w:p w14:paraId="1981C428">
            <w:pPr>
              <w:pStyle w:val="51"/>
              <w:ind w:firstLine="480"/>
            </w:pPr>
          </w:p>
          <w:p w14:paraId="4AEB1C19">
            <w:pPr>
              <w:pStyle w:val="51"/>
              <w:ind w:firstLine="480"/>
            </w:pPr>
          </w:p>
          <w:p w14:paraId="340EC0BF">
            <w:pPr>
              <w:pStyle w:val="51"/>
              <w:ind w:firstLine="480"/>
            </w:pPr>
          </w:p>
          <w:p w14:paraId="4F424412">
            <w:pPr>
              <w:pStyle w:val="51"/>
              <w:ind w:firstLine="480"/>
            </w:pPr>
          </w:p>
          <w:p w14:paraId="24231FA0">
            <w:pPr>
              <w:pStyle w:val="51"/>
              <w:ind w:firstLine="480"/>
            </w:pPr>
          </w:p>
          <w:p w14:paraId="59756047">
            <w:pPr>
              <w:pStyle w:val="51"/>
              <w:ind w:firstLine="480"/>
            </w:pPr>
          </w:p>
          <w:p w14:paraId="75CACFEF">
            <w:pPr>
              <w:pStyle w:val="51"/>
              <w:ind w:firstLine="480"/>
            </w:pPr>
          </w:p>
          <w:p w14:paraId="5F4D3B6A">
            <w:pPr>
              <w:pStyle w:val="51"/>
              <w:ind w:firstLine="480"/>
            </w:pPr>
          </w:p>
          <w:p w14:paraId="178A9C9D">
            <w:pPr>
              <w:pStyle w:val="51"/>
              <w:ind w:firstLine="480"/>
            </w:pPr>
          </w:p>
          <w:p w14:paraId="107DD7E1">
            <w:pPr>
              <w:pStyle w:val="51"/>
              <w:ind w:firstLine="480"/>
            </w:pPr>
          </w:p>
          <w:p w14:paraId="25E3550C">
            <w:pPr>
              <w:pStyle w:val="51"/>
              <w:ind w:firstLine="480"/>
            </w:pPr>
          </w:p>
          <w:p w14:paraId="4FDBAA8B">
            <w:pPr>
              <w:pStyle w:val="51"/>
              <w:ind w:firstLine="480"/>
            </w:pPr>
          </w:p>
          <w:p w14:paraId="2F1B42C6">
            <w:pPr>
              <w:pStyle w:val="51"/>
              <w:ind w:firstLine="480"/>
            </w:pPr>
          </w:p>
          <w:p w14:paraId="7B530B11">
            <w:pPr>
              <w:pStyle w:val="51"/>
              <w:ind w:firstLine="480"/>
            </w:pPr>
          </w:p>
          <w:p w14:paraId="13834087">
            <w:pPr>
              <w:pStyle w:val="51"/>
              <w:ind w:firstLine="480"/>
            </w:pPr>
          </w:p>
          <w:p w14:paraId="25966A8E">
            <w:pPr>
              <w:pStyle w:val="51"/>
              <w:ind w:firstLine="480"/>
            </w:pPr>
          </w:p>
          <w:p w14:paraId="00408437">
            <w:pPr>
              <w:pStyle w:val="51"/>
              <w:ind w:firstLine="480"/>
            </w:pPr>
            <w:r>
              <w:rPr>
                <w:rFonts w:hint="eastAsia"/>
              </w:rPr>
              <w:t xml:space="preserve"> </w:t>
            </w:r>
          </w:p>
        </w:tc>
      </w:tr>
    </w:tbl>
    <w:p w14:paraId="36D54B9F">
      <w:pPr>
        <w:pStyle w:val="51"/>
        <w:ind w:firstLine="480"/>
        <w:rPr>
          <w:snapToGrid w:val="0"/>
        </w:rPr>
        <w:sectPr>
          <w:pgSz w:w="11906" w:h="16838"/>
          <w:pgMar w:top="1440" w:right="1418" w:bottom="1440" w:left="1418" w:header="851" w:footer="851" w:gutter="0"/>
          <w:pgBorders>
            <w:top w:val="none" w:sz="0" w:space="0"/>
            <w:left w:val="none" w:sz="0" w:space="0"/>
            <w:bottom w:val="none" w:sz="0" w:space="0"/>
            <w:right w:val="none" w:sz="0" w:space="0"/>
          </w:pgBorders>
          <w:cols w:space="720" w:num="1"/>
          <w:docGrid w:linePitch="312" w:charSpace="0"/>
        </w:sectPr>
      </w:pPr>
    </w:p>
    <w:tbl>
      <w:tblPr>
        <w:tblStyle w:val="23"/>
        <w:tblW w:w="898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47"/>
        <w:gridCol w:w="8334"/>
      </w:tblGrid>
      <w:tr w14:paraId="579A43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47" w:type="dxa"/>
            <w:tcMar>
              <w:left w:w="28" w:type="dxa"/>
              <w:right w:w="28" w:type="dxa"/>
            </w:tcMar>
            <w:vAlign w:val="center"/>
          </w:tcPr>
          <w:p w14:paraId="1789BE2C">
            <w:pPr>
              <w:adjustRightInd w:val="0"/>
              <w:snapToGrid w:val="0"/>
              <w:jc w:val="center"/>
              <w:rPr>
                <w:rFonts w:hint="eastAsia" w:ascii="宋体" w:hAnsi="宋体" w:cs="宋体"/>
                <w:bCs/>
                <w:sz w:val="24"/>
              </w:rPr>
            </w:pPr>
            <w:r>
              <w:rPr>
                <w:rFonts w:hint="eastAsia" w:ascii="宋体" w:hAnsi="宋体" w:cs="宋体"/>
                <w:bCs/>
                <w:sz w:val="24"/>
              </w:rPr>
              <w:t>运营</w:t>
            </w:r>
          </w:p>
          <w:p w14:paraId="1A516445">
            <w:pPr>
              <w:adjustRightInd w:val="0"/>
              <w:snapToGrid w:val="0"/>
              <w:jc w:val="center"/>
              <w:rPr>
                <w:rFonts w:hint="eastAsia" w:ascii="宋体" w:hAnsi="宋体" w:cs="宋体"/>
                <w:bCs/>
                <w:sz w:val="24"/>
              </w:rPr>
            </w:pPr>
            <w:r>
              <w:rPr>
                <w:rFonts w:hint="eastAsia" w:ascii="宋体" w:hAnsi="宋体" w:cs="宋体"/>
                <w:bCs/>
                <w:sz w:val="24"/>
              </w:rPr>
              <w:t>期环</w:t>
            </w:r>
          </w:p>
          <w:p w14:paraId="3F806D14">
            <w:pPr>
              <w:adjustRightInd w:val="0"/>
              <w:snapToGrid w:val="0"/>
              <w:jc w:val="center"/>
              <w:rPr>
                <w:rFonts w:hint="eastAsia" w:ascii="宋体" w:hAnsi="宋体" w:cs="宋体"/>
                <w:bCs/>
                <w:sz w:val="24"/>
              </w:rPr>
            </w:pPr>
            <w:r>
              <w:rPr>
                <w:rFonts w:hint="eastAsia" w:ascii="宋体" w:hAnsi="宋体" w:cs="宋体"/>
                <w:bCs/>
                <w:sz w:val="24"/>
              </w:rPr>
              <w:t>境影</w:t>
            </w:r>
          </w:p>
          <w:p w14:paraId="3CE57314">
            <w:pPr>
              <w:adjustRightInd w:val="0"/>
              <w:snapToGrid w:val="0"/>
              <w:jc w:val="center"/>
              <w:rPr>
                <w:rFonts w:hint="eastAsia" w:ascii="宋体" w:hAnsi="宋体" w:cs="宋体"/>
                <w:bCs/>
                <w:sz w:val="24"/>
              </w:rPr>
            </w:pPr>
            <w:r>
              <w:rPr>
                <w:rFonts w:hint="eastAsia" w:ascii="宋体" w:hAnsi="宋体" w:cs="宋体"/>
                <w:bCs/>
                <w:sz w:val="24"/>
              </w:rPr>
              <w:t>响和</w:t>
            </w:r>
          </w:p>
          <w:p w14:paraId="497CA5CD">
            <w:pPr>
              <w:adjustRightInd w:val="0"/>
              <w:snapToGrid w:val="0"/>
              <w:jc w:val="center"/>
              <w:rPr>
                <w:rFonts w:hint="eastAsia" w:ascii="宋体" w:hAnsi="宋体" w:cs="宋体"/>
                <w:bCs/>
                <w:sz w:val="24"/>
              </w:rPr>
            </w:pPr>
            <w:r>
              <w:rPr>
                <w:rFonts w:hint="eastAsia" w:ascii="宋体" w:hAnsi="宋体" w:cs="宋体"/>
                <w:bCs/>
                <w:sz w:val="24"/>
              </w:rPr>
              <w:t>保护</w:t>
            </w:r>
          </w:p>
          <w:p w14:paraId="4DF173A7">
            <w:pPr>
              <w:adjustRightInd w:val="0"/>
              <w:snapToGrid w:val="0"/>
              <w:jc w:val="center"/>
              <w:rPr>
                <w:rFonts w:hint="eastAsia" w:ascii="宋体" w:hAnsi="宋体" w:cs="宋体"/>
                <w:bCs/>
                <w:szCs w:val="21"/>
              </w:rPr>
            </w:pPr>
            <w:r>
              <w:rPr>
                <w:rFonts w:hint="eastAsia" w:ascii="宋体" w:hAnsi="宋体" w:cs="宋体"/>
                <w:bCs/>
                <w:sz w:val="24"/>
              </w:rPr>
              <w:t>措施</w:t>
            </w:r>
          </w:p>
        </w:tc>
        <w:tc>
          <w:tcPr>
            <w:tcW w:w="8334" w:type="dxa"/>
            <w:vAlign w:val="center"/>
          </w:tcPr>
          <w:p w14:paraId="622661DD">
            <w:pPr>
              <w:pStyle w:val="51"/>
              <w:keepNext w:val="0"/>
              <w:keepLines w:val="0"/>
              <w:suppressLineNumbers w:val="0"/>
              <w:spacing w:before="0" w:beforeAutospacing="0" w:after="0" w:afterAutospacing="0"/>
              <w:ind w:left="0" w:right="0" w:firstLine="482"/>
              <w:rPr>
                <w:rFonts w:hint="default"/>
                <w:b/>
                <w:bCs/>
              </w:rPr>
            </w:pPr>
            <w:r>
              <w:rPr>
                <w:rFonts w:hint="eastAsia"/>
                <w:b/>
                <w:bCs/>
              </w:rPr>
              <w:t>2、废水环境影响和保护措施</w:t>
            </w:r>
          </w:p>
          <w:p w14:paraId="33BBC073">
            <w:pPr>
              <w:pStyle w:val="51"/>
              <w:keepNext w:val="0"/>
              <w:keepLines w:val="0"/>
              <w:suppressLineNumbers w:val="0"/>
              <w:spacing w:before="0" w:beforeAutospacing="0" w:after="0" w:afterAutospacing="0"/>
              <w:ind w:left="0" w:right="0" w:firstLine="482"/>
              <w:rPr>
                <w:rFonts w:hint="default"/>
                <w:b/>
                <w:bCs/>
              </w:rPr>
            </w:pPr>
            <w:r>
              <w:rPr>
                <w:rFonts w:hint="eastAsia"/>
                <w:b/>
                <w:bCs/>
              </w:rPr>
              <w:t>2.1 废水污染物产、排情况</w:t>
            </w:r>
          </w:p>
          <w:p w14:paraId="7997ACC8">
            <w:pPr>
              <w:pStyle w:val="7"/>
              <w:keepNext w:val="0"/>
              <w:keepLines w:val="0"/>
              <w:suppressLineNumbers w:val="0"/>
              <w:adjustRightInd w:val="0"/>
              <w:snapToGrid w:val="0"/>
              <w:spacing w:before="0" w:beforeAutospacing="0" w:after="0" w:afterAutospacing="0"/>
              <w:ind w:left="0" w:right="0" w:firstLine="480"/>
              <w:rPr>
                <w:rFonts w:hint="default" w:ascii="Times New Roman" w:hAnsi="Times New Roman" w:eastAsia="宋体"/>
                <w:kern w:val="0"/>
                <w:sz w:val="24"/>
                <w:szCs w:val="24"/>
                <w:lang w:val="en-US"/>
              </w:rPr>
            </w:pPr>
            <w:r>
              <w:rPr>
                <w:rFonts w:hint="eastAsia" w:ascii="Times New Roman" w:hAnsi="Times New Roman" w:eastAsia="宋体"/>
                <w:kern w:val="0"/>
                <w:sz w:val="24"/>
                <w:szCs w:val="24"/>
                <w:lang w:val="en-US"/>
              </w:rPr>
              <w:t>项目无生产废水，排水主要为生活污水。</w:t>
            </w:r>
          </w:p>
          <w:p w14:paraId="49ECA8BC">
            <w:pPr>
              <w:pStyle w:val="51"/>
              <w:keepNext w:val="0"/>
              <w:keepLines w:val="0"/>
              <w:suppressLineNumbers w:val="0"/>
              <w:spacing w:before="0" w:beforeAutospacing="0" w:after="0" w:afterAutospacing="0"/>
              <w:ind w:left="0" w:right="0"/>
              <w:rPr>
                <w:rFonts w:hint="default"/>
              </w:rPr>
            </w:pPr>
            <w:r>
              <w:rPr>
                <w:rFonts w:hint="default"/>
              </w:rPr>
              <w:t>本项目劳动定员</w:t>
            </w:r>
            <w:r>
              <w:rPr>
                <w:rFonts w:hint="eastAsia"/>
                <w:lang w:val="en-US" w:eastAsia="zh-CN"/>
              </w:rPr>
              <w:t>50</w:t>
            </w:r>
            <w:r>
              <w:rPr>
                <w:rFonts w:hint="default"/>
              </w:rPr>
              <w:t>人，</w:t>
            </w:r>
            <w:r>
              <w:rPr>
                <w:rFonts w:hint="eastAsia"/>
              </w:rPr>
              <w:t>均不在厂区内食</w:t>
            </w:r>
            <w:r>
              <w:rPr>
                <w:rFonts w:hint="default"/>
              </w:rPr>
              <w:t>宿</w:t>
            </w:r>
            <w:r>
              <w:rPr>
                <w:rFonts w:hint="eastAsia"/>
              </w:rPr>
              <w:t>，参照《建筑给水排水设计标准》（GB50015-2019），不住宿员工用水定额取50L/d·人，</w:t>
            </w:r>
            <w:r>
              <w:rPr>
                <w:rFonts w:hint="eastAsia"/>
                <w:color w:val="FF0000"/>
              </w:rPr>
              <w:t>项目年工作3</w:t>
            </w:r>
            <w:r>
              <w:rPr>
                <w:rFonts w:hint="eastAsia"/>
                <w:color w:val="FF0000"/>
                <w:lang w:val="en-US" w:eastAsia="zh-CN"/>
              </w:rPr>
              <w:t>00</w:t>
            </w:r>
            <w:r>
              <w:rPr>
                <w:rFonts w:hint="eastAsia"/>
                <w:color w:val="FF0000"/>
              </w:rPr>
              <w:t>天，则本项目员工生活总用水量为2.5m</w:t>
            </w:r>
            <w:r>
              <w:rPr>
                <w:rFonts w:hint="eastAsia"/>
                <w:color w:val="FF0000"/>
                <w:vertAlign w:val="superscript"/>
              </w:rPr>
              <w:t>3</w:t>
            </w:r>
            <w:r>
              <w:rPr>
                <w:rFonts w:hint="eastAsia"/>
                <w:color w:val="FF0000"/>
              </w:rPr>
              <w:t>/d（</w:t>
            </w:r>
            <w:r>
              <w:rPr>
                <w:rFonts w:hint="eastAsia"/>
                <w:color w:val="FF0000"/>
                <w:lang w:val="en-US" w:eastAsia="zh-CN"/>
              </w:rPr>
              <w:t>750</w:t>
            </w:r>
            <w:r>
              <w:rPr>
                <w:rFonts w:hint="eastAsia"/>
                <w:color w:val="FF0000"/>
              </w:rPr>
              <w:t>m</w:t>
            </w:r>
            <w:r>
              <w:rPr>
                <w:rFonts w:hint="eastAsia"/>
                <w:color w:val="FF0000"/>
                <w:vertAlign w:val="superscript"/>
              </w:rPr>
              <w:t>3</w:t>
            </w:r>
            <w:r>
              <w:rPr>
                <w:rFonts w:hint="eastAsia"/>
                <w:color w:val="FF0000"/>
              </w:rPr>
              <w:t>/a）。生活污水排放量按用水量85%计，则生活污水量为</w:t>
            </w:r>
            <w:r>
              <w:rPr>
                <w:rFonts w:hint="eastAsia"/>
                <w:color w:val="FF0000"/>
                <w:lang w:val="en-US" w:eastAsia="zh-CN"/>
              </w:rPr>
              <w:t>2.125</w:t>
            </w:r>
            <w:r>
              <w:rPr>
                <w:rFonts w:hint="eastAsia"/>
                <w:color w:val="FF0000"/>
              </w:rPr>
              <w:t>m</w:t>
            </w:r>
            <w:r>
              <w:rPr>
                <w:rFonts w:hint="eastAsia"/>
                <w:color w:val="FF0000"/>
                <w:vertAlign w:val="superscript"/>
              </w:rPr>
              <w:t>3</w:t>
            </w:r>
            <w:r>
              <w:rPr>
                <w:rFonts w:hint="eastAsia"/>
                <w:color w:val="FF0000"/>
              </w:rPr>
              <w:t>/d（</w:t>
            </w:r>
            <w:r>
              <w:rPr>
                <w:rFonts w:hint="eastAsia"/>
                <w:color w:val="FF0000"/>
                <w:lang w:val="en-US" w:eastAsia="zh-CN"/>
              </w:rPr>
              <w:t>637.5</w:t>
            </w:r>
            <w:r>
              <w:rPr>
                <w:rFonts w:hint="eastAsia"/>
                <w:color w:val="FF0000"/>
              </w:rPr>
              <w:t>m</w:t>
            </w:r>
            <w:r>
              <w:rPr>
                <w:rFonts w:hint="eastAsia"/>
                <w:color w:val="FF0000"/>
                <w:vertAlign w:val="superscript"/>
              </w:rPr>
              <w:t>3</w:t>
            </w:r>
            <w:r>
              <w:rPr>
                <w:rFonts w:hint="eastAsia"/>
                <w:color w:val="FF0000"/>
              </w:rPr>
              <w:t>/a）。</w:t>
            </w:r>
            <w:r>
              <w:rPr>
                <w:rFonts w:hint="eastAsia"/>
                <w:color w:val="auto"/>
              </w:rPr>
              <w:t>生活污水经化粪池预处理达到接管标准后，通过污水管网进入</w:t>
            </w:r>
            <w:r>
              <w:rPr>
                <w:rFonts w:hint="eastAsia"/>
                <w:color w:val="auto"/>
                <w:szCs w:val="21"/>
              </w:rPr>
              <w:t>皖江江南新兴产业集中区第一污水处理厂</w:t>
            </w:r>
            <w:r>
              <w:rPr>
                <w:rFonts w:hint="eastAsia"/>
                <w:color w:val="auto"/>
              </w:rPr>
              <w:t>集中处理</w:t>
            </w:r>
            <w:r>
              <w:rPr>
                <w:color w:val="auto"/>
              </w:rPr>
              <w:t>。</w:t>
            </w:r>
          </w:p>
          <w:p w14:paraId="70B2DBAB">
            <w:pPr>
              <w:keepNext w:val="0"/>
              <w:keepLines w:val="0"/>
              <w:suppressLineNumbers w:val="0"/>
              <w:spacing w:before="0" w:beforeAutospacing="0" w:after="0" w:afterAutospacing="0" w:line="360" w:lineRule="auto"/>
              <w:ind w:left="0" w:right="0"/>
              <w:jc w:val="center"/>
              <w:rPr>
                <w:rFonts w:hint="default"/>
                <w:b/>
                <w:bCs/>
                <w:kern w:val="0"/>
                <w:szCs w:val="21"/>
              </w:rPr>
            </w:pPr>
            <w:r>
              <w:rPr>
                <w:rFonts w:hint="eastAsia"/>
                <w:b/>
                <w:bCs/>
                <w:kern w:val="0"/>
                <w:szCs w:val="21"/>
              </w:rPr>
              <w:t>表4-</w:t>
            </w:r>
            <w:r>
              <w:rPr>
                <w:rFonts w:hint="eastAsia"/>
                <w:b/>
                <w:bCs/>
                <w:kern w:val="0"/>
                <w:szCs w:val="21"/>
                <w:lang w:val="en-US" w:eastAsia="zh-CN"/>
              </w:rPr>
              <w:t>9</w:t>
            </w:r>
            <w:r>
              <w:rPr>
                <w:rFonts w:hint="eastAsia"/>
                <w:b/>
                <w:bCs/>
                <w:kern w:val="0"/>
                <w:szCs w:val="21"/>
              </w:rPr>
              <w:t xml:space="preserve">  项目废水排放情况一览表</w:t>
            </w:r>
          </w:p>
          <w:tbl>
            <w:tblPr>
              <w:tblStyle w:val="23"/>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688"/>
              <w:gridCol w:w="824"/>
              <w:gridCol w:w="694"/>
              <w:gridCol w:w="893"/>
              <w:gridCol w:w="1110"/>
              <w:gridCol w:w="895"/>
              <w:gridCol w:w="742"/>
              <w:gridCol w:w="723"/>
              <w:gridCol w:w="959"/>
            </w:tblGrid>
            <w:tr w14:paraId="7E42B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3" w:type="dxa"/>
                  <w:vMerge w:val="restart"/>
                  <w:vAlign w:val="center"/>
                </w:tcPr>
                <w:p w14:paraId="2A93E085">
                  <w:pPr>
                    <w:keepNext w:val="0"/>
                    <w:keepLines w:val="0"/>
                    <w:suppressLineNumbers w:val="0"/>
                    <w:spacing w:before="0" w:beforeAutospacing="0" w:after="0" w:afterAutospacing="0"/>
                    <w:ind w:left="0" w:right="0"/>
                    <w:jc w:val="center"/>
                    <w:rPr>
                      <w:rFonts w:hint="default"/>
                      <w:b/>
                      <w:color w:val="auto"/>
                      <w:szCs w:val="21"/>
                    </w:rPr>
                  </w:pPr>
                  <w:r>
                    <w:rPr>
                      <w:rFonts w:hint="eastAsia"/>
                      <w:b/>
                      <w:color w:val="auto"/>
                      <w:szCs w:val="21"/>
                    </w:rPr>
                    <w:t>产污环节</w:t>
                  </w:r>
                </w:p>
              </w:tc>
              <w:tc>
                <w:tcPr>
                  <w:tcW w:w="3099" w:type="dxa"/>
                  <w:gridSpan w:val="4"/>
                  <w:vAlign w:val="center"/>
                </w:tcPr>
                <w:p w14:paraId="3C7F1E17">
                  <w:pPr>
                    <w:keepNext w:val="0"/>
                    <w:keepLines w:val="0"/>
                    <w:suppressLineNumbers w:val="0"/>
                    <w:spacing w:before="0" w:beforeAutospacing="0" w:after="0" w:afterAutospacing="0"/>
                    <w:ind w:left="0" w:right="0"/>
                    <w:jc w:val="center"/>
                    <w:rPr>
                      <w:rFonts w:hint="default"/>
                      <w:b/>
                      <w:color w:val="auto"/>
                      <w:szCs w:val="21"/>
                    </w:rPr>
                  </w:pPr>
                  <w:r>
                    <w:rPr>
                      <w:rFonts w:hint="default"/>
                      <w:b/>
                      <w:color w:val="auto"/>
                      <w:szCs w:val="21"/>
                    </w:rPr>
                    <w:t>污染物产生情况</w:t>
                  </w:r>
                </w:p>
              </w:tc>
              <w:tc>
                <w:tcPr>
                  <w:tcW w:w="1110" w:type="dxa"/>
                  <w:vMerge w:val="restart"/>
                  <w:vAlign w:val="center"/>
                </w:tcPr>
                <w:p w14:paraId="66EB3395">
                  <w:pPr>
                    <w:keepNext w:val="0"/>
                    <w:keepLines w:val="0"/>
                    <w:suppressLineNumbers w:val="0"/>
                    <w:spacing w:before="0" w:beforeAutospacing="0" w:after="0" w:afterAutospacing="0"/>
                    <w:ind w:left="0" w:right="0"/>
                    <w:jc w:val="center"/>
                    <w:rPr>
                      <w:rFonts w:hint="default"/>
                      <w:b/>
                      <w:color w:val="auto"/>
                      <w:szCs w:val="21"/>
                    </w:rPr>
                  </w:pPr>
                  <w:r>
                    <w:rPr>
                      <w:rFonts w:hint="eastAsia"/>
                      <w:b/>
                      <w:color w:val="auto"/>
                      <w:szCs w:val="21"/>
                    </w:rPr>
                    <w:t>治理设施</w:t>
                  </w:r>
                </w:p>
              </w:tc>
              <w:tc>
                <w:tcPr>
                  <w:tcW w:w="2360" w:type="dxa"/>
                  <w:gridSpan w:val="3"/>
                  <w:vAlign w:val="center"/>
                </w:tcPr>
                <w:p w14:paraId="365FBFF2">
                  <w:pPr>
                    <w:keepNext w:val="0"/>
                    <w:keepLines w:val="0"/>
                    <w:suppressLineNumbers w:val="0"/>
                    <w:spacing w:before="0" w:beforeAutospacing="0" w:after="0" w:afterAutospacing="0"/>
                    <w:ind w:left="0" w:right="0"/>
                    <w:jc w:val="center"/>
                    <w:rPr>
                      <w:rFonts w:hint="default"/>
                      <w:b/>
                      <w:color w:val="auto"/>
                      <w:szCs w:val="21"/>
                    </w:rPr>
                  </w:pPr>
                  <w:r>
                    <w:rPr>
                      <w:rFonts w:hint="eastAsia"/>
                      <w:b/>
                      <w:color w:val="auto"/>
                      <w:szCs w:val="21"/>
                    </w:rPr>
                    <w:t>排放情况</w:t>
                  </w:r>
                </w:p>
              </w:tc>
              <w:tc>
                <w:tcPr>
                  <w:tcW w:w="959" w:type="dxa"/>
                  <w:vMerge w:val="restart"/>
                  <w:vAlign w:val="center"/>
                </w:tcPr>
                <w:p w14:paraId="553B1F3B">
                  <w:pPr>
                    <w:keepNext w:val="0"/>
                    <w:keepLines w:val="0"/>
                    <w:suppressLineNumbers w:val="0"/>
                    <w:spacing w:before="0" w:beforeAutospacing="0" w:after="0" w:afterAutospacing="0"/>
                    <w:ind w:left="0" w:right="0"/>
                    <w:jc w:val="center"/>
                    <w:rPr>
                      <w:rFonts w:hint="default"/>
                      <w:b/>
                      <w:color w:val="auto"/>
                      <w:szCs w:val="21"/>
                    </w:rPr>
                  </w:pPr>
                  <w:r>
                    <w:rPr>
                      <w:rFonts w:hint="default"/>
                      <w:b/>
                      <w:color w:val="auto"/>
                      <w:szCs w:val="21"/>
                    </w:rPr>
                    <w:t>排放去向</w:t>
                  </w:r>
                </w:p>
              </w:tc>
            </w:tr>
            <w:tr w14:paraId="39B8E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3" w:type="dxa"/>
                  <w:vMerge w:val="continue"/>
                  <w:vAlign w:val="center"/>
                </w:tcPr>
                <w:p w14:paraId="7159D9B4">
                  <w:pPr>
                    <w:keepNext w:val="0"/>
                    <w:keepLines w:val="0"/>
                    <w:suppressLineNumbers w:val="0"/>
                    <w:spacing w:before="0" w:beforeAutospacing="0" w:after="0" w:afterAutospacing="0"/>
                    <w:ind w:left="0" w:right="0"/>
                    <w:jc w:val="center"/>
                    <w:rPr>
                      <w:rFonts w:hint="default"/>
                      <w:bCs/>
                      <w:color w:val="auto"/>
                      <w:szCs w:val="21"/>
                    </w:rPr>
                  </w:pPr>
                </w:p>
              </w:tc>
              <w:tc>
                <w:tcPr>
                  <w:tcW w:w="688" w:type="dxa"/>
                  <w:vAlign w:val="center"/>
                </w:tcPr>
                <w:p w14:paraId="6FE7678A">
                  <w:pPr>
                    <w:keepNext w:val="0"/>
                    <w:keepLines w:val="0"/>
                    <w:suppressLineNumbers w:val="0"/>
                    <w:spacing w:before="0" w:beforeAutospacing="0" w:after="0" w:afterAutospacing="0"/>
                    <w:ind w:left="0" w:right="0"/>
                    <w:jc w:val="center"/>
                    <w:rPr>
                      <w:rFonts w:hint="default"/>
                      <w:b/>
                      <w:color w:val="auto"/>
                      <w:szCs w:val="21"/>
                    </w:rPr>
                  </w:pPr>
                  <w:r>
                    <w:rPr>
                      <w:rFonts w:hint="eastAsia"/>
                      <w:b/>
                      <w:color w:val="auto"/>
                      <w:szCs w:val="21"/>
                    </w:rPr>
                    <w:t>产生量t/a</w:t>
                  </w:r>
                </w:p>
              </w:tc>
              <w:tc>
                <w:tcPr>
                  <w:tcW w:w="824" w:type="dxa"/>
                  <w:vAlign w:val="center"/>
                </w:tcPr>
                <w:p w14:paraId="39961775">
                  <w:pPr>
                    <w:keepNext w:val="0"/>
                    <w:keepLines w:val="0"/>
                    <w:suppressLineNumbers w:val="0"/>
                    <w:spacing w:before="0" w:beforeAutospacing="0" w:after="0" w:afterAutospacing="0"/>
                    <w:ind w:left="0" w:right="0"/>
                    <w:jc w:val="center"/>
                    <w:rPr>
                      <w:rFonts w:hint="default"/>
                      <w:b/>
                      <w:color w:val="auto"/>
                      <w:szCs w:val="21"/>
                    </w:rPr>
                  </w:pPr>
                  <w:r>
                    <w:rPr>
                      <w:rFonts w:hint="eastAsia"/>
                      <w:b/>
                      <w:color w:val="auto"/>
                      <w:szCs w:val="21"/>
                    </w:rPr>
                    <w:t>污染因子</w:t>
                  </w:r>
                </w:p>
              </w:tc>
              <w:tc>
                <w:tcPr>
                  <w:tcW w:w="694" w:type="dxa"/>
                  <w:vAlign w:val="center"/>
                </w:tcPr>
                <w:p w14:paraId="1AF0C6C7">
                  <w:pPr>
                    <w:keepNext w:val="0"/>
                    <w:keepLines w:val="0"/>
                    <w:suppressLineNumbers w:val="0"/>
                    <w:spacing w:before="0" w:beforeAutospacing="0" w:after="0" w:afterAutospacing="0"/>
                    <w:ind w:left="0" w:right="0"/>
                    <w:jc w:val="center"/>
                    <w:rPr>
                      <w:rFonts w:hint="default"/>
                      <w:b/>
                      <w:color w:val="auto"/>
                      <w:szCs w:val="21"/>
                    </w:rPr>
                  </w:pPr>
                  <w:r>
                    <w:rPr>
                      <w:rFonts w:hint="default"/>
                      <w:b/>
                      <w:color w:val="auto"/>
                      <w:szCs w:val="21"/>
                    </w:rPr>
                    <w:t>浓度mg/L</w:t>
                  </w:r>
                </w:p>
              </w:tc>
              <w:tc>
                <w:tcPr>
                  <w:tcW w:w="893" w:type="dxa"/>
                  <w:vAlign w:val="center"/>
                </w:tcPr>
                <w:p w14:paraId="410A6F0F">
                  <w:pPr>
                    <w:keepNext w:val="0"/>
                    <w:keepLines w:val="0"/>
                    <w:suppressLineNumbers w:val="0"/>
                    <w:spacing w:before="0" w:beforeAutospacing="0" w:after="0" w:afterAutospacing="0"/>
                    <w:ind w:left="0" w:right="0"/>
                    <w:jc w:val="center"/>
                    <w:rPr>
                      <w:rFonts w:hint="default"/>
                      <w:b/>
                      <w:color w:val="auto"/>
                      <w:szCs w:val="21"/>
                    </w:rPr>
                  </w:pPr>
                  <w:r>
                    <w:rPr>
                      <w:rFonts w:hint="default"/>
                      <w:b/>
                      <w:color w:val="auto"/>
                      <w:szCs w:val="21"/>
                    </w:rPr>
                    <w:t>产生量t/a</w:t>
                  </w:r>
                </w:p>
              </w:tc>
              <w:tc>
                <w:tcPr>
                  <w:tcW w:w="1110" w:type="dxa"/>
                  <w:vMerge w:val="continue"/>
                  <w:vAlign w:val="center"/>
                </w:tcPr>
                <w:p w14:paraId="28F00196">
                  <w:pPr>
                    <w:keepNext w:val="0"/>
                    <w:keepLines w:val="0"/>
                    <w:suppressLineNumbers w:val="0"/>
                    <w:spacing w:before="0" w:beforeAutospacing="0" w:after="0" w:afterAutospacing="0"/>
                    <w:ind w:left="0" w:right="0"/>
                    <w:jc w:val="center"/>
                    <w:rPr>
                      <w:rFonts w:hint="default"/>
                      <w:b/>
                      <w:color w:val="auto"/>
                      <w:szCs w:val="21"/>
                    </w:rPr>
                  </w:pPr>
                </w:p>
              </w:tc>
              <w:tc>
                <w:tcPr>
                  <w:tcW w:w="895" w:type="dxa"/>
                  <w:vAlign w:val="center"/>
                </w:tcPr>
                <w:p w14:paraId="126040B4">
                  <w:pPr>
                    <w:keepNext w:val="0"/>
                    <w:keepLines w:val="0"/>
                    <w:suppressLineNumbers w:val="0"/>
                    <w:spacing w:before="0" w:beforeAutospacing="0" w:after="0" w:afterAutospacing="0"/>
                    <w:ind w:left="0" w:right="0"/>
                    <w:jc w:val="center"/>
                    <w:rPr>
                      <w:rFonts w:hint="default"/>
                      <w:b/>
                      <w:color w:val="auto"/>
                      <w:szCs w:val="21"/>
                    </w:rPr>
                  </w:pPr>
                  <w:r>
                    <w:rPr>
                      <w:rFonts w:hint="eastAsia"/>
                      <w:b/>
                      <w:color w:val="auto"/>
                      <w:szCs w:val="21"/>
                    </w:rPr>
                    <w:t>污染物名称</w:t>
                  </w:r>
                </w:p>
              </w:tc>
              <w:tc>
                <w:tcPr>
                  <w:tcW w:w="742" w:type="dxa"/>
                  <w:vAlign w:val="center"/>
                </w:tcPr>
                <w:p w14:paraId="2175D486">
                  <w:pPr>
                    <w:keepNext w:val="0"/>
                    <w:keepLines w:val="0"/>
                    <w:suppressLineNumbers w:val="0"/>
                    <w:spacing w:before="0" w:beforeAutospacing="0" w:after="0" w:afterAutospacing="0"/>
                    <w:ind w:left="0" w:right="0"/>
                    <w:jc w:val="center"/>
                    <w:rPr>
                      <w:rFonts w:hint="default"/>
                      <w:b/>
                      <w:color w:val="auto"/>
                      <w:szCs w:val="21"/>
                    </w:rPr>
                  </w:pPr>
                  <w:r>
                    <w:rPr>
                      <w:rFonts w:hint="default"/>
                      <w:b/>
                      <w:color w:val="auto"/>
                      <w:szCs w:val="21"/>
                    </w:rPr>
                    <w:t>浓度mg/L</w:t>
                  </w:r>
                </w:p>
              </w:tc>
              <w:tc>
                <w:tcPr>
                  <w:tcW w:w="723" w:type="dxa"/>
                  <w:vAlign w:val="center"/>
                </w:tcPr>
                <w:p w14:paraId="71B9D7EF">
                  <w:pPr>
                    <w:keepNext w:val="0"/>
                    <w:keepLines w:val="0"/>
                    <w:suppressLineNumbers w:val="0"/>
                    <w:spacing w:before="0" w:beforeAutospacing="0" w:after="0" w:afterAutospacing="0"/>
                    <w:ind w:left="0" w:right="0"/>
                    <w:jc w:val="center"/>
                    <w:rPr>
                      <w:rFonts w:hint="default"/>
                      <w:b/>
                      <w:color w:val="auto"/>
                      <w:szCs w:val="21"/>
                    </w:rPr>
                  </w:pPr>
                  <w:r>
                    <w:rPr>
                      <w:rFonts w:hint="default"/>
                      <w:b/>
                      <w:color w:val="auto"/>
                      <w:szCs w:val="21"/>
                    </w:rPr>
                    <w:t>接管量t/a</w:t>
                  </w:r>
                </w:p>
              </w:tc>
              <w:tc>
                <w:tcPr>
                  <w:tcW w:w="959" w:type="dxa"/>
                  <w:vMerge w:val="continue"/>
                  <w:vAlign w:val="center"/>
                </w:tcPr>
                <w:p w14:paraId="4710BCB1">
                  <w:pPr>
                    <w:keepNext w:val="0"/>
                    <w:keepLines w:val="0"/>
                    <w:suppressLineNumbers w:val="0"/>
                    <w:spacing w:before="0" w:beforeAutospacing="0" w:after="0" w:afterAutospacing="0"/>
                    <w:ind w:left="0" w:right="0"/>
                    <w:jc w:val="center"/>
                    <w:rPr>
                      <w:rFonts w:hint="default"/>
                      <w:bCs/>
                      <w:color w:val="auto"/>
                      <w:szCs w:val="21"/>
                    </w:rPr>
                  </w:pPr>
                </w:p>
              </w:tc>
            </w:tr>
            <w:tr w14:paraId="1F905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3" w:type="dxa"/>
                  <w:vMerge w:val="restart"/>
                  <w:vAlign w:val="center"/>
                </w:tcPr>
                <w:p w14:paraId="553CD4D8">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生活污水</w:t>
                  </w:r>
                </w:p>
              </w:tc>
              <w:tc>
                <w:tcPr>
                  <w:tcW w:w="688" w:type="dxa"/>
                  <w:vMerge w:val="restart"/>
                  <w:vAlign w:val="center"/>
                </w:tcPr>
                <w:p w14:paraId="417C66A6">
                  <w:pPr>
                    <w:keepNext w:val="0"/>
                    <w:keepLines w:val="0"/>
                    <w:suppressLineNumbers w:val="0"/>
                    <w:spacing w:before="0" w:beforeAutospacing="0" w:after="0" w:afterAutospacing="0"/>
                    <w:ind w:left="0" w:right="0"/>
                    <w:jc w:val="center"/>
                    <w:rPr>
                      <w:rFonts w:hint="default" w:eastAsia="宋体"/>
                      <w:color w:val="auto"/>
                      <w:szCs w:val="21"/>
                      <w:lang w:val="en-US" w:eastAsia="zh-CN"/>
                    </w:rPr>
                  </w:pPr>
                  <w:r>
                    <w:rPr>
                      <w:rFonts w:hint="eastAsia"/>
                      <w:color w:val="FF0000"/>
                      <w:szCs w:val="21"/>
                      <w:lang w:val="en-US" w:eastAsia="zh-CN"/>
                    </w:rPr>
                    <w:t>637.5</w:t>
                  </w:r>
                </w:p>
              </w:tc>
              <w:tc>
                <w:tcPr>
                  <w:tcW w:w="824" w:type="dxa"/>
                  <w:vAlign w:val="center"/>
                </w:tcPr>
                <w:p w14:paraId="05B75731">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COD</w:t>
                  </w:r>
                </w:p>
              </w:tc>
              <w:tc>
                <w:tcPr>
                  <w:tcW w:w="694" w:type="dxa"/>
                  <w:vAlign w:val="center"/>
                </w:tcPr>
                <w:p w14:paraId="7031B03C">
                  <w:pPr>
                    <w:keepNext w:val="0"/>
                    <w:keepLines w:val="0"/>
                    <w:suppressLineNumbers w:val="0"/>
                    <w:spacing w:before="0" w:beforeAutospacing="0" w:after="0" w:afterAutospacing="0"/>
                    <w:ind w:left="0" w:right="0"/>
                    <w:jc w:val="center"/>
                    <w:rPr>
                      <w:rFonts w:hint="default" w:eastAsia="宋体"/>
                      <w:color w:val="auto"/>
                      <w:szCs w:val="21"/>
                      <w:lang w:val="en-US" w:eastAsia="zh-CN"/>
                    </w:rPr>
                  </w:pPr>
                  <w:r>
                    <w:rPr>
                      <w:rFonts w:hint="eastAsia"/>
                      <w:color w:val="auto"/>
                      <w:szCs w:val="21"/>
                      <w:lang w:val="en-US" w:eastAsia="zh-CN"/>
                    </w:rPr>
                    <w:t>300</w:t>
                  </w:r>
                </w:p>
              </w:tc>
              <w:tc>
                <w:tcPr>
                  <w:tcW w:w="893" w:type="dxa"/>
                  <w:vAlign w:val="center"/>
                </w:tcPr>
                <w:p w14:paraId="43833D27">
                  <w:pPr>
                    <w:keepNext w:val="0"/>
                    <w:keepLines w:val="0"/>
                    <w:widowControl/>
                    <w:suppressLineNumbers w:val="0"/>
                    <w:spacing w:before="0" w:beforeAutospacing="0" w:after="0" w:afterAutospacing="0"/>
                    <w:ind w:left="0" w:right="0"/>
                    <w:jc w:val="center"/>
                    <w:textAlignment w:val="center"/>
                    <w:rPr>
                      <w:rFonts w:hint="default" w:eastAsia="宋体"/>
                      <w:color w:val="FF0000"/>
                      <w:szCs w:val="21"/>
                      <w:lang w:val="en-US" w:eastAsia="zh-CN"/>
                    </w:rPr>
                  </w:pPr>
                  <w:r>
                    <w:rPr>
                      <w:rFonts w:hint="eastAsia"/>
                      <w:color w:val="FF0000"/>
                      <w:kern w:val="0"/>
                      <w:szCs w:val="21"/>
                      <w:lang w:bidi="ar"/>
                    </w:rPr>
                    <w:t>0.1</w:t>
                  </w:r>
                  <w:r>
                    <w:rPr>
                      <w:rFonts w:hint="eastAsia"/>
                      <w:color w:val="FF0000"/>
                      <w:kern w:val="0"/>
                      <w:szCs w:val="21"/>
                      <w:lang w:val="en-US" w:eastAsia="zh-CN" w:bidi="ar"/>
                    </w:rPr>
                    <w:t>91</w:t>
                  </w:r>
                </w:p>
              </w:tc>
              <w:tc>
                <w:tcPr>
                  <w:tcW w:w="1110" w:type="dxa"/>
                  <w:vMerge w:val="restart"/>
                  <w:vAlign w:val="center"/>
                </w:tcPr>
                <w:p w14:paraId="69F26E4D">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化粪池预处理</w:t>
                  </w:r>
                </w:p>
              </w:tc>
              <w:tc>
                <w:tcPr>
                  <w:tcW w:w="895" w:type="dxa"/>
                  <w:vAlign w:val="center"/>
                </w:tcPr>
                <w:p w14:paraId="03EE1702">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COD</w:t>
                  </w:r>
                </w:p>
              </w:tc>
              <w:tc>
                <w:tcPr>
                  <w:tcW w:w="742" w:type="dxa"/>
                  <w:shd w:val="clear" w:color="auto" w:fill="auto"/>
                  <w:vAlign w:val="center"/>
                </w:tcPr>
                <w:p w14:paraId="21CA4E5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300</w:t>
                  </w:r>
                </w:p>
              </w:tc>
              <w:tc>
                <w:tcPr>
                  <w:tcW w:w="723" w:type="dxa"/>
                  <w:shd w:val="clear" w:color="auto" w:fill="auto"/>
                  <w:vAlign w:val="center"/>
                </w:tcPr>
                <w:p w14:paraId="3420B133">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FF0000"/>
                      <w:kern w:val="2"/>
                      <w:sz w:val="21"/>
                      <w:szCs w:val="21"/>
                      <w:lang w:val="en-US" w:eastAsia="zh-CN" w:bidi="ar-SA"/>
                    </w:rPr>
                  </w:pPr>
                  <w:r>
                    <w:rPr>
                      <w:rFonts w:hint="eastAsia"/>
                      <w:color w:val="FF0000"/>
                      <w:kern w:val="0"/>
                      <w:szCs w:val="21"/>
                      <w:lang w:bidi="ar"/>
                    </w:rPr>
                    <w:t>0.1</w:t>
                  </w:r>
                  <w:r>
                    <w:rPr>
                      <w:rFonts w:hint="eastAsia"/>
                      <w:color w:val="FF0000"/>
                      <w:kern w:val="0"/>
                      <w:szCs w:val="21"/>
                      <w:lang w:val="en-US" w:eastAsia="zh-CN" w:bidi="ar"/>
                    </w:rPr>
                    <w:t>91</w:t>
                  </w:r>
                </w:p>
              </w:tc>
              <w:tc>
                <w:tcPr>
                  <w:tcW w:w="959" w:type="dxa"/>
                  <w:vMerge w:val="restart"/>
                  <w:vAlign w:val="center"/>
                </w:tcPr>
                <w:p w14:paraId="613FB763">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皖江江南新兴产业集中区第一污水处理厂</w:t>
                  </w:r>
                </w:p>
              </w:tc>
            </w:tr>
            <w:tr w14:paraId="5B97D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3" w:type="dxa"/>
                  <w:vMerge w:val="continue"/>
                  <w:vAlign w:val="center"/>
                </w:tcPr>
                <w:p w14:paraId="1682CB7C">
                  <w:pPr>
                    <w:keepNext w:val="0"/>
                    <w:keepLines w:val="0"/>
                    <w:suppressLineNumbers w:val="0"/>
                    <w:spacing w:before="0" w:beforeAutospacing="0" w:after="0" w:afterAutospacing="0"/>
                    <w:ind w:left="0" w:right="0"/>
                    <w:jc w:val="center"/>
                    <w:rPr>
                      <w:rFonts w:hint="default"/>
                      <w:color w:val="auto"/>
                      <w:szCs w:val="21"/>
                    </w:rPr>
                  </w:pPr>
                </w:p>
              </w:tc>
              <w:tc>
                <w:tcPr>
                  <w:tcW w:w="688" w:type="dxa"/>
                  <w:vMerge w:val="continue"/>
                  <w:vAlign w:val="center"/>
                </w:tcPr>
                <w:p w14:paraId="2E2A2D71">
                  <w:pPr>
                    <w:keepNext w:val="0"/>
                    <w:keepLines w:val="0"/>
                    <w:suppressLineNumbers w:val="0"/>
                    <w:spacing w:before="0" w:beforeAutospacing="0" w:after="0" w:afterAutospacing="0"/>
                    <w:ind w:left="0" w:right="0"/>
                    <w:jc w:val="center"/>
                    <w:rPr>
                      <w:rFonts w:hint="default"/>
                      <w:color w:val="auto"/>
                      <w:szCs w:val="21"/>
                    </w:rPr>
                  </w:pPr>
                </w:p>
              </w:tc>
              <w:tc>
                <w:tcPr>
                  <w:tcW w:w="824" w:type="dxa"/>
                  <w:vAlign w:val="center"/>
                </w:tcPr>
                <w:p w14:paraId="126C8E22">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BOD</w:t>
                  </w:r>
                  <w:r>
                    <w:rPr>
                      <w:rFonts w:hint="eastAsia"/>
                      <w:color w:val="auto"/>
                      <w:szCs w:val="21"/>
                      <w:vertAlign w:val="subscript"/>
                    </w:rPr>
                    <w:t>5</w:t>
                  </w:r>
                </w:p>
              </w:tc>
              <w:tc>
                <w:tcPr>
                  <w:tcW w:w="694" w:type="dxa"/>
                  <w:vAlign w:val="center"/>
                </w:tcPr>
                <w:p w14:paraId="66548453">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150</w:t>
                  </w:r>
                </w:p>
              </w:tc>
              <w:tc>
                <w:tcPr>
                  <w:tcW w:w="893" w:type="dxa"/>
                  <w:vAlign w:val="center"/>
                </w:tcPr>
                <w:p w14:paraId="237D61C2">
                  <w:pPr>
                    <w:keepNext w:val="0"/>
                    <w:keepLines w:val="0"/>
                    <w:widowControl/>
                    <w:suppressLineNumbers w:val="0"/>
                    <w:spacing w:before="0" w:beforeAutospacing="0" w:after="0" w:afterAutospacing="0"/>
                    <w:ind w:left="0" w:right="0"/>
                    <w:jc w:val="center"/>
                    <w:textAlignment w:val="center"/>
                    <w:rPr>
                      <w:rFonts w:hint="default" w:eastAsia="宋体"/>
                      <w:color w:val="FF0000"/>
                      <w:szCs w:val="21"/>
                      <w:lang w:val="en-US" w:eastAsia="zh-CN"/>
                    </w:rPr>
                  </w:pPr>
                  <w:r>
                    <w:rPr>
                      <w:rFonts w:hint="eastAsia" w:eastAsia="宋体"/>
                      <w:color w:val="FF0000"/>
                      <w:kern w:val="0"/>
                      <w:szCs w:val="21"/>
                      <w:lang w:val="en-US" w:eastAsia="zh-CN" w:bidi="ar"/>
                    </w:rPr>
                    <w:t>0.09</w:t>
                  </w:r>
                  <w:r>
                    <w:rPr>
                      <w:rFonts w:hint="eastAsia"/>
                      <w:color w:val="FF0000"/>
                      <w:kern w:val="0"/>
                      <w:szCs w:val="21"/>
                      <w:lang w:val="en-US" w:eastAsia="zh-CN" w:bidi="ar"/>
                    </w:rPr>
                    <w:t>6</w:t>
                  </w:r>
                </w:p>
              </w:tc>
              <w:tc>
                <w:tcPr>
                  <w:tcW w:w="1110" w:type="dxa"/>
                  <w:vMerge w:val="continue"/>
                  <w:vAlign w:val="center"/>
                </w:tcPr>
                <w:p w14:paraId="346106F3">
                  <w:pPr>
                    <w:keepNext w:val="0"/>
                    <w:keepLines w:val="0"/>
                    <w:suppressLineNumbers w:val="0"/>
                    <w:spacing w:before="0" w:beforeAutospacing="0" w:after="0" w:afterAutospacing="0"/>
                    <w:ind w:left="0" w:right="0"/>
                    <w:jc w:val="center"/>
                    <w:rPr>
                      <w:rFonts w:hint="default"/>
                      <w:color w:val="auto"/>
                      <w:szCs w:val="21"/>
                    </w:rPr>
                  </w:pPr>
                </w:p>
              </w:tc>
              <w:tc>
                <w:tcPr>
                  <w:tcW w:w="895" w:type="dxa"/>
                  <w:vAlign w:val="center"/>
                </w:tcPr>
                <w:p w14:paraId="4ED5B461">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BOD</w:t>
                  </w:r>
                  <w:r>
                    <w:rPr>
                      <w:rFonts w:hint="eastAsia"/>
                      <w:color w:val="auto"/>
                      <w:szCs w:val="21"/>
                      <w:vertAlign w:val="subscript"/>
                    </w:rPr>
                    <w:t>5</w:t>
                  </w:r>
                </w:p>
              </w:tc>
              <w:tc>
                <w:tcPr>
                  <w:tcW w:w="742" w:type="dxa"/>
                  <w:shd w:val="clear" w:color="auto" w:fill="auto"/>
                  <w:vAlign w:val="center"/>
                </w:tcPr>
                <w:p w14:paraId="420DC9D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rPr>
                    <w:t>150</w:t>
                  </w:r>
                </w:p>
              </w:tc>
              <w:tc>
                <w:tcPr>
                  <w:tcW w:w="723" w:type="dxa"/>
                  <w:shd w:val="clear" w:color="auto" w:fill="auto"/>
                  <w:vAlign w:val="center"/>
                </w:tcPr>
                <w:p w14:paraId="2DB740CE">
                  <w:pPr>
                    <w:keepNext w:val="0"/>
                    <w:keepLines w:val="0"/>
                    <w:widowControl/>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FF0000"/>
                      <w:kern w:val="2"/>
                      <w:sz w:val="21"/>
                      <w:szCs w:val="21"/>
                      <w:lang w:val="en-US" w:eastAsia="zh-CN" w:bidi="ar-SA"/>
                    </w:rPr>
                  </w:pPr>
                  <w:r>
                    <w:rPr>
                      <w:rFonts w:hint="eastAsia" w:eastAsia="宋体"/>
                      <w:color w:val="FF0000"/>
                      <w:kern w:val="0"/>
                      <w:szCs w:val="21"/>
                      <w:lang w:val="en-US" w:eastAsia="zh-CN" w:bidi="ar"/>
                    </w:rPr>
                    <w:t>0.09</w:t>
                  </w:r>
                  <w:r>
                    <w:rPr>
                      <w:rFonts w:hint="eastAsia"/>
                      <w:color w:val="FF0000"/>
                      <w:kern w:val="0"/>
                      <w:szCs w:val="21"/>
                      <w:lang w:val="en-US" w:eastAsia="zh-CN" w:bidi="ar"/>
                    </w:rPr>
                    <w:t>6</w:t>
                  </w:r>
                </w:p>
              </w:tc>
              <w:tc>
                <w:tcPr>
                  <w:tcW w:w="959" w:type="dxa"/>
                  <w:vMerge w:val="continue"/>
                  <w:vAlign w:val="center"/>
                </w:tcPr>
                <w:p w14:paraId="3DE811A4">
                  <w:pPr>
                    <w:keepNext w:val="0"/>
                    <w:keepLines w:val="0"/>
                    <w:suppressLineNumbers w:val="0"/>
                    <w:spacing w:before="0" w:beforeAutospacing="0" w:after="0" w:afterAutospacing="0"/>
                    <w:ind w:left="0" w:right="0"/>
                    <w:jc w:val="center"/>
                    <w:rPr>
                      <w:rFonts w:hint="default"/>
                      <w:color w:val="auto"/>
                      <w:szCs w:val="21"/>
                    </w:rPr>
                  </w:pPr>
                </w:p>
              </w:tc>
            </w:tr>
            <w:tr w14:paraId="67264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3" w:type="dxa"/>
                  <w:vMerge w:val="continue"/>
                  <w:vAlign w:val="center"/>
                </w:tcPr>
                <w:p w14:paraId="6AB8FFEC">
                  <w:pPr>
                    <w:keepNext w:val="0"/>
                    <w:keepLines w:val="0"/>
                    <w:suppressLineNumbers w:val="0"/>
                    <w:spacing w:before="0" w:beforeAutospacing="0" w:after="0" w:afterAutospacing="0"/>
                    <w:ind w:left="0" w:right="0"/>
                    <w:jc w:val="center"/>
                    <w:rPr>
                      <w:rFonts w:hint="default"/>
                      <w:color w:val="auto"/>
                      <w:szCs w:val="21"/>
                    </w:rPr>
                  </w:pPr>
                </w:p>
              </w:tc>
              <w:tc>
                <w:tcPr>
                  <w:tcW w:w="688" w:type="dxa"/>
                  <w:vMerge w:val="continue"/>
                  <w:vAlign w:val="center"/>
                </w:tcPr>
                <w:p w14:paraId="1D1C385B">
                  <w:pPr>
                    <w:keepNext w:val="0"/>
                    <w:keepLines w:val="0"/>
                    <w:suppressLineNumbers w:val="0"/>
                    <w:spacing w:before="0" w:beforeAutospacing="0" w:after="0" w:afterAutospacing="0"/>
                    <w:ind w:left="0" w:right="0"/>
                    <w:jc w:val="center"/>
                    <w:rPr>
                      <w:rFonts w:hint="default"/>
                      <w:color w:val="auto"/>
                      <w:szCs w:val="21"/>
                    </w:rPr>
                  </w:pPr>
                </w:p>
              </w:tc>
              <w:tc>
                <w:tcPr>
                  <w:tcW w:w="824" w:type="dxa"/>
                  <w:vAlign w:val="center"/>
                </w:tcPr>
                <w:p w14:paraId="00738127">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SS</w:t>
                  </w:r>
                </w:p>
              </w:tc>
              <w:tc>
                <w:tcPr>
                  <w:tcW w:w="694" w:type="dxa"/>
                  <w:vAlign w:val="center"/>
                </w:tcPr>
                <w:p w14:paraId="5E0FF84D">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200</w:t>
                  </w:r>
                </w:p>
              </w:tc>
              <w:tc>
                <w:tcPr>
                  <w:tcW w:w="893" w:type="dxa"/>
                  <w:vAlign w:val="center"/>
                </w:tcPr>
                <w:p w14:paraId="02A7BB2F">
                  <w:pPr>
                    <w:keepNext w:val="0"/>
                    <w:keepLines w:val="0"/>
                    <w:widowControl/>
                    <w:suppressLineNumbers w:val="0"/>
                    <w:spacing w:before="0" w:beforeAutospacing="0" w:after="0" w:afterAutospacing="0"/>
                    <w:ind w:left="0" w:right="0"/>
                    <w:jc w:val="center"/>
                    <w:textAlignment w:val="center"/>
                    <w:rPr>
                      <w:rFonts w:hint="default" w:eastAsia="宋体"/>
                      <w:color w:val="FF0000"/>
                      <w:szCs w:val="21"/>
                      <w:lang w:val="en-US" w:eastAsia="zh-CN"/>
                    </w:rPr>
                  </w:pPr>
                  <w:r>
                    <w:rPr>
                      <w:rFonts w:hint="eastAsia"/>
                      <w:color w:val="FF0000"/>
                      <w:kern w:val="0"/>
                      <w:szCs w:val="21"/>
                      <w:lang w:bidi="ar"/>
                    </w:rPr>
                    <w:t>0.1</w:t>
                  </w:r>
                  <w:r>
                    <w:rPr>
                      <w:rFonts w:hint="eastAsia"/>
                      <w:color w:val="FF0000"/>
                      <w:kern w:val="0"/>
                      <w:szCs w:val="21"/>
                      <w:lang w:val="en-US" w:eastAsia="zh-CN" w:bidi="ar"/>
                    </w:rPr>
                    <w:t>28</w:t>
                  </w:r>
                </w:p>
              </w:tc>
              <w:tc>
                <w:tcPr>
                  <w:tcW w:w="1110" w:type="dxa"/>
                  <w:vMerge w:val="continue"/>
                  <w:vAlign w:val="center"/>
                </w:tcPr>
                <w:p w14:paraId="45D9B25E">
                  <w:pPr>
                    <w:keepNext w:val="0"/>
                    <w:keepLines w:val="0"/>
                    <w:suppressLineNumbers w:val="0"/>
                    <w:spacing w:before="0" w:beforeAutospacing="0" w:after="0" w:afterAutospacing="0"/>
                    <w:ind w:left="0" w:right="0"/>
                    <w:jc w:val="center"/>
                    <w:rPr>
                      <w:rFonts w:hint="default"/>
                      <w:color w:val="auto"/>
                      <w:szCs w:val="21"/>
                    </w:rPr>
                  </w:pPr>
                </w:p>
              </w:tc>
              <w:tc>
                <w:tcPr>
                  <w:tcW w:w="895" w:type="dxa"/>
                  <w:vAlign w:val="center"/>
                </w:tcPr>
                <w:p w14:paraId="6895B5CD">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SS</w:t>
                  </w:r>
                </w:p>
              </w:tc>
              <w:tc>
                <w:tcPr>
                  <w:tcW w:w="742" w:type="dxa"/>
                  <w:shd w:val="clear" w:color="auto" w:fill="auto"/>
                  <w:vAlign w:val="center"/>
                </w:tcPr>
                <w:p w14:paraId="07D28C8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rPr>
                    <w:t>200</w:t>
                  </w:r>
                </w:p>
              </w:tc>
              <w:tc>
                <w:tcPr>
                  <w:tcW w:w="723" w:type="dxa"/>
                  <w:shd w:val="clear" w:color="auto" w:fill="auto"/>
                  <w:vAlign w:val="center"/>
                </w:tcPr>
                <w:p w14:paraId="6F4FA1E5">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FF0000"/>
                      <w:kern w:val="2"/>
                      <w:sz w:val="21"/>
                      <w:szCs w:val="21"/>
                      <w:lang w:val="en-US" w:eastAsia="zh-CN" w:bidi="ar-SA"/>
                    </w:rPr>
                  </w:pPr>
                  <w:r>
                    <w:rPr>
                      <w:rFonts w:hint="eastAsia"/>
                      <w:color w:val="FF0000"/>
                      <w:kern w:val="0"/>
                      <w:szCs w:val="21"/>
                      <w:lang w:bidi="ar"/>
                    </w:rPr>
                    <w:t>0.1</w:t>
                  </w:r>
                  <w:r>
                    <w:rPr>
                      <w:rFonts w:hint="eastAsia"/>
                      <w:color w:val="FF0000"/>
                      <w:kern w:val="0"/>
                      <w:szCs w:val="21"/>
                      <w:lang w:val="en-US" w:eastAsia="zh-CN" w:bidi="ar"/>
                    </w:rPr>
                    <w:t>28</w:t>
                  </w:r>
                </w:p>
              </w:tc>
              <w:tc>
                <w:tcPr>
                  <w:tcW w:w="959" w:type="dxa"/>
                  <w:vMerge w:val="continue"/>
                  <w:vAlign w:val="center"/>
                </w:tcPr>
                <w:p w14:paraId="5CED9047">
                  <w:pPr>
                    <w:keepNext w:val="0"/>
                    <w:keepLines w:val="0"/>
                    <w:suppressLineNumbers w:val="0"/>
                    <w:spacing w:before="0" w:beforeAutospacing="0" w:after="0" w:afterAutospacing="0"/>
                    <w:ind w:left="0" w:right="0"/>
                    <w:jc w:val="center"/>
                    <w:rPr>
                      <w:rFonts w:hint="default"/>
                      <w:color w:val="auto"/>
                      <w:szCs w:val="21"/>
                    </w:rPr>
                  </w:pPr>
                </w:p>
              </w:tc>
            </w:tr>
            <w:tr w14:paraId="14792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3" w:type="dxa"/>
                  <w:vMerge w:val="continue"/>
                  <w:vAlign w:val="center"/>
                </w:tcPr>
                <w:p w14:paraId="5E20DEEF">
                  <w:pPr>
                    <w:keepNext w:val="0"/>
                    <w:keepLines w:val="0"/>
                    <w:suppressLineNumbers w:val="0"/>
                    <w:spacing w:before="0" w:beforeAutospacing="0" w:after="0" w:afterAutospacing="0"/>
                    <w:ind w:left="0" w:right="0"/>
                    <w:jc w:val="center"/>
                    <w:rPr>
                      <w:rFonts w:hint="default"/>
                      <w:color w:val="auto"/>
                      <w:szCs w:val="21"/>
                    </w:rPr>
                  </w:pPr>
                </w:p>
              </w:tc>
              <w:tc>
                <w:tcPr>
                  <w:tcW w:w="688" w:type="dxa"/>
                  <w:vMerge w:val="continue"/>
                  <w:vAlign w:val="center"/>
                </w:tcPr>
                <w:p w14:paraId="6890B72C">
                  <w:pPr>
                    <w:keepNext w:val="0"/>
                    <w:keepLines w:val="0"/>
                    <w:suppressLineNumbers w:val="0"/>
                    <w:spacing w:before="0" w:beforeAutospacing="0" w:after="0" w:afterAutospacing="0"/>
                    <w:ind w:left="0" w:right="0"/>
                    <w:jc w:val="center"/>
                    <w:rPr>
                      <w:rFonts w:hint="default"/>
                      <w:color w:val="auto"/>
                      <w:szCs w:val="21"/>
                    </w:rPr>
                  </w:pPr>
                </w:p>
              </w:tc>
              <w:tc>
                <w:tcPr>
                  <w:tcW w:w="824" w:type="dxa"/>
                  <w:vAlign w:val="center"/>
                </w:tcPr>
                <w:p w14:paraId="6BA83225">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TN</w:t>
                  </w:r>
                </w:p>
              </w:tc>
              <w:tc>
                <w:tcPr>
                  <w:tcW w:w="694" w:type="dxa"/>
                  <w:vAlign w:val="center"/>
                </w:tcPr>
                <w:p w14:paraId="75B56BE6">
                  <w:pPr>
                    <w:keepNext w:val="0"/>
                    <w:keepLines w:val="0"/>
                    <w:suppressLineNumbers w:val="0"/>
                    <w:spacing w:before="0" w:beforeAutospacing="0" w:after="0" w:afterAutospacing="0"/>
                    <w:ind w:left="0" w:right="0"/>
                    <w:jc w:val="center"/>
                    <w:rPr>
                      <w:rFonts w:hint="default" w:eastAsia="宋体"/>
                      <w:color w:val="auto"/>
                      <w:szCs w:val="21"/>
                      <w:lang w:val="en-US" w:eastAsia="zh-CN"/>
                    </w:rPr>
                  </w:pPr>
                  <w:r>
                    <w:rPr>
                      <w:rFonts w:hint="eastAsia"/>
                      <w:color w:val="auto"/>
                      <w:szCs w:val="21"/>
                      <w:lang w:val="en-US" w:eastAsia="zh-CN"/>
                    </w:rPr>
                    <w:t>45</w:t>
                  </w:r>
                </w:p>
              </w:tc>
              <w:tc>
                <w:tcPr>
                  <w:tcW w:w="893" w:type="dxa"/>
                  <w:vAlign w:val="center"/>
                </w:tcPr>
                <w:p w14:paraId="0B0C383E">
                  <w:pPr>
                    <w:keepNext w:val="0"/>
                    <w:keepLines w:val="0"/>
                    <w:widowControl/>
                    <w:suppressLineNumbers w:val="0"/>
                    <w:spacing w:before="0" w:beforeAutospacing="0" w:after="0" w:afterAutospacing="0"/>
                    <w:ind w:left="0" w:right="0"/>
                    <w:jc w:val="center"/>
                    <w:textAlignment w:val="center"/>
                    <w:rPr>
                      <w:rFonts w:hint="default" w:eastAsia="宋体"/>
                      <w:color w:val="FF0000"/>
                      <w:kern w:val="0"/>
                      <w:szCs w:val="21"/>
                      <w:lang w:val="en-US" w:eastAsia="zh-CN" w:bidi="ar"/>
                    </w:rPr>
                  </w:pPr>
                  <w:r>
                    <w:rPr>
                      <w:rFonts w:hint="eastAsia"/>
                      <w:color w:val="FF0000"/>
                      <w:kern w:val="0"/>
                      <w:szCs w:val="21"/>
                      <w:lang w:bidi="ar"/>
                    </w:rPr>
                    <w:t>0.0</w:t>
                  </w:r>
                  <w:r>
                    <w:rPr>
                      <w:rFonts w:hint="eastAsia"/>
                      <w:color w:val="FF0000"/>
                      <w:kern w:val="0"/>
                      <w:szCs w:val="21"/>
                      <w:lang w:val="en-US" w:eastAsia="zh-CN" w:bidi="ar"/>
                    </w:rPr>
                    <w:t>29</w:t>
                  </w:r>
                </w:p>
              </w:tc>
              <w:tc>
                <w:tcPr>
                  <w:tcW w:w="1110" w:type="dxa"/>
                  <w:vMerge w:val="continue"/>
                  <w:vAlign w:val="center"/>
                </w:tcPr>
                <w:p w14:paraId="27CEF94C">
                  <w:pPr>
                    <w:keepNext w:val="0"/>
                    <w:keepLines w:val="0"/>
                    <w:suppressLineNumbers w:val="0"/>
                    <w:spacing w:before="0" w:beforeAutospacing="0" w:after="0" w:afterAutospacing="0"/>
                    <w:ind w:left="0" w:right="0"/>
                    <w:jc w:val="center"/>
                    <w:rPr>
                      <w:rFonts w:hint="default"/>
                      <w:color w:val="auto"/>
                      <w:szCs w:val="21"/>
                    </w:rPr>
                  </w:pPr>
                </w:p>
              </w:tc>
              <w:tc>
                <w:tcPr>
                  <w:tcW w:w="895" w:type="dxa"/>
                  <w:vAlign w:val="center"/>
                </w:tcPr>
                <w:p w14:paraId="51EF293B">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TN</w:t>
                  </w:r>
                </w:p>
              </w:tc>
              <w:tc>
                <w:tcPr>
                  <w:tcW w:w="742" w:type="dxa"/>
                  <w:shd w:val="clear" w:color="auto" w:fill="auto"/>
                  <w:vAlign w:val="center"/>
                </w:tcPr>
                <w:p w14:paraId="1D89073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45</w:t>
                  </w:r>
                </w:p>
              </w:tc>
              <w:tc>
                <w:tcPr>
                  <w:tcW w:w="723" w:type="dxa"/>
                  <w:shd w:val="clear" w:color="auto" w:fill="auto"/>
                  <w:vAlign w:val="center"/>
                </w:tcPr>
                <w:p w14:paraId="019B0E7E">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FF0000"/>
                      <w:kern w:val="0"/>
                      <w:sz w:val="21"/>
                      <w:szCs w:val="21"/>
                      <w:lang w:val="en-US" w:eastAsia="zh-CN" w:bidi="ar"/>
                    </w:rPr>
                  </w:pPr>
                  <w:r>
                    <w:rPr>
                      <w:rFonts w:hint="eastAsia"/>
                      <w:color w:val="FF0000"/>
                      <w:kern w:val="0"/>
                      <w:szCs w:val="21"/>
                      <w:lang w:bidi="ar"/>
                    </w:rPr>
                    <w:t>0.0</w:t>
                  </w:r>
                  <w:r>
                    <w:rPr>
                      <w:rFonts w:hint="eastAsia"/>
                      <w:color w:val="FF0000"/>
                      <w:kern w:val="0"/>
                      <w:szCs w:val="21"/>
                      <w:lang w:val="en-US" w:eastAsia="zh-CN" w:bidi="ar"/>
                    </w:rPr>
                    <w:t>29</w:t>
                  </w:r>
                </w:p>
              </w:tc>
              <w:tc>
                <w:tcPr>
                  <w:tcW w:w="959" w:type="dxa"/>
                  <w:vMerge w:val="continue"/>
                  <w:vAlign w:val="center"/>
                </w:tcPr>
                <w:p w14:paraId="7247FCB1">
                  <w:pPr>
                    <w:keepNext w:val="0"/>
                    <w:keepLines w:val="0"/>
                    <w:suppressLineNumbers w:val="0"/>
                    <w:spacing w:before="0" w:beforeAutospacing="0" w:after="0" w:afterAutospacing="0"/>
                    <w:ind w:left="0" w:right="0"/>
                    <w:jc w:val="center"/>
                    <w:rPr>
                      <w:rFonts w:hint="default"/>
                      <w:color w:val="auto"/>
                      <w:szCs w:val="21"/>
                    </w:rPr>
                  </w:pPr>
                </w:p>
              </w:tc>
            </w:tr>
            <w:tr w14:paraId="144B3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3" w:type="dxa"/>
                  <w:vMerge w:val="continue"/>
                  <w:vAlign w:val="center"/>
                </w:tcPr>
                <w:p w14:paraId="18F517CE">
                  <w:pPr>
                    <w:keepNext w:val="0"/>
                    <w:keepLines w:val="0"/>
                    <w:suppressLineNumbers w:val="0"/>
                    <w:spacing w:before="0" w:beforeAutospacing="0" w:after="0" w:afterAutospacing="0"/>
                    <w:ind w:left="0" w:right="0"/>
                    <w:jc w:val="center"/>
                    <w:rPr>
                      <w:rFonts w:hint="default"/>
                      <w:color w:val="auto"/>
                      <w:szCs w:val="21"/>
                    </w:rPr>
                  </w:pPr>
                </w:p>
              </w:tc>
              <w:tc>
                <w:tcPr>
                  <w:tcW w:w="688" w:type="dxa"/>
                  <w:vMerge w:val="continue"/>
                  <w:vAlign w:val="center"/>
                </w:tcPr>
                <w:p w14:paraId="6263503F">
                  <w:pPr>
                    <w:keepNext w:val="0"/>
                    <w:keepLines w:val="0"/>
                    <w:suppressLineNumbers w:val="0"/>
                    <w:spacing w:before="0" w:beforeAutospacing="0" w:after="0" w:afterAutospacing="0"/>
                    <w:ind w:left="0" w:right="0"/>
                    <w:jc w:val="center"/>
                    <w:rPr>
                      <w:rFonts w:hint="default"/>
                      <w:color w:val="auto"/>
                      <w:szCs w:val="21"/>
                    </w:rPr>
                  </w:pPr>
                </w:p>
              </w:tc>
              <w:tc>
                <w:tcPr>
                  <w:tcW w:w="824" w:type="dxa"/>
                  <w:vAlign w:val="center"/>
                </w:tcPr>
                <w:p w14:paraId="7C5EEFA6">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TP</w:t>
                  </w:r>
                </w:p>
              </w:tc>
              <w:tc>
                <w:tcPr>
                  <w:tcW w:w="694" w:type="dxa"/>
                  <w:vAlign w:val="center"/>
                </w:tcPr>
                <w:p w14:paraId="29761CD2">
                  <w:pPr>
                    <w:keepNext w:val="0"/>
                    <w:keepLines w:val="0"/>
                    <w:suppressLineNumbers w:val="0"/>
                    <w:spacing w:before="0" w:beforeAutospacing="0" w:after="0" w:afterAutospacing="0"/>
                    <w:ind w:left="0" w:right="0"/>
                    <w:jc w:val="center"/>
                    <w:rPr>
                      <w:rFonts w:hint="default" w:eastAsia="宋体"/>
                      <w:color w:val="auto"/>
                      <w:szCs w:val="21"/>
                      <w:lang w:val="en-US" w:eastAsia="zh-CN"/>
                    </w:rPr>
                  </w:pPr>
                  <w:r>
                    <w:rPr>
                      <w:rFonts w:hint="eastAsia"/>
                      <w:color w:val="auto"/>
                      <w:szCs w:val="21"/>
                      <w:lang w:val="en-US" w:eastAsia="zh-CN"/>
                    </w:rPr>
                    <w:t>2.5</w:t>
                  </w:r>
                </w:p>
              </w:tc>
              <w:tc>
                <w:tcPr>
                  <w:tcW w:w="893" w:type="dxa"/>
                  <w:vAlign w:val="center"/>
                </w:tcPr>
                <w:p w14:paraId="225E1A44">
                  <w:pPr>
                    <w:keepNext w:val="0"/>
                    <w:keepLines w:val="0"/>
                    <w:widowControl/>
                    <w:suppressLineNumbers w:val="0"/>
                    <w:spacing w:before="0" w:beforeAutospacing="0" w:after="0" w:afterAutospacing="0"/>
                    <w:ind w:left="0" w:right="0"/>
                    <w:jc w:val="center"/>
                    <w:textAlignment w:val="center"/>
                    <w:rPr>
                      <w:rFonts w:hint="eastAsia" w:eastAsia="宋体"/>
                      <w:color w:val="FF0000"/>
                      <w:kern w:val="0"/>
                      <w:szCs w:val="21"/>
                      <w:lang w:eastAsia="zh-CN" w:bidi="ar"/>
                    </w:rPr>
                  </w:pPr>
                  <w:r>
                    <w:rPr>
                      <w:rFonts w:hint="eastAsia"/>
                      <w:color w:val="FF0000"/>
                      <w:kern w:val="0"/>
                      <w:szCs w:val="21"/>
                      <w:lang w:bidi="ar"/>
                    </w:rPr>
                    <w:t>0.00</w:t>
                  </w:r>
                  <w:r>
                    <w:rPr>
                      <w:rFonts w:hint="eastAsia"/>
                      <w:color w:val="FF0000"/>
                      <w:kern w:val="0"/>
                      <w:szCs w:val="21"/>
                      <w:lang w:val="en-US" w:eastAsia="zh-CN" w:bidi="ar"/>
                    </w:rPr>
                    <w:t>2</w:t>
                  </w:r>
                </w:p>
              </w:tc>
              <w:tc>
                <w:tcPr>
                  <w:tcW w:w="1110" w:type="dxa"/>
                  <w:vMerge w:val="continue"/>
                  <w:vAlign w:val="center"/>
                </w:tcPr>
                <w:p w14:paraId="28F5CC58">
                  <w:pPr>
                    <w:keepNext w:val="0"/>
                    <w:keepLines w:val="0"/>
                    <w:suppressLineNumbers w:val="0"/>
                    <w:spacing w:before="0" w:beforeAutospacing="0" w:after="0" w:afterAutospacing="0"/>
                    <w:ind w:left="0" w:right="0"/>
                    <w:jc w:val="center"/>
                    <w:rPr>
                      <w:rFonts w:hint="default"/>
                      <w:color w:val="auto"/>
                      <w:szCs w:val="21"/>
                    </w:rPr>
                  </w:pPr>
                </w:p>
              </w:tc>
              <w:tc>
                <w:tcPr>
                  <w:tcW w:w="895" w:type="dxa"/>
                  <w:vAlign w:val="center"/>
                </w:tcPr>
                <w:p w14:paraId="36984634">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TP</w:t>
                  </w:r>
                </w:p>
              </w:tc>
              <w:tc>
                <w:tcPr>
                  <w:tcW w:w="742" w:type="dxa"/>
                  <w:shd w:val="clear" w:color="auto" w:fill="auto"/>
                  <w:vAlign w:val="center"/>
                </w:tcPr>
                <w:p w14:paraId="41D24B9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2.5</w:t>
                  </w:r>
                </w:p>
              </w:tc>
              <w:tc>
                <w:tcPr>
                  <w:tcW w:w="723" w:type="dxa"/>
                  <w:shd w:val="clear" w:color="auto" w:fill="auto"/>
                  <w:vAlign w:val="center"/>
                </w:tcPr>
                <w:p w14:paraId="7CFE7820">
                  <w:pPr>
                    <w:keepNext w:val="0"/>
                    <w:keepLines w:val="0"/>
                    <w:widowControl/>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FF0000"/>
                      <w:kern w:val="0"/>
                      <w:sz w:val="21"/>
                      <w:szCs w:val="21"/>
                      <w:lang w:val="en-US" w:eastAsia="zh-CN" w:bidi="ar"/>
                    </w:rPr>
                  </w:pPr>
                  <w:r>
                    <w:rPr>
                      <w:rFonts w:hint="eastAsia"/>
                      <w:color w:val="FF0000"/>
                      <w:kern w:val="0"/>
                      <w:szCs w:val="21"/>
                      <w:lang w:bidi="ar"/>
                    </w:rPr>
                    <w:t>0.00</w:t>
                  </w:r>
                  <w:r>
                    <w:rPr>
                      <w:rFonts w:hint="eastAsia"/>
                      <w:color w:val="FF0000"/>
                      <w:kern w:val="0"/>
                      <w:szCs w:val="21"/>
                      <w:lang w:val="en-US" w:eastAsia="zh-CN" w:bidi="ar"/>
                    </w:rPr>
                    <w:t>2</w:t>
                  </w:r>
                </w:p>
              </w:tc>
              <w:tc>
                <w:tcPr>
                  <w:tcW w:w="959" w:type="dxa"/>
                  <w:vMerge w:val="continue"/>
                  <w:vAlign w:val="center"/>
                </w:tcPr>
                <w:p w14:paraId="408A835A">
                  <w:pPr>
                    <w:keepNext w:val="0"/>
                    <w:keepLines w:val="0"/>
                    <w:suppressLineNumbers w:val="0"/>
                    <w:spacing w:before="0" w:beforeAutospacing="0" w:after="0" w:afterAutospacing="0"/>
                    <w:ind w:left="0" w:right="0"/>
                    <w:jc w:val="center"/>
                    <w:rPr>
                      <w:rFonts w:hint="default"/>
                      <w:color w:val="auto"/>
                      <w:szCs w:val="21"/>
                    </w:rPr>
                  </w:pPr>
                </w:p>
              </w:tc>
            </w:tr>
            <w:tr w14:paraId="038F4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jc w:val="center"/>
              </w:trPr>
              <w:tc>
                <w:tcPr>
                  <w:tcW w:w="723" w:type="dxa"/>
                  <w:vMerge w:val="continue"/>
                  <w:vAlign w:val="center"/>
                </w:tcPr>
                <w:p w14:paraId="1918E1EF">
                  <w:pPr>
                    <w:keepNext w:val="0"/>
                    <w:keepLines w:val="0"/>
                    <w:suppressLineNumbers w:val="0"/>
                    <w:spacing w:before="0" w:beforeAutospacing="0" w:after="0" w:afterAutospacing="0"/>
                    <w:ind w:left="0" w:right="0"/>
                    <w:jc w:val="center"/>
                    <w:rPr>
                      <w:rFonts w:hint="default"/>
                      <w:color w:val="auto"/>
                      <w:szCs w:val="21"/>
                    </w:rPr>
                  </w:pPr>
                </w:p>
              </w:tc>
              <w:tc>
                <w:tcPr>
                  <w:tcW w:w="688" w:type="dxa"/>
                  <w:vMerge w:val="continue"/>
                  <w:vAlign w:val="center"/>
                </w:tcPr>
                <w:p w14:paraId="5C4D2C8A">
                  <w:pPr>
                    <w:keepNext w:val="0"/>
                    <w:keepLines w:val="0"/>
                    <w:suppressLineNumbers w:val="0"/>
                    <w:spacing w:before="0" w:beforeAutospacing="0" w:after="0" w:afterAutospacing="0"/>
                    <w:ind w:left="0" w:right="0"/>
                    <w:jc w:val="center"/>
                    <w:rPr>
                      <w:rFonts w:hint="default"/>
                      <w:color w:val="auto"/>
                      <w:szCs w:val="21"/>
                    </w:rPr>
                  </w:pPr>
                </w:p>
              </w:tc>
              <w:tc>
                <w:tcPr>
                  <w:tcW w:w="824" w:type="dxa"/>
                  <w:vAlign w:val="center"/>
                </w:tcPr>
                <w:p w14:paraId="4D1762E5">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NH</w:t>
                  </w:r>
                  <w:r>
                    <w:rPr>
                      <w:rFonts w:hint="eastAsia"/>
                      <w:color w:val="auto"/>
                      <w:szCs w:val="21"/>
                      <w:vertAlign w:val="subscript"/>
                    </w:rPr>
                    <w:t>3</w:t>
                  </w:r>
                  <w:r>
                    <w:rPr>
                      <w:rFonts w:hint="eastAsia"/>
                      <w:color w:val="auto"/>
                      <w:szCs w:val="21"/>
                    </w:rPr>
                    <w:t>-N</w:t>
                  </w:r>
                </w:p>
              </w:tc>
              <w:tc>
                <w:tcPr>
                  <w:tcW w:w="694" w:type="dxa"/>
                  <w:vAlign w:val="center"/>
                </w:tcPr>
                <w:p w14:paraId="73508E7C">
                  <w:pPr>
                    <w:keepNext w:val="0"/>
                    <w:keepLines w:val="0"/>
                    <w:suppressLineNumbers w:val="0"/>
                    <w:spacing w:before="0" w:beforeAutospacing="0" w:after="0" w:afterAutospacing="0"/>
                    <w:ind w:left="0" w:right="0"/>
                    <w:jc w:val="center"/>
                    <w:rPr>
                      <w:rFonts w:hint="default" w:eastAsia="宋体"/>
                      <w:color w:val="auto"/>
                      <w:szCs w:val="21"/>
                      <w:lang w:val="en-US" w:eastAsia="zh-CN"/>
                    </w:rPr>
                  </w:pPr>
                  <w:r>
                    <w:rPr>
                      <w:rFonts w:hint="eastAsia"/>
                      <w:color w:val="auto"/>
                      <w:szCs w:val="21"/>
                      <w:lang w:val="en-US" w:eastAsia="zh-CN"/>
                    </w:rPr>
                    <w:t>30</w:t>
                  </w:r>
                </w:p>
              </w:tc>
              <w:tc>
                <w:tcPr>
                  <w:tcW w:w="893" w:type="dxa"/>
                  <w:vAlign w:val="center"/>
                </w:tcPr>
                <w:p w14:paraId="30AB73D4">
                  <w:pPr>
                    <w:keepNext w:val="0"/>
                    <w:keepLines w:val="0"/>
                    <w:widowControl/>
                    <w:suppressLineNumbers w:val="0"/>
                    <w:spacing w:before="0" w:beforeAutospacing="0" w:after="0" w:afterAutospacing="0"/>
                    <w:ind w:left="0" w:right="0"/>
                    <w:jc w:val="center"/>
                    <w:textAlignment w:val="center"/>
                    <w:rPr>
                      <w:rFonts w:hint="default" w:eastAsia="宋体"/>
                      <w:color w:val="FF0000"/>
                      <w:szCs w:val="21"/>
                      <w:lang w:val="en-US" w:eastAsia="zh-CN"/>
                    </w:rPr>
                  </w:pPr>
                  <w:r>
                    <w:rPr>
                      <w:rFonts w:hint="eastAsia"/>
                      <w:color w:val="FF0000"/>
                      <w:kern w:val="0"/>
                      <w:szCs w:val="21"/>
                      <w:lang w:bidi="ar"/>
                    </w:rPr>
                    <w:t>0.0</w:t>
                  </w:r>
                  <w:r>
                    <w:rPr>
                      <w:rFonts w:hint="eastAsia"/>
                      <w:color w:val="FF0000"/>
                      <w:kern w:val="0"/>
                      <w:szCs w:val="21"/>
                      <w:lang w:val="en-US" w:eastAsia="zh-CN" w:bidi="ar"/>
                    </w:rPr>
                    <w:t>19</w:t>
                  </w:r>
                </w:p>
              </w:tc>
              <w:tc>
                <w:tcPr>
                  <w:tcW w:w="1110" w:type="dxa"/>
                  <w:vMerge w:val="continue"/>
                  <w:vAlign w:val="center"/>
                </w:tcPr>
                <w:p w14:paraId="2E24FC27">
                  <w:pPr>
                    <w:keepNext w:val="0"/>
                    <w:keepLines w:val="0"/>
                    <w:suppressLineNumbers w:val="0"/>
                    <w:spacing w:before="0" w:beforeAutospacing="0" w:after="0" w:afterAutospacing="0"/>
                    <w:ind w:left="0" w:right="0"/>
                    <w:jc w:val="center"/>
                    <w:rPr>
                      <w:rFonts w:hint="default"/>
                      <w:color w:val="auto"/>
                      <w:szCs w:val="21"/>
                    </w:rPr>
                  </w:pPr>
                </w:p>
              </w:tc>
              <w:tc>
                <w:tcPr>
                  <w:tcW w:w="895" w:type="dxa"/>
                  <w:vAlign w:val="center"/>
                </w:tcPr>
                <w:p w14:paraId="1562F3FD">
                  <w:pPr>
                    <w:keepNext w:val="0"/>
                    <w:keepLines w:val="0"/>
                    <w:suppressLineNumbers w:val="0"/>
                    <w:spacing w:before="0" w:beforeAutospacing="0" w:after="0" w:afterAutospacing="0"/>
                    <w:ind w:left="0" w:right="0"/>
                    <w:jc w:val="center"/>
                    <w:rPr>
                      <w:rFonts w:hint="default"/>
                      <w:color w:val="auto"/>
                      <w:szCs w:val="21"/>
                    </w:rPr>
                  </w:pPr>
                  <w:r>
                    <w:rPr>
                      <w:rFonts w:hint="eastAsia"/>
                      <w:color w:val="auto"/>
                      <w:szCs w:val="21"/>
                    </w:rPr>
                    <w:t>NH</w:t>
                  </w:r>
                  <w:r>
                    <w:rPr>
                      <w:rFonts w:hint="eastAsia"/>
                      <w:color w:val="auto"/>
                      <w:szCs w:val="21"/>
                      <w:vertAlign w:val="subscript"/>
                    </w:rPr>
                    <w:t>3</w:t>
                  </w:r>
                  <w:r>
                    <w:rPr>
                      <w:rFonts w:hint="eastAsia"/>
                      <w:color w:val="auto"/>
                      <w:szCs w:val="21"/>
                    </w:rPr>
                    <w:t>-N</w:t>
                  </w:r>
                </w:p>
              </w:tc>
              <w:tc>
                <w:tcPr>
                  <w:tcW w:w="742" w:type="dxa"/>
                  <w:shd w:val="clear" w:color="auto" w:fill="auto"/>
                  <w:vAlign w:val="center"/>
                </w:tcPr>
                <w:p w14:paraId="27F9282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30</w:t>
                  </w:r>
                </w:p>
              </w:tc>
              <w:tc>
                <w:tcPr>
                  <w:tcW w:w="723" w:type="dxa"/>
                  <w:shd w:val="clear" w:color="auto" w:fill="auto"/>
                  <w:vAlign w:val="center"/>
                </w:tcPr>
                <w:p w14:paraId="76EDC276">
                  <w:pPr>
                    <w:keepNext w:val="0"/>
                    <w:keepLines w:val="0"/>
                    <w:widowControl/>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FF0000"/>
                      <w:kern w:val="2"/>
                      <w:sz w:val="21"/>
                      <w:szCs w:val="21"/>
                      <w:lang w:val="en-US" w:eastAsia="zh-CN" w:bidi="ar-SA"/>
                    </w:rPr>
                  </w:pPr>
                  <w:r>
                    <w:rPr>
                      <w:rFonts w:hint="eastAsia"/>
                      <w:color w:val="FF0000"/>
                      <w:kern w:val="0"/>
                      <w:szCs w:val="21"/>
                      <w:lang w:bidi="ar"/>
                    </w:rPr>
                    <w:t>0.0</w:t>
                  </w:r>
                  <w:r>
                    <w:rPr>
                      <w:rFonts w:hint="eastAsia"/>
                      <w:color w:val="FF0000"/>
                      <w:kern w:val="0"/>
                      <w:szCs w:val="21"/>
                      <w:lang w:val="en-US" w:eastAsia="zh-CN" w:bidi="ar"/>
                    </w:rPr>
                    <w:t>19</w:t>
                  </w:r>
                </w:p>
              </w:tc>
              <w:tc>
                <w:tcPr>
                  <w:tcW w:w="959" w:type="dxa"/>
                  <w:vMerge w:val="continue"/>
                  <w:vAlign w:val="center"/>
                </w:tcPr>
                <w:p w14:paraId="70BF0061">
                  <w:pPr>
                    <w:keepNext w:val="0"/>
                    <w:keepLines w:val="0"/>
                    <w:suppressLineNumbers w:val="0"/>
                    <w:spacing w:before="0" w:beforeAutospacing="0" w:after="0" w:afterAutospacing="0"/>
                    <w:ind w:left="0" w:right="0"/>
                    <w:jc w:val="center"/>
                    <w:rPr>
                      <w:rFonts w:hint="default"/>
                      <w:color w:val="auto"/>
                      <w:szCs w:val="21"/>
                    </w:rPr>
                  </w:pPr>
                </w:p>
              </w:tc>
            </w:tr>
          </w:tbl>
          <w:p w14:paraId="1E66E54D">
            <w:pPr>
              <w:keepNext w:val="0"/>
              <w:keepLines w:val="0"/>
              <w:suppressLineNumbers w:val="0"/>
              <w:adjustRightInd w:val="0"/>
              <w:snapToGrid w:val="0"/>
              <w:spacing w:before="120" w:beforeLines="50" w:beforeAutospacing="0" w:after="0" w:afterAutospacing="0" w:line="360" w:lineRule="auto"/>
              <w:ind w:left="0" w:right="0" w:firstLine="480" w:firstLineChars="200"/>
              <w:rPr>
                <w:rFonts w:hint="default"/>
                <w:b/>
                <w:bCs/>
                <w:sz w:val="24"/>
              </w:rPr>
            </w:pPr>
            <w:r>
              <w:rPr>
                <w:rFonts w:hint="eastAsia"/>
                <w:sz w:val="24"/>
              </w:rPr>
              <w:t>项目废水排放口基本信息及监测要求见表4-1</w:t>
            </w:r>
            <w:r>
              <w:rPr>
                <w:rFonts w:hint="eastAsia"/>
                <w:sz w:val="24"/>
                <w:lang w:val="en-US" w:eastAsia="zh-CN"/>
              </w:rPr>
              <w:t>0</w:t>
            </w:r>
            <w:r>
              <w:rPr>
                <w:rFonts w:hint="eastAsia"/>
                <w:sz w:val="24"/>
              </w:rPr>
              <w:t>。</w:t>
            </w:r>
          </w:p>
          <w:p w14:paraId="1B35A4C7">
            <w:pPr>
              <w:keepNext w:val="0"/>
              <w:keepLines w:val="0"/>
              <w:suppressLineNumbers w:val="0"/>
              <w:adjustRightInd w:val="0"/>
              <w:snapToGrid w:val="0"/>
              <w:spacing w:before="0" w:beforeAutospacing="0" w:after="0" w:afterAutospacing="0" w:line="360" w:lineRule="auto"/>
              <w:ind w:left="0" w:right="0"/>
              <w:jc w:val="center"/>
              <w:rPr>
                <w:rFonts w:hint="default"/>
                <w:b/>
                <w:bCs/>
                <w:sz w:val="24"/>
              </w:rPr>
            </w:pPr>
            <w:r>
              <w:rPr>
                <w:rFonts w:hint="eastAsia"/>
                <w:b/>
                <w:bCs/>
                <w:kern w:val="0"/>
                <w:szCs w:val="21"/>
              </w:rPr>
              <w:t>表4-1</w:t>
            </w:r>
            <w:r>
              <w:rPr>
                <w:rFonts w:hint="eastAsia"/>
                <w:b/>
                <w:bCs/>
                <w:kern w:val="0"/>
                <w:szCs w:val="21"/>
                <w:lang w:val="en-US" w:eastAsia="zh-CN"/>
              </w:rPr>
              <w:t>0</w:t>
            </w:r>
            <w:r>
              <w:rPr>
                <w:rFonts w:hint="eastAsia"/>
                <w:b/>
                <w:bCs/>
                <w:kern w:val="0"/>
                <w:szCs w:val="21"/>
              </w:rPr>
              <w:t xml:space="preserve">  项目废水排放口基本信息</w:t>
            </w:r>
          </w:p>
          <w:tbl>
            <w:tblPr>
              <w:tblStyle w:val="23"/>
              <w:tblW w:w="8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48"/>
              <w:gridCol w:w="992"/>
              <w:gridCol w:w="1708"/>
              <w:gridCol w:w="482"/>
              <w:gridCol w:w="881"/>
              <w:gridCol w:w="1018"/>
              <w:gridCol w:w="2420"/>
            </w:tblGrid>
            <w:tr w14:paraId="5EE1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8" w:hRule="atLeast"/>
                <w:jc w:val="center"/>
              </w:trPr>
              <w:tc>
                <w:tcPr>
                  <w:tcW w:w="748" w:type="dxa"/>
                  <w:vMerge w:val="restart"/>
                  <w:vAlign w:val="center"/>
                </w:tcPr>
                <w:p w14:paraId="76945DA0">
                  <w:pPr>
                    <w:keepNext w:val="0"/>
                    <w:keepLines w:val="0"/>
                    <w:suppressLineNumbers w:val="0"/>
                    <w:adjustRightInd w:val="0"/>
                    <w:snapToGrid w:val="0"/>
                    <w:spacing w:before="0" w:beforeAutospacing="0" w:after="0" w:afterAutospacing="0"/>
                    <w:ind w:left="0" w:right="0"/>
                    <w:jc w:val="center"/>
                    <w:rPr>
                      <w:rFonts w:hint="default"/>
                      <w:b/>
                      <w:bCs/>
                    </w:rPr>
                  </w:pPr>
                  <w:r>
                    <w:rPr>
                      <w:rFonts w:hint="default"/>
                      <w:b/>
                      <w:bCs/>
                    </w:rPr>
                    <w:t>污染物排放口名称</w:t>
                  </w:r>
                </w:p>
              </w:tc>
              <w:tc>
                <w:tcPr>
                  <w:tcW w:w="992" w:type="dxa"/>
                  <w:vMerge w:val="restart"/>
                  <w:vAlign w:val="center"/>
                </w:tcPr>
                <w:p w14:paraId="0AB3AB07">
                  <w:pPr>
                    <w:keepNext w:val="0"/>
                    <w:keepLines w:val="0"/>
                    <w:widowControl/>
                    <w:suppressLineNumbers w:val="0"/>
                    <w:adjustRightInd w:val="0"/>
                    <w:snapToGrid w:val="0"/>
                    <w:spacing w:before="0" w:beforeAutospacing="0" w:after="0" w:afterAutospacing="0"/>
                    <w:ind w:left="0" w:right="0"/>
                    <w:jc w:val="center"/>
                    <w:rPr>
                      <w:rFonts w:hint="default"/>
                      <w:b/>
                      <w:bCs/>
                    </w:rPr>
                  </w:pPr>
                  <w:r>
                    <w:rPr>
                      <w:rFonts w:hint="eastAsia"/>
                      <w:b/>
                      <w:bCs/>
                    </w:rPr>
                    <w:t>排放口编号</w:t>
                  </w:r>
                </w:p>
              </w:tc>
              <w:tc>
                <w:tcPr>
                  <w:tcW w:w="1708" w:type="dxa"/>
                  <w:vMerge w:val="restart"/>
                  <w:vAlign w:val="center"/>
                </w:tcPr>
                <w:p w14:paraId="437958D6">
                  <w:pPr>
                    <w:keepNext w:val="0"/>
                    <w:keepLines w:val="0"/>
                    <w:suppressLineNumbers w:val="0"/>
                    <w:adjustRightInd w:val="0"/>
                    <w:snapToGrid w:val="0"/>
                    <w:spacing w:before="0" w:beforeAutospacing="0" w:after="0" w:afterAutospacing="0"/>
                    <w:ind w:left="0" w:right="0"/>
                    <w:jc w:val="center"/>
                    <w:rPr>
                      <w:rFonts w:hint="default"/>
                      <w:b/>
                      <w:bCs/>
                    </w:rPr>
                  </w:pPr>
                  <w:r>
                    <w:rPr>
                      <w:rFonts w:hint="eastAsia"/>
                      <w:b/>
                      <w:bCs/>
                    </w:rPr>
                    <w:t>地理坐标</w:t>
                  </w:r>
                </w:p>
              </w:tc>
              <w:tc>
                <w:tcPr>
                  <w:tcW w:w="482" w:type="dxa"/>
                  <w:vMerge w:val="restart"/>
                  <w:vAlign w:val="center"/>
                </w:tcPr>
                <w:p w14:paraId="2430D1BD">
                  <w:pPr>
                    <w:keepNext w:val="0"/>
                    <w:keepLines w:val="0"/>
                    <w:suppressLineNumbers w:val="0"/>
                    <w:adjustRightInd w:val="0"/>
                    <w:snapToGrid w:val="0"/>
                    <w:spacing w:before="0" w:beforeAutospacing="0" w:after="0" w:afterAutospacing="0"/>
                    <w:ind w:left="0" w:right="0"/>
                    <w:jc w:val="center"/>
                    <w:rPr>
                      <w:rFonts w:hint="default"/>
                      <w:b/>
                      <w:bCs/>
                    </w:rPr>
                  </w:pPr>
                  <w:r>
                    <w:rPr>
                      <w:rFonts w:hint="default"/>
                      <w:b/>
                      <w:bCs/>
                    </w:rPr>
                    <w:t>排放</w:t>
                  </w:r>
                </w:p>
                <w:p w14:paraId="2DF782D7">
                  <w:pPr>
                    <w:keepNext w:val="0"/>
                    <w:keepLines w:val="0"/>
                    <w:suppressLineNumbers w:val="0"/>
                    <w:adjustRightInd w:val="0"/>
                    <w:snapToGrid w:val="0"/>
                    <w:spacing w:before="0" w:beforeAutospacing="0" w:after="0" w:afterAutospacing="0"/>
                    <w:ind w:left="0" w:right="0"/>
                    <w:jc w:val="center"/>
                    <w:rPr>
                      <w:rFonts w:hint="default"/>
                      <w:b/>
                      <w:bCs/>
                    </w:rPr>
                  </w:pPr>
                  <w:r>
                    <w:rPr>
                      <w:rFonts w:hint="eastAsia"/>
                      <w:b/>
                      <w:bCs/>
                    </w:rPr>
                    <w:t>方式</w:t>
                  </w:r>
                </w:p>
              </w:tc>
              <w:tc>
                <w:tcPr>
                  <w:tcW w:w="881" w:type="dxa"/>
                  <w:vMerge w:val="restart"/>
                  <w:vAlign w:val="center"/>
                </w:tcPr>
                <w:p w14:paraId="4F76ADD6">
                  <w:pPr>
                    <w:keepNext w:val="0"/>
                    <w:keepLines w:val="0"/>
                    <w:suppressLineNumbers w:val="0"/>
                    <w:adjustRightInd w:val="0"/>
                    <w:snapToGrid w:val="0"/>
                    <w:spacing w:before="0" w:beforeAutospacing="0" w:after="0" w:afterAutospacing="0"/>
                    <w:ind w:left="0" w:right="0"/>
                    <w:jc w:val="center"/>
                    <w:rPr>
                      <w:rFonts w:hint="default"/>
                      <w:b/>
                      <w:bCs/>
                    </w:rPr>
                  </w:pPr>
                  <w:r>
                    <w:rPr>
                      <w:rFonts w:hint="eastAsia"/>
                      <w:b/>
                      <w:bCs/>
                    </w:rPr>
                    <w:t>排放去向</w:t>
                  </w:r>
                </w:p>
              </w:tc>
              <w:tc>
                <w:tcPr>
                  <w:tcW w:w="1018" w:type="dxa"/>
                  <w:vMerge w:val="restart"/>
                  <w:vAlign w:val="center"/>
                </w:tcPr>
                <w:p w14:paraId="67C51CDB">
                  <w:pPr>
                    <w:keepNext w:val="0"/>
                    <w:keepLines w:val="0"/>
                    <w:suppressLineNumbers w:val="0"/>
                    <w:adjustRightInd w:val="0"/>
                    <w:snapToGrid w:val="0"/>
                    <w:spacing w:before="0" w:beforeAutospacing="0" w:after="0" w:afterAutospacing="0"/>
                    <w:ind w:left="0" w:right="0"/>
                    <w:jc w:val="center"/>
                    <w:rPr>
                      <w:rFonts w:hint="default"/>
                      <w:b/>
                      <w:bCs/>
                    </w:rPr>
                  </w:pPr>
                  <w:r>
                    <w:rPr>
                      <w:rFonts w:hint="eastAsia"/>
                      <w:b/>
                      <w:bCs/>
                    </w:rPr>
                    <w:t>排放规律</w:t>
                  </w:r>
                </w:p>
              </w:tc>
              <w:tc>
                <w:tcPr>
                  <w:tcW w:w="2420" w:type="dxa"/>
                  <w:vMerge w:val="restart"/>
                  <w:vAlign w:val="center"/>
                </w:tcPr>
                <w:p w14:paraId="5AFC4DB3">
                  <w:pPr>
                    <w:keepNext w:val="0"/>
                    <w:keepLines w:val="0"/>
                    <w:suppressLineNumbers w:val="0"/>
                    <w:adjustRightInd w:val="0"/>
                    <w:snapToGrid w:val="0"/>
                    <w:spacing w:before="0" w:beforeAutospacing="0" w:after="0" w:afterAutospacing="0"/>
                    <w:ind w:left="0" w:right="0"/>
                    <w:jc w:val="center"/>
                    <w:rPr>
                      <w:rFonts w:hint="default"/>
                      <w:b/>
                      <w:bCs/>
                    </w:rPr>
                  </w:pPr>
                  <w:r>
                    <w:rPr>
                      <w:rFonts w:hint="eastAsia"/>
                      <w:b/>
                      <w:bCs/>
                    </w:rPr>
                    <w:t>排放标准</w:t>
                  </w:r>
                </w:p>
              </w:tc>
            </w:tr>
            <w:tr w14:paraId="2E2AB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748" w:type="dxa"/>
                  <w:vMerge w:val="continue"/>
                  <w:vAlign w:val="center"/>
                </w:tcPr>
                <w:p w14:paraId="4A350E17">
                  <w:pPr>
                    <w:keepNext w:val="0"/>
                    <w:keepLines w:val="0"/>
                    <w:suppressLineNumbers w:val="0"/>
                    <w:adjustRightInd w:val="0"/>
                    <w:snapToGrid w:val="0"/>
                    <w:spacing w:before="0" w:beforeAutospacing="0" w:after="0" w:afterAutospacing="0"/>
                    <w:ind w:left="0" w:right="0"/>
                    <w:jc w:val="center"/>
                    <w:rPr>
                      <w:rFonts w:hint="default"/>
                    </w:rPr>
                  </w:pPr>
                </w:p>
              </w:tc>
              <w:tc>
                <w:tcPr>
                  <w:tcW w:w="992" w:type="dxa"/>
                  <w:vMerge w:val="continue"/>
                  <w:vAlign w:val="center"/>
                </w:tcPr>
                <w:p w14:paraId="4F5E7A90">
                  <w:pPr>
                    <w:keepNext w:val="0"/>
                    <w:keepLines w:val="0"/>
                    <w:widowControl/>
                    <w:suppressLineNumbers w:val="0"/>
                    <w:adjustRightInd w:val="0"/>
                    <w:snapToGrid w:val="0"/>
                    <w:spacing w:before="0" w:beforeAutospacing="0" w:after="0" w:afterAutospacing="0"/>
                    <w:ind w:left="0" w:right="0"/>
                    <w:jc w:val="center"/>
                    <w:rPr>
                      <w:rFonts w:hint="default"/>
                    </w:rPr>
                  </w:pPr>
                </w:p>
              </w:tc>
              <w:tc>
                <w:tcPr>
                  <w:tcW w:w="1708" w:type="dxa"/>
                  <w:vMerge w:val="continue"/>
                  <w:vAlign w:val="center"/>
                </w:tcPr>
                <w:p w14:paraId="29121772">
                  <w:pPr>
                    <w:keepNext w:val="0"/>
                    <w:keepLines w:val="0"/>
                    <w:suppressLineNumbers w:val="0"/>
                    <w:adjustRightInd w:val="0"/>
                    <w:snapToGrid w:val="0"/>
                    <w:spacing w:before="0" w:beforeAutospacing="0" w:after="0" w:afterAutospacing="0"/>
                    <w:ind w:left="0" w:right="0"/>
                    <w:jc w:val="center"/>
                    <w:rPr>
                      <w:rFonts w:hint="default"/>
                    </w:rPr>
                  </w:pPr>
                </w:p>
              </w:tc>
              <w:tc>
                <w:tcPr>
                  <w:tcW w:w="482" w:type="dxa"/>
                  <w:vMerge w:val="continue"/>
                  <w:vAlign w:val="center"/>
                </w:tcPr>
                <w:p w14:paraId="1B93B626">
                  <w:pPr>
                    <w:keepNext w:val="0"/>
                    <w:keepLines w:val="0"/>
                    <w:suppressLineNumbers w:val="0"/>
                    <w:adjustRightInd w:val="0"/>
                    <w:snapToGrid w:val="0"/>
                    <w:spacing w:before="0" w:beforeAutospacing="0" w:after="0" w:afterAutospacing="0"/>
                    <w:ind w:left="0" w:right="0"/>
                    <w:jc w:val="center"/>
                    <w:rPr>
                      <w:rFonts w:hint="default"/>
                    </w:rPr>
                  </w:pPr>
                </w:p>
              </w:tc>
              <w:tc>
                <w:tcPr>
                  <w:tcW w:w="881" w:type="dxa"/>
                  <w:vMerge w:val="continue"/>
                  <w:vAlign w:val="center"/>
                </w:tcPr>
                <w:p w14:paraId="5E96149B">
                  <w:pPr>
                    <w:keepNext w:val="0"/>
                    <w:keepLines w:val="0"/>
                    <w:suppressLineNumbers w:val="0"/>
                    <w:adjustRightInd w:val="0"/>
                    <w:snapToGrid w:val="0"/>
                    <w:spacing w:before="0" w:beforeAutospacing="0" w:after="0" w:afterAutospacing="0"/>
                    <w:ind w:left="0" w:right="0"/>
                    <w:jc w:val="center"/>
                    <w:rPr>
                      <w:rFonts w:hint="default"/>
                    </w:rPr>
                  </w:pPr>
                </w:p>
              </w:tc>
              <w:tc>
                <w:tcPr>
                  <w:tcW w:w="1018" w:type="dxa"/>
                  <w:vMerge w:val="continue"/>
                  <w:vAlign w:val="center"/>
                </w:tcPr>
                <w:p w14:paraId="18D7F574">
                  <w:pPr>
                    <w:keepNext w:val="0"/>
                    <w:keepLines w:val="0"/>
                    <w:suppressLineNumbers w:val="0"/>
                    <w:adjustRightInd w:val="0"/>
                    <w:snapToGrid w:val="0"/>
                    <w:spacing w:before="0" w:beforeAutospacing="0" w:after="0" w:afterAutospacing="0"/>
                    <w:ind w:left="0" w:right="0"/>
                    <w:jc w:val="center"/>
                    <w:rPr>
                      <w:rFonts w:hint="default"/>
                    </w:rPr>
                  </w:pPr>
                </w:p>
              </w:tc>
              <w:tc>
                <w:tcPr>
                  <w:tcW w:w="2420" w:type="dxa"/>
                  <w:vMerge w:val="continue"/>
                  <w:vAlign w:val="center"/>
                </w:tcPr>
                <w:p w14:paraId="617E2B50">
                  <w:pPr>
                    <w:keepNext w:val="0"/>
                    <w:keepLines w:val="0"/>
                    <w:suppressLineNumbers w:val="0"/>
                    <w:adjustRightInd w:val="0"/>
                    <w:snapToGrid w:val="0"/>
                    <w:spacing w:before="0" w:beforeAutospacing="0" w:after="0" w:afterAutospacing="0"/>
                    <w:ind w:left="0" w:right="0"/>
                    <w:jc w:val="center"/>
                    <w:rPr>
                      <w:rFonts w:hint="default"/>
                    </w:rPr>
                  </w:pPr>
                </w:p>
              </w:tc>
            </w:tr>
            <w:tr w14:paraId="1B835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64" w:hRule="atLeast"/>
                <w:jc w:val="center"/>
              </w:trPr>
              <w:tc>
                <w:tcPr>
                  <w:tcW w:w="748" w:type="dxa"/>
                  <w:vAlign w:val="center"/>
                </w:tcPr>
                <w:p w14:paraId="01432F61">
                  <w:pPr>
                    <w:keepNext w:val="0"/>
                    <w:keepLines w:val="0"/>
                    <w:suppressLineNumbers w:val="0"/>
                    <w:adjustRightInd w:val="0"/>
                    <w:snapToGrid w:val="0"/>
                    <w:spacing w:before="0" w:beforeAutospacing="0" w:after="0" w:afterAutospacing="0"/>
                    <w:ind w:left="0" w:right="0"/>
                    <w:jc w:val="center"/>
                    <w:rPr>
                      <w:rFonts w:hint="default"/>
                      <w:szCs w:val="21"/>
                    </w:rPr>
                  </w:pPr>
                  <w:r>
                    <w:rPr>
                      <w:rFonts w:hint="eastAsia"/>
                      <w:szCs w:val="21"/>
                    </w:rPr>
                    <w:t>污水排放口</w:t>
                  </w:r>
                </w:p>
              </w:tc>
              <w:tc>
                <w:tcPr>
                  <w:tcW w:w="992" w:type="dxa"/>
                  <w:vAlign w:val="center"/>
                </w:tcPr>
                <w:p w14:paraId="4CEBA9AB">
                  <w:pPr>
                    <w:pStyle w:val="12"/>
                    <w:keepNext w:val="0"/>
                    <w:keepLines w:val="0"/>
                    <w:suppressLineNumbers w:val="0"/>
                    <w:spacing w:before="0" w:beforeAutospacing="0" w:after="0" w:afterAutospacing="0" w:line="240" w:lineRule="auto"/>
                    <w:ind w:left="0" w:right="0"/>
                    <w:jc w:val="center"/>
                    <w:rPr>
                      <w:rFonts w:hint="default"/>
                      <w:sz w:val="21"/>
                      <w:szCs w:val="21"/>
                    </w:rPr>
                  </w:pPr>
                  <w:r>
                    <w:rPr>
                      <w:rFonts w:hint="eastAsia"/>
                      <w:sz w:val="21"/>
                      <w:szCs w:val="21"/>
                    </w:rPr>
                    <w:t>DW</w:t>
                  </w:r>
                  <w:r>
                    <w:rPr>
                      <w:rFonts w:hint="default"/>
                      <w:sz w:val="21"/>
                      <w:szCs w:val="21"/>
                    </w:rPr>
                    <w:t>001</w:t>
                  </w:r>
                </w:p>
              </w:tc>
              <w:tc>
                <w:tcPr>
                  <w:tcW w:w="1708" w:type="dxa"/>
                  <w:vAlign w:val="center"/>
                </w:tcPr>
                <w:p w14:paraId="3B47A703">
                  <w:pPr>
                    <w:keepNext w:val="0"/>
                    <w:keepLines w:val="0"/>
                    <w:widowControl/>
                    <w:suppressLineNumbers w:val="0"/>
                    <w:autoSpaceDE w:val="0"/>
                    <w:spacing w:before="0" w:beforeAutospacing="0" w:after="0" w:afterAutospacing="0"/>
                    <w:ind w:left="0" w:right="0"/>
                    <w:jc w:val="center"/>
                    <w:rPr>
                      <w:rFonts w:hint="default"/>
                      <w:sz w:val="18"/>
                      <w:szCs w:val="18"/>
                    </w:rPr>
                  </w:pPr>
                  <w:r>
                    <w:rPr>
                      <w:rFonts w:hint="default"/>
                      <w:sz w:val="18"/>
                      <w:szCs w:val="18"/>
                    </w:rPr>
                    <w:t>经度：117°</w:t>
                  </w:r>
                  <w:r>
                    <w:rPr>
                      <w:rFonts w:hint="eastAsia"/>
                      <w:sz w:val="18"/>
                      <w:szCs w:val="18"/>
                      <w:lang w:val="en-US" w:eastAsia="zh-CN"/>
                    </w:rPr>
                    <w:t>3</w:t>
                  </w:r>
                  <w:r>
                    <w:rPr>
                      <w:rFonts w:hint="eastAsia"/>
                      <w:sz w:val="18"/>
                      <w:szCs w:val="18"/>
                    </w:rPr>
                    <w:t>8</w:t>
                  </w:r>
                  <w:r>
                    <w:rPr>
                      <w:rFonts w:hint="default"/>
                      <w:sz w:val="18"/>
                      <w:szCs w:val="18"/>
                    </w:rPr>
                    <w:t>′</w:t>
                  </w:r>
                  <w:r>
                    <w:rPr>
                      <w:rFonts w:hint="eastAsia"/>
                      <w:sz w:val="18"/>
                      <w:szCs w:val="18"/>
                      <w:lang w:val="en-US" w:eastAsia="zh-CN"/>
                    </w:rPr>
                    <w:t>53.047</w:t>
                  </w:r>
                  <w:r>
                    <w:rPr>
                      <w:rFonts w:hint="default"/>
                      <w:sz w:val="18"/>
                      <w:szCs w:val="18"/>
                    </w:rPr>
                    <w:t>″</w:t>
                  </w:r>
                </w:p>
                <w:p w14:paraId="56EEF660">
                  <w:pPr>
                    <w:keepNext w:val="0"/>
                    <w:keepLines w:val="0"/>
                    <w:suppressLineNumbers w:val="0"/>
                    <w:spacing w:before="0" w:beforeAutospacing="0" w:after="0" w:afterAutospacing="0"/>
                    <w:ind w:left="0" w:right="0"/>
                    <w:jc w:val="center"/>
                    <w:rPr>
                      <w:rFonts w:hint="default"/>
                    </w:rPr>
                  </w:pPr>
                  <w:r>
                    <w:rPr>
                      <w:rFonts w:hint="default"/>
                      <w:sz w:val="18"/>
                      <w:szCs w:val="18"/>
                    </w:rPr>
                    <w:t>纬度：3</w:t>
                  </w:r>
                  <w:r>
                    <w:rPr>
                      <w:rFonts w:hint="eastAsia"/>
                      <w:sz w:val="18"/>
                      <w:szCs w:val="18"/>
                      <w:lang w:val="en-US" w:eastAsia="zh-CN"/>
                    </w:rPr>
                    <w:t>0</w:t>
                  </w:r>
                  <w:r>
                    <w:rPr>
                      <w:rFonts w:hint="default"/>
                      <w:sz w:val="18"/>
                      <w:szCs w:val="18"/>
                    </w:rPr>
                    <w:t>°</w:t>
                  </w:r>
                  <w:r>
                    <w:rPr>
                      <w:rFonts w:hint="eastAsia"/>
                      <w:sz w:val="18"/>
                      <w:szCs w:val="18"/>
                    </w:rPr>
                    <w:t>4</w:t>
                  </w:r>
                  <w:r>
                    <w:rPr>
                      <w:rFonts w:hint="eastAsia"/>
                      <w:sz w:val="18"/>
                      <w:szCs w:val="18"/>
                      <w:lang w:val="en-US" w:eastAsia="zh-CN"/>
                    </w:rPr>
                    <w:t>4</w:t>
                  </w:r>
                  <w:r>
                    <w:rPr>
                      <w:rFonts w:hint="default"/>
                      <w:sz w:val="18"/>
                      <w:szCs w:val="18"/>
                    </w:rPr>
                    <w:t>′</w:t>
                  </w:r>
                  <w:r>
                    <w:rPr>
                      <w:rFonts w:hint="eastAsia"/>
                      <w:sz w:val="18"/>
                      <w:szCs w:val="18"/>
                      <w:lang w:val="en-US" w:eastAsia="zh-CN"/>
                    </w:rPr>
                    <w:t>42.940</w:t>
                  </w:r>
                  <w:r>
                    <w:rPr>
                      <w:rFonts w:hint="default"/>
                      <w:sz w:val="18"/>
                      <w:szCs w:val="18"/>
                    </w:rPr>
                    <w:t>″</w:t>
                  </w:r>
                </w:p>
              </w:tc>
              <w:tc>
                <w:tcPr>
                  <w:tcW w:w="482" w:type="dxa"/>
                  <w:vAlign w:val="center"/>
                </w:tcPr>
                <w:p w14:paraId="0B1BF756">
                  <w:pPr>
                    <w:pStyle w:val="5"/>
                    <w:suppressLineNumbers w:val="0"/>
                    <w:spacing w:before="0" w:beforeAutospacing="0" w:after="0" w:afterAutospacing="0" w:line="240" w:lineRule="auto"/>
                    <w:ind w:left="0" w:right="0"/>
                    <w:jc w:val="center"/>
                    <w:rPr>
                      <w:rFonts w:hint="default"/>
                      <w:b w:val="0"/>
                      <w:bCs w:val="0"/>
                      <w:sz w:val="21"/>
                      <w:szCs w:val="21"/>
                    </w:rPr>
                  </w:pPr>
                  <w:r>
                    <w:rPr>
                      <w:rFonts w:hint="default"/>
                      <w:b w:val="0"/>
                      <w:bCs w:val="0"/>
                      <w:sz w:val="21"/>
                      <w:szCs w:val="21"/>
                    </w:rPr>
                    <w:t>间接排放</w:t>
                  </w:r>
                </w:p>
              </w:tc>
              <w:tc>
                <w:tcPr>
                  <w:tcW w:w="881" w:type="dxa"/>
                  <w:vAlign w:val="center"/>
                </w:tcPr>
                <w:p w14:paraId="0691B157">
                  <w:pPr>
                    <w:keepNext w:val="0"/>
                    <w:keepLines w:val="0"/>
                    <w:suppressLineNumbers w:val="0"/>
                    <w:adjustRightInd w:val="0"/>
                    <w:snapToGrid w:val="0"/>
                    <w:spacing w:before="0" w:beforeAutospacing="0" w:after="0" w:afterAutospacing="0"/>
                    <w:ind w:left="0" w:right="0"/>
                    <w:jc w:val="center"/>
                    <w:rPr>
                      <w:rFonts w:hint="default"/>
                      <w:szCs w:val="21"/>
                    </w:rPr>
                  </w:pPr>
                  <w:r>
                    <w:rPr>
                      <w:rFonts w:hint="eastAsia"/>
                      <w:color w:val="auto"/>
                      <w:szCs w:val="21"/>
                    </w:rPr>
                    <w:t>皖江江南新兴产业集中区第一污水处理厂</w:t>
                  </w:r>
                </w:p>
              </w:tc>
              <w:tc>
                <w:tcPr>
                  <w:tcW w:w="1018" w:type="dxa"/>
                  <w:vAlign w:val="center"/>
                </w:tcPr>
                <w:p w14:paraId="22DA5A7E">
                  <w:pPr>
                    <w:keepNext w:val="0"/>
                    <w:keepLines w:val="0"/>
                    <w:suppressLineNumbers w:val="0"/>
                    <w:adjustRightInd w:val="0"/>
                    <w:snapToGrid w:val="0"/>
                    <w:spacing w:before="0" w:beforeAutospacing="0" w:after="0" w:afterAutospacing="0"/>
                    <w:ind w:left="0" w:right="0"/>
                    <w:jc w:val="center"/>
                    <w:rPr>
                      <w:rFonts w:hint="default"/>
                      <w:szCs w:val="21"/>
                    </w:rPr>
                  </w:pPr>
                  <w:r>
                    <w:rPr>
                      <w:rFonts w:hint="eastAsia"/>
                      <w:szCs w:val="21"/>
                    </w:rPr>
                    <w:t>间断排放，排放期间流量不稳定且无规律，但不属于冲击型排放</w:t>
                  </w:r>
                </w:p>
              </w:tc>
              <w:tc>
                <w:tcPr>
                  <w:tcW w:w="2420" w:type="dxa"/>
                  <w:vAlign w:val="center"/>
                </w:tcPr>
                <w:p w14:paraId="320A3F6A">
                  <w:pPr>
                    <w:keepNext w:val="0"/>
                    <w:keepLines w:val="0"/>
                    <w:suppressLineNumbers w:val="0"/>
                    <w:adjustRightInd w:val="0"/>
                    <w:snapToGrid w:val="0"/>
                    <w:spacing w:before="0" w:beforeAutospacing="0" w:after="0" w:afterAutospacing="0"/>
                    <w:ind w:left="0" w:right="0"/>
                    <w:jc w:val="center"/>
                    <w:rPr>
                      <w:rFonts w:hint="default"/>
                      <w:bCs/>
                      <w:szCs w:val="21"/>
                    </w:rPr>
                  </w:pPr>
                  <w:r>
                    <w:rPr>
                      <w:rFonts w:hint="eastAsia"/>
                      <w:szCs w:val="21"/>
                      <w:lang w:eastAsia="zh-CN"/>
                    </w:rPr>
                    <w:t>《</w:t>
                  </w:r>
                  <w:r>
                    <w:rPr>
                      <w:rFonts w:hint="eastAsia"/>
                      <w:szCs w:val="21"/>
                    </w:rPr>
                    <w:t>电子工业水污染物排放标准》（GB 39731-2020）表1中水污染排放限值及皖江江南新兴产业集中区第一污水处理厂接管标准</w:t>
                  </w:r>
                </w:p>
              </w:tc>
            </w:tr>
          </w:tbl>
          <w:p w14:paraId="4210FC7D">
            <w:pPr>
              <w:pStyle w:val="51"/>
              <w:keepNext w:val="0"/>
              <w:keepLines w:val="0"/>
              <w:suppressLineNumbers w:val="0"/>
              <w:spacing w:before="120" w:beforeLines="50" w:beforeAutospacing="0" w:after="0" w:afterAutospacing="0"/>
              <w:ind w:left="0" w:right="0" w:firstLine="482"/>
              <w:rPr>
                <w:rFonts w:hint="eastAsia"/>
                <w:b/>
                <w:bCs/>
              </w:rPr>
            </w:pPr>
          </w:p>
          <w:p w14:paraId="3915D921">
            <w:pPr>
              <w:pStyle w:val="51"/>
              <w:keepNext w:val="0"/>
              <w:keepLines w:val="0"/>
              <w:suppressLineNumbers w:val="0"/>
              <w:spacing w:before="120" w:beforeLines="50" w:beforeAutospacing="0" w:after="0" w:afterAutospacing="0"/>
              <w:ind w:left="0" w:right="0" w:firstLine="482"/>
              <w:rPr>
                <w:rFonts w:hint="eastAsia"/>
                <w:b/>
                <w:bCs/>
              </w:rPr>
            </w:pPr>
          </w:p>
          <w:p w14:paraId="220E00EC">
            <w:pPr>
              <w:pStyle w:val="51"/>
              <w:keepNext w:val="0"/>
              <w:keepLines w:val="0"/>
              <w:suppressLineNumbers w:val="0"/>
              <w:spacing w:before="120" w:beforeLines="50" w:beforeAutospacing="0" w:after="0" w:afterAutospacing="0"/>
              <w:ind w:left="0" w:right="0" w:firstLine="482"/>
              <w:rPr>
                <w:rFonts w:hint="default"/>
                <w:b/>
                <w:bCs/>
              </w:rPr>
            </w:pPr>
            <w:r>
              <w:rPr>
                <w:rFonts w:hint="eastAsia"/>
                <w:b/>
                <w:bCs/>
              </w:rPr>
              <w:t>2.</w:t>
            </w:r>
            <w:r>
              <w:rPr>
                <w:rFonts w:hint="eastAsia"/>
                <w:b/>
                <w:bCs/>
                <w:lang w:val="en-US" w:eastAsia="zh-CN"/>
              </w:rPr>
              <w:t>2</w:t>
            </w:r>
            <w:r>
              <w:rPr>
                <w:rFonts w:hint="eastAsia"/>
                <w:b/>
                <w:bCs/>
              </w:rPr>
              <w:t>废水污染源监测计划</w:t>
            </w:r>
          </w:p>
          <w:p w14:paraId="064A1ECE">
            <w:pPr>
              <w:pStyle w:val="68"/>
              <w:keepNext w:val="0"/>
              <w:keepLines w:val="0"/>
              <w:suppressLineNumbers w:val="0"/>
              <w:spacing w:before="0" w:beforeAutospacing="0" w:after="0" w:afterAutospacing="0"/>
              <w:ind w:left="0" w:right="0"/>
              <w:rPr>
                <w:rFonts w:hint="default"/>
                <w:bCs w:val="0"/>
                <w:color w:val="auto"/>
                <w:lang w:val="en-US"/>
              </w:rPr>
            </w:pPr>
            <w:r>
              <w:rPr>
                <w:rFonts w:hint="eastAsia"/>
                <w:bCs w:val="0"/>
                <w:color w:val="auto"/>
                <w:lang w:val="en-US"/>
              </w:rPr>
              <w:t>结合《排污许可证申请与核发技术规范 电子工业》（HJ1031—2019）</w:t>
            </w:r>
            <w:r>
              <w:rPr>
                <w:rFonts w:hint="eastAsia"/>
                <w:bCs w:val="0"/>
                <w:color w:val="auto"/>
                <w:lang w:val="en-US" w:eastAsia="zh-CN"/>
              </w:rPr>
              <w:t>，</w:t>
            </w:r>
            <w:r>
              <w:rPr>
                <w:rFonts w:hint="eastAsia"/>
                <w:bCs w:val="0"/>
                <w:color w:val="auto"/>
                <w:lang w:val="en-US"/>
              </w:rPr>
              <w:t>单独排向市政污水处理厂的生活污水不要求开展自行监测。</w:t>
            </w:r>
          </w:p>
          <w:p w14:paraId="717CF9F7">
            <w:pPr>
              <w:pStyle w:val="51"/>
              <w:spacing w:before="120" w:beforeLines="50"/>
              <w:ind w:firstLine="482"/>
              <w:rPr>
                <w:b/>
                <w:bCs/>
                <w:color w:val="auto"/>
              </w:rPr>
            </w:pPr>
            <w:r>
              <w:rPr>
                <w:b/>
                <w:bCs/>
                <w:color w:val="auto"/>
              </w:rPr>
              <w:t>2.</w:t>
            </w:r>
            <w:r>
              <w:rPr>
                <w:rFonts w:hint="eastAsia"/>
                <w:b/>
                <w:bCs/>
                <w:color w:val="auto"/>
                <w:lang w:val="en-US" w:eastAsia="zh-CN"/>
              </w:rPr>
              <w:t>3</w:t>
            </w:r>
            <w:r>
              <w:rPr>
                <w:rFonts w:hint="eastAsia"/>
                <w:b/>
                <w:bCs/>
                <w:color w:val="auto"/>
              </w:rPr>
              <w:t>废水接管可行性分析</w:t>
            </w:r>
          </w:p>
          <w:p w14:paraId="628E69DF">
            <w:pPr>
              <w:pStyle w:val="51"/>
              <w:rPr>
                <w:color w:val="auto"/>
              </w:rPr>
            </w:pPr>
            <w:r>
              <w:rPr>
                <w:rFonts w:hint="eastAsia"/>
                <w:color w:val="auto"/>
              </w:rPr>
              <w:t>（1）皖江江南新兴产业集中区第一污水处理厂简介</w:t>
            </w:r>
          </w:p>
          <w:p w14:paraId="0C8074A5">
            <w:pPr>
              <w:pStyle w:val="51"/>
              <w:rPr>
                <w:color w:val="auto"/>
              </w:rPr>
            </w:pPr>
            <w:r>
              <w:rPr>
                <w:rFonts w:hint="eastAsia"/>
                <w:color w:val="auto"/>
              </w:rPr>
              <w:t>皖江江南新兴产业集中区第一污水处理厂项目位于江南产业集中区起步区，九华河东岸，龙腾大道南侧，服务范围为江南产业集中区内的起步区、新城核心区、南部山地片，属于工业污水集中处理类，现有处理规模2.5万m3/d。集中区污水处理厂采用“预处理+水解酸化池+改良型A2/O生化池＋二沉池+BAF池+混合絮凝沉淀池+精密过滤池+紫外线消毒”工艺，尾水达到《城镇污水处理厂污染物排放标准》（GB18918-2002）中一级A标准后，经管道排入九华河后入长江。</w:t>
            </w:r>
          </w:p>
          <w:p w14:paraId="37078F3F">
            <w:pPr>
              <w:pStyle w:val="51"/>
              <w:rPr>
                <w:color w:val="auto"/>
              </w:rPr>
            </w:pPr>
            <w:r>
              <w:rPr>
                <w:rFonts w:hint="eastAsia"/>
                <w:color w:val="auto"/>
              </w:rPr>
              <w:t>项目位于池州市皖江江南产业集中区</w:t>
            </w:r>
            <w:r>
              <w:rPr>
                <w:rFonts w:hint="eastAsia"/>
                <w:color w:val="auto"/>
                <w:lang w:val="en-US" w:eastAsia="zh-CN"/>
              </w:rPr>
              <w:t>众飞</w:t>
            </w:r>
            <w:r>
              <w:rPr>
                <w:rFonts w:hint="eastAsia"/>
                <w:color w:val="auto"/>
              </w:rPr>
              <w:t>产业园，属于皖江江南新兴产业集中区第一污水处理厂的收水范围内。目前</w:t>
            </w:r>
            <w:r>
              <w:rPr>
                <w:color w:val="auto"/>
              </w:rPr>
              <w:t>项目所在地区域管网已铺设到位</w:t>
            </w:r>
            <w:r>
              <w:rPr>
                <w:rFonts w:hint="eastAsia"/>
                <w:color w:val="auto"/>
              </w:rPr>
              <w:t>，本项目可依托现有管网。</w:t>
            </w:r>
          </w:p>
          <w:p w14:paraId="380F2B4B">
            <w:pPr>
              <w:pStyle w:val="51"/>
              <w:rPr>
                <w:color w:val="auto"/>
              </w:rPr>
            </w:pPr>
            <w:r>
              <w:rPr>
                <w:rFonts w:hint="eastAsia"/>
                <w:color w:val="auto"/>
              </w:rPr>
              <w:t>（2）接管水质及水量</w:t>
            </w:r>
          </w:p>
          <w:p w14:paraId="38FCBA0F">
            <w:pPr>
              <w:pStyle w:val="51"/>
              <w:rPr>
                <w:color w:val="auto"/>
              </w:rPr>
            </w:pPr>
            <w:r>
              <w:rPr>
                <w:rFonts w:hint="eastAsia"/>
                <w:color w:val="auto"/>
              </w:rPr>
              <w:t>根据“表4-</w:t>
            </w:r>
            <w:r>
              <w:rPr>
                <w:rFonts w:hint="eastAsia"/>
                <w:color w:val="auto"/>
                <w:lang w:val="en-US" w:eastAsia="zh-CN"/>
              </w:rPr>
              <w:t>9</w:t>
            </w:r>
            <w:r>
              <w:rPr>
                <w:rFonts w:hint="eastAsia"/>
                <w:color w:val="auto"/>
              </w:rPr>
              <w:t xml:space="preserve">  项目废水排放情况一览表”，对照污水处理厂接管标准可知，项目废水中各项污染因子经处理后，均能达到皖江江南新兴产业集中区第一污水处理厂接管标准。集中区第一污水处理厂现有处理规模2.5万m</w:t>
            </w:r>
            <w:r>
              <w:rPr>
                <w:rFonts w:hint="eastAsia"/>
                <w:color w:val="auto"/>
                <w:vertAlign w:val="superscript"/>
              </w:rPr>
              <w:t>3</w:t>
            </w:r>
            <w:r>
              <w:rPr>
                <w:rFonts w:hint="eastAsia"/>
                <w:color w:val="auto"/>
              </w:rPr>
              <w:t>/d，根据调查，近期皖江江南新兴产业集中区污水处理厂接收废水量约7000m</w:t>
            </w:r>
            <w:r>
              <w:rPr>
                <w:rFonts w:hint="eastAsia"/>
                <w:color w:val="auto"/>
                <w:vertAlign w:val="superscript"/>
              </w:rPr>
              <w:t>3</w:t>
            </w:r>
            <w:r>
              <w:rPr>
                <w:rFonts w:hint="eastAsia"/>
                <w:color w:val="auto"/>
              </w:rPr>
              <w:t>/d，尚有较大余量。本项目废水量为</w:t>
            </w:r>
            <w:r>
              <w:rPr>
                <w:rFonts w:hint="eastAsia"/>
                <w:color w:val="auto"/>
                <w:lang w:val="en-US" w:eastAsia="zh-CN"/>
              </w:rPr>
              <w:t>2.125</w:t>
            </w:r>
            <w:r>
              <w:rPr>
                <w:rFonts w:hint="eastAsia"/>
                <w:color w:val="auto"/>
              </w:rPr>
              <w:t>m</w:t>
            </w:r>
            <w:r>
              <w:rPr>
                <w:rFonts w:hint="eastAsia"/>
                <w:color w:val="auto"/>
                <w:vertAlign w:val="superscript"/>
              </w:rPr>
              <w:t>3</w:t>
            </w:r>
            <w:r>
              <w:rPr>
                <w:rFonts w:hint="eastAsia"/>
                <w:color w:val="auto"/>
              </w:rPr>
              <w:t>/d，占收水余量的0.0</w:t>
            </w:r>
            <w:r>
              <w:rPr>
                <w:rFonts w:hint="eastAsia"/>
                <w:color w:val="auto"/>
                <w:lang w:val="en-US" w:eastAsia="zh-CN"/>
              </w:rPr>
              <w:t>3</w:t>
            </w:r>
            <w:r>
              <w:rPr>
                <w:rFonts w:hint="eastAsia"/>
                <w:color w:val="auto"/>
              </w:rPr>
              <w:t>%，集中区第一污水处理厂有余量接纳本项目的废水，从水量上分析，项目废水接管集中区第一污水处理厂可行。</w:t>
            </w:r>
          </w:p>
          <w:p w14:paraId="2943159A">
            <w:pPr>
              <w:pStyle w:val="51"/>
              <w:ind w:firstLine="482"/>
              <w:rPr>
                <w:rFonts w:hint="eastAsia"/>
                <w:b/>
                <w:bCs/>
              </w:rPr>
            </w:pPr>
            <w:r>
              <w:rPr>
                <w:rFonts w:hint="eastAsia"/>
                <w:color w:val="auto"/>
              </w:rPr>
              <w:t>综上所述，项目废水水质简单，水量较少，项目废水接管皖江江南新兴产业集中区第一污水处理厂可行。</w:t>
            </w:r>
          </w:p>
          <w:p w14:paraId="37961BDA">
            <w:pPr>
              <w:pStyle w:val="79"/>
            </w:pPr>
            <w:r>
              <w:rPr>
                <w:rFonts w:hint="eastAsia"/>
              </w:rPr>
              <w:t>3、噪声环境影响和保护措施</w:t>
            </w:r>
          </w:p>
          <w:p w14:paraId="63288D6D">
            <w:pPr>
              <w:pStyle w:val="74"/>
              <w:ind w:firstLine="482"/>
              <w:rPr>
                <w:b/>
                <w:bCs w:val="0"/>
                <w:iCs/>
              </w:rPr>
            </w:pPr>
            <w:r>
              <w:rPr>
                <w:rFonts w:hint="eastAsia"/>
                <w:b/>
                <w:bCs w:val="0"/>
                <w:iCs/>
              </w:rPr>
              <w:t>3</w:t>
            </w:r>
            <w:r>
              <w:rPr>
                <w:b/>
                <w:bCs w:val="0"/>
                <w:iCs/>
              </w:rPr>
              <w:t>.1</w:t>
            </w:r>
            <w:r>
              <w:rPr>
                <w:rFonts w:hint="eastAsia"/>
                <w:b/>
                <w:bCs w:val="0"/>
                <w:iCs/>
              </w:rPr>
              <w:t>噪声源强</w:t>
            </w:r>
          </w:p>
          <w:p w14:paraId="6EE61985">
            <w:pPr>
              <w:pStyle w:val="74"/>
              <w:rPr>
                <w:iCs/>
              </w:rPr>
            </w:pPr>
            <w:r>
              <w:rPr>
                <w:iCs/>
              </w:rPr>
              <w:t>项目营运期噪声主要为</w:t>
            </w:r>
            <w:r>
              <w:rPr>
                <w:rFonts w:hint="eastAsia"/>
                <w:iCs/>
                <w:lang w:val="en-US" w:eastAsia="zh-CN"/>
              </w:rPr>
              <w:t>上板机</w:t>
            </w:r>
            <w:r>
              <w:rPr>
                <w:rFonts w:hint="eastAsia"/>
                <w:iCs/>
              </w:rPr>
              <w:t>、</w:t>
            </w:r>
            <w:r>
              <w:rPr>
                <w:rFonts w:hint="eastAsia"/>
                <w:iCs/>
                <w:lang w:val="en-US" w:eastAsia="zh-CN"/>
              </w:rPr>
              <w:t>锡膏印刷机</w:t>
            </w:r>
            <w:r>
              <w:rPr>
                <w:rFonts w:hint="eastAsia"/>
                <w:iCs/>
              </w:rPr>
              <w:t>、</w:t>
            </w:r>
            <w:r>
              <w:rPr>
                <w:rFonts w:hint="eastAsia"/>
                <w:iCs/>
                <w:lang w:val="en-US" w:eastAsia="zh-CN"/>
              </w:rPr>
              <w:t>回流焊机</w:t>
            </w:r>
            <w:r>
              <w:rPr>
                <w:rFonts w:hint="eastAsia"/>
                <w:iCs/>
              </w:rPr>
              <w:t>、</w:t>
            </w:r>
            <w:r>
              <w:rPr>
                <w:rFonts w:hint="eastAsia"/>
                <w:iCs/>
                <w:lang w:val="en-US" w:eastAsia="zh-CN"/>
              </w:rPr>
              <w:t>贴片机</w:t>
            </w:r>
            <w:r>
              <w:rPr>
                <w:rFonts w:hint="eastAsia"/>
                <w:iCs/>
              </w:rPr>
              <w:t>等设备运行产生的机械噪声，以及室外风机运行产生的噪声。其噪声源强在70~</w:t>
            </w:r>
            <w:r>
              <w:rPr>
                <w:rFonts w:hint="eastAsia"/>
                <w:iCs/>
                <w:lang w:val="en-US" w:eastAsia="zh-CN"/>
              </w:rPr>
              <w:t>90</w:t>
            </w:r>
            <w:r>
              <w:rPr>
                <w:rFonts w:hint="eastAsia"/>
                <w:iCs/>
              </w:rPr>
              <w:t>dB(A)。具体详见下表：</w:t>
            </w:r>
          </w:p>
          <w:p w14:paraId="4A4BB183">
            <w:pPr>
              <w:pStyle w:val="208"/>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color w:val="auto"/>
                <w:kern w:val="2"/>
                <w:sz w:val="24"/>
                <w:szCs w:val="24"/>
                <w:highlight w:val="none"/>
                <w:lang w:val="en-US" w:eastAsia="zh-CN"/>
              </w:rPr>
            </w:pPr>
            <w:r>
              <w:rPr>
                <w:rFonts w:hint="eastAsia" w:ascii="Times New Roman" w:hAnsi="Times New Roman" w:eastAsia="宋体" w:cs="Times New Roman"/>
                <w:b/>
                <w:bCs/>
                <w:kern w:val="0"/>
                <w:sz w:val="21"/>
                <w:szCs w:val="21"/>
                <w:lang w:val="en-US" w:eastAsia="zh-CN" w:bidi="ar-SA"/>
              </w:rPr>
              <w:t>表4-1</w:t>
            </w:r>
            <w:r>
              <w:rPr>
                <w:rFonts w:hint="eastAsia" w:ascii="Times New Roman" w:hAnsi="Times New Roman" w:cs="Times New Roman"/>
                <w:b/>
                <w:bCs/>
                <w:kern w:val="0"/>
                <w:sz w:val="21"/>
                <w:szCs w:val="21"/>
                <w:lang w:val="en-US" w:eastAsia="zh-CN" w:bidi="ar-SA"/>
              </w:rPr>
              <w:t>1</w:t>
            </w:r>
            <w:r>
              <w:rPr>
                <w:rFonts w:hint="eastAsia" w:ascii="Times New Roman" w:hAnsi="Times New Roman" w:eastAsia="宋体" w:cs="Times New Roman"/>
                <w:b/>
                <w:bCs/>
                <w:kern w:val="0"/>
                <w:sz w:val="21"/>
                <w:szCs w:val="21"/>
                <w:lang w:val="en-US" w:eastAsia="zh-CN" w:bidi="ar-SA"/>
              </w:rPr>
              <w:t xml:space="preserve">  项目</w:t>
            </w:r>
            <w:r>
              <w:rPr>
                <w:rFonts w:hint="default" w:ascii="Times New Roman" w:hAnsi="Times New Roman" w:eastAsia="宋体" w:cs="Times New Roman"/>
                <w:b/>
                <w:bCs/>
                <w:kern w:val="0"/>
                <w:sz w:val="21"/>
                <w:szCs w:val="21"/>
                <w:lang w:val="en-US" w:eastAsia="zh-CN" w:bidi="ar-SA"/>
              </w:rPr>
              <w:t>噪声污染源一览表</w:t>
            </w:r>
            <w:r>
              <w:rPr>
                <w:rFonts w:hint="eastAsia" w:ascii="Times New Roman" w:hAnsi="Times New Roman" w:eastAsia="宋体" w:cs="Times New Roman"/>
                <w:b/>
                <w:bCs/>
                <w:kern w:val="0"/>
                <w:sz w:val="21"/>
                <w:szCs w:val="21"/>
                <w:lang w:val="en-US" w:eastAsia="zh-CN" w:bidi="ar-SA"/>
              </w:rPr>
              <w:t>（室内）</w:t>
            </w:r>
          </w:p>
          <w:tbl>
            <w:tblPr>
              <w:tblStyle w:val="2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
              <w:gridCol w:w="684"/>
              <w:gridCol w:w="442"/>
              <w:gridCol w:w="669"/>
              <w:gridCol w:w="766"/>
              <w:gridCol w:w="624"/>
              <w:gridCol w:w="624"/>
              <w:gridCol w:w="520"/>
              <w:gridCol w:w="865"/>
              <w:gridCol w:w="776"/>
              <w:gridCol w:w="776"/>
              <w:gridCol w:w="883"/>
            </w:tblGrid>
            <w:tr w14:paraId="7078D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91" w:type="pct"/>
                  <w:vMerge w:val="restart"/>
                  <w:noWrap w:val="0"/>
                  <w:vAlign w:val="center"/>
                </w:tcPr>
                <w:p w14:paraId="0E359D63">
                  <w:pPr>
                    <w:adjustRightInd w:val="0"/>
                    <w:snapToGrid w:val="0"/>
                    <w:spacing w:line="240" w:lineRule="auto"/>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序号</w:t>
                  </w:r>
                </w:p>
              </w:tc>
              <w:tc>
                <w:tcPr>
                  <w:tcW w:w="422" w:type="pct"/>
                  <w:vMerge w:val="restart"/>
                  <w:noWrap w:val="0"/>
                  <w:vAlign w:val="center"/>
                </w:tcPr>
                <w:p w14:paraId="75DB6B17">
                  <w:pPr>
                    <w:adjustRightInd w:val="0"/>
                    <w:snapToGrid w:val="0"/>
                    <w:spacing w:line="240" w:lineRule="auto"/>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声源名称</w:t>
                  </w:r>
                </w:p>
              </w:tc>
              <w:tc>
                <w:tcPr>
                  <w:tcW w:w="273" w:type="pct"/>
                  <w:vMerge w:val="restart"/>
                  <w:noWrap w:val="0"/>
                  <w:vAlign w:val="center"/>
                </w:tcPr>
                <w:p w14:paraId="57CA4443">
                  <w:pPr>
                    <w:adjustRightInd w:val="0"/>
                    <w:snapToGrid w:val="0"/>
                    <w:spacing w:line="240" w:lineRule="auto"/>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数量</w:t>
                  </w:r>
                </w:p>
              </w:tc>
              <w:tc>
                <w:tcPr>
                  <w:tcW w:w="413" w:type="pct"/>
                  <w:vMerge w:val="restart"/>
                  <w:noWrap w:val="0"/>
                  <w:vAlign w:val="center"/>
                </w:tcPr>
                <w:p w14:paraId="339B4DDD">
                  <w:pPr>
                    <w:adjustRightInd w:val="0"/>
                    <w:snapToGrid w:val="0"/>
                    <w:spacing w:line="240" w:lineRule="auto"/>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eastAsia="zh-CN"/>
                    </w:rPr>
                    <w:t>噪声源强</w:t>
                  </w:r>
                  <w:r>
                    <w:rPr>
                      <w:rFonts w:hint="eastAsia" w:ascii="Times New Roman" w:hAnsi="Times New Roman" w:eastAsia="宋体" w:cs="Times New Roman"/>
                      <w:b/>
                      <w:bCs/>
                      <w:color w:val="auto"/>
                      <w:sz w:val="21"/>
                      <w:szCs w:val="21"/>
                      <w:highlight w:val="none"/>
                    </w:rPr>
                    <w:t>dB</w:t>
                  </w:r>
                  <w:r>
                    <w:rPr>
                      <w:rFonts w:hint="eastAsia" w:ascii="Times New Roman" w:hAnsi="Times New Roman" w:eastAsia="宋体" w:cs="Times New Roman"/>
                      <w:b/>
                      <w:bCs/>
                      <w:color w:val="auto"/>
                      <w:sz w:val="21"/>
                      <w:szCs w:val="21"/>
                      <w:highlight w:val="none"/>
                      <w:lang w:val="en-US" w:eastAsia="zh-CN"/>
                    </w:rPr>
                    <w:t xml:space="preserve"> </w:t>
                  </w:r>
                  <w:r>
                    <w:rPr>
                      <w:rFonts w:hint="eastAsia" w:ascii="Times New Roman" w:hAnsi="Times New Roman" w:eastAsia="宋体" w:cs="Times New Roman"/>
                      <w:b/>
                      <w:bCs/>
                      <w:color w:val="auto"/>
                      <w:sz w:val="21"/>
                      <w:szCs w:val="21"/>
                      <w:highlight w:val="none"/>
                    </w:rPr>
                    <w:t>(A)</w:t>
                  </w:r>
                </w:p>
              </w:tc>
              <w:tc>
                <w:tcPr>
                  <w:tcW w:w="473" w:type="pct"/>
                  <w:vMerge w:val="restart"/>
                  <w:noWrap w:val="0"/>
                  <w:vAlign w:val="center"/>
                </w:tcPr>
                <w:p w14:paraId="13034FFF">
                  <w:pPr>
                    <w:spacing w:line="240" w:lineRule="auto"/>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eastAsia="zh-CN"/>
                    </w:rPr>
                    <w:t>降噪</w:t>
                  </w:r>
                  <w:r>
                    <w:rPr>
                      <w:rFonts w:hint="eastAsia" w:ascii="Times New Roman" w:hAnsi="Times New Roman" w:eastAsia="宋体" w:cs="Times New Roman"/>
                      <w:b/>
                      <w:bCs/>
                      <w:color w:val="auto"/>
                      <w:sz w:val="21"/>
                      <w:szCs w:val="21"/>
                      <w:highlight w:val="none"/>
                    </w:rPr>
                    <w:t>措施</w:t>
                  </w:r>
                </w:p>
              </w:tc>
              <w:tc>
                <w:tcPr>
                  <w:tcW w:w="1091" w:type="pct"/>
                  <w:gridSpan w:val="3"/>
                  <w:noWrap w:val="0"/>
                  <w:vAlign w:val="center"/>
                </w:tcPr>
                <w:p w14:paraId="49E6B321">
                  <w:pPr>
                    <w:adjustRightInd w:val="0"/>
                    <w:snapToGrid w:val="0"/>
                    <w:spacing w:line="240" w:lineRule="auto"/>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空间相对位置</w:t>
                  </w:r>
                </w:p>
              </w:tc>
              <w:tc>
                <w:tcPr>
                  <w:tcW w:w="534" w:type="pct"/>
                  <w:vMerge w:val="restart"/>
                  <w:noWrap w:val="0"/>
                  <w:vAlign w:val="center"/>
                </w:tcPr>
                <w:p w14:paraId="1E331B0E">
                  <w:pPr>
                    <w:pStyle w:val="210"/>
                    <w:spacing w:before="74" w:line="240" w:lineRule="auto"/>
                    <w:ind w:left="137"/>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kern w:val="2"/>
                      <w:sz w:val="21"/>
                      <w:szCs w:val="21"/>
                      <w:highlight w:val="none"/>
                      <w:lang w:val="en-US" w:eastAsia="zh-CN" w:bidi="ar-SA"/>
                    </w:rPr>
                    <w:t>距室内边界距离/m</w:t>
                  </w:r>
                </w:p>
              </w:tc>
              <w:tc>
                <w:tcPr>
                  <w:tcW w:w="479" w:type="pct"/>
                  <w:vMerge w:val="restart"/>
                  <w:noWrap w:val="0"/>
                  <w:vAlign w:val="center"/>
                </w:tcPr>
                <w:p w14:paraId="5930F9D2">
                  <w:pPr>
                    <w:adjustRightInd w:val="0"/>
                    <w:snapToGrid w:val="0"/>
                    <w:spacing w:line="240" w:lineRule="auto"/>
                    <w:jc w:val="center"/>
                    <w:rPr>
                      <w:rFonts w:hint="eastAsia" w:ascii="Times New Roman" w:hAnsi="Times New Roman" w:eastAsia="宋体" w:cs="Times New Roman"/>
                      <w:b/>
                      <w:bCs/>
                      <w:color w:val="auto"/>
                      <w:sz w:val="21"/>
                      <w:szCs w:val="21"/>
                      <w:highlight w:val="none"/>
                      <w:lang w:eastAsia="zh-CN"/>
                    </w:rPr>
                  </w:pPr>
                  <w:r>
                    <w:rPr>
                      <w:rFonts w:hint="eastAsia" w:ascii="宋体" w:hAnsi="宋体" w:eastAsia="宋体" w:cs="宋体"/>
                      <w:b/>
                      <w:bCs/>
                      <w:color w:val="auto"/>
                      <w:spacing w:val="6"/>
                      <w:kern w:val="2"/>
                      <w:sz w:val="21"/>
                      <w:szCs w:val="21"/>
                      <w:highlight w:val="none"/>
                      <w:lang w:val="en-US" w:eastAsia="en-US" w:bidi="ar-SA"/>
                    </w:rPr>
                    <w:t>室内</w:t>
                  </w:r>
                  <w:r>
                    <w:rPr>
                      <w:rFonts w:hint="eastAsia" w:ascii="Times New Roman" w:hAnsi="Times New Roman" w:eastAsia="宋体" w:cs="Times New Roman"/>
                      <w:b/>
                      <w:bCs/>
                      <w:color w:val="auto"/>
                      <w:sz w:val="21"/>
                      <w:szCs w:val="21"/>
                      <w:highlight w:val="none"/>
                    </w:rPr>
                    <w:t>边界声级/dB（A</w:t>
                  </w:r>
                  <w:r>
                    <w:rPr>
                      <w:rFonts w:hint="eastAsia" w:ascii="Times New Roman" w:hAnsi="Times New Roman" w:eastAsia="宋体" w:cs="Times New Roman"/>
                      <w:b/>
                      <w:bCs/>
                      <w:color w:val="auto"/>
                      <w:sz w:val="21"/>
                      <w:szCs w:val="21"/>
                      <w:highlight w:val="none"/>
                      <w:lang w:eastAsia="zh-CN"/>
                    </w:rPr>
                    <w:t>）</w:t>
                  </w:r>
                </w:p>
              </w:tc>
              <w:tc>
                <w:tcPr>
                  <w:tcW w:w="479" w:type="pct"/>
                  <w:vMerge w:val="restart"/>
                  <w:noWrap w:val="0"/>
                  <w:vAlign w:val="center"/>
                </w:tcPr>
                <w:p w14:paraId="60AB6851">
                  <w:pPr>
                    <w:adjustRightInd w:val="0"/>
                    <w:snapToGrid w:val="0"/>
                    <w:spacing w:line="240" w:lineRule="auto"/>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rPr>
                    <w:t>建筑物插入损失/dB（A）</w:t>
                  </w:r>
                </w:p>
              </w:tc>
              <w:tc>
                <w:tcPr>
                  <w:tcW w:w="541" w:type="pct"/>
                  <w:vMerge w:val="restart"/>
                  <w:noWrap w:val="0"/>
                  <w:vAlign w:val="center"/>
                </w:tcPr>
                <w:p w14:paraId="20A4E8FB">
                  <w:pPr>
                    <w:adjustRightInd w:val="0"/>
                    <w:snapToGrid w:val="0"/>
                    <w:spacing w:line="240" w:lineRule="auto"/>
                    <w:jc w:val="center"/>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rPr>
                    <w:t>建筑物外</w:t>
                  </w:r>
                  <w:r>
                    <w:rPr>
                      <w:rFonts w:hint="eastAsia" w:ascii="Times New Roman" w:hAnsi="Times New Roman" w:eastAsia="宋体" w:cs="Times New Roman"/>
                      <w:b/>
                      <w:bCs/>
                      <w:color w:val="auto"/>
                      <w:sz w:val="21"/>
                      <w:szCs w:val="21"/>
                      <w:highlight w:val="none"/>
                      <w:lang w:val="en-US" w:eastAsia="zh-CN"/>
                    </w:rPr>
                    <w:t>1m</w:t>
                  </w:r>
                  <w:r>
                    <w:rPr>
                      <w:rFonts w:hint="eastAsia" w:ascii="Times New Roman" w:hAnsi="Times New Roman" w:eastAsia="宋体" w:cs="Times New Roman"/>
                      <w:b/>
                      <w:bCs/>
                      <w:color w:val="auto"/>
                      <w:sz w:val="21"/>
                      <w:szCs w:val="21"/>
                      <w:highlight w:val="none"/>
                    </w:rPr>
                    <w:t>距离</w:t>
                  </w:r>
                  <w:r>
                    <w:rPr>
                      <w:rFonts w:hint="eastAsia" w:ascii="Times New Roman" w:hAnsi="Times New Roman" w:eastAsia="宋体" w:cs="Times New Roman"/>
                      <w:b/>
                      <w:bCs/>
                      <w:color w:val="auto"/>
                      <w:sz w:val="21"/>
                      <w:szCs w:val="21"/>
                      <w:highlight w:val="none"/>
                      <w:lang w:eastAsia="zh-CN"/>
                    </w:rPr>
                    <w:t>声压级</w:t>
                  </w:r>
                  <w:r>
                    <w:rPr>
                      <w:rFonts w:hint="eastAsia" w:ascii="Times New Roman" w:hAnsi="Times New Roman" w:eastAsia="宋体" w:cs="Times New Roman"/>
                      <w:b/>
                      <w:bCs/>
                      <w:color w:val="auto"/>
                      <w:sz w:val="21"/>
                      <w:szCs w:val="21"/>
                      <w:highlight w:val="none"/>
                    </w:rPr>
                    <w:t>/dB</w:t>
                  </w:r>
                  <w:r>
                    <w:rPr>
                      <w:rFonts w:hint="eastAsia" w:ascii="Times New Roman" w:hAnsi="Times New Roman" w:eastAsia="宋体" w:cs="Times New Roman"/>
                      <w:b/>
                      <w:bCs/>
                      <w:color w:val="auto"/>
                      <w:sz w:val="21"/>
                      <w:szCs w:val="21"/>
                      <w:highlight w:val="none"/>
                      <w:lang w:val="en-US" w:eastAsia="zh-CN"/>
                    </w:rPr>
                    <w:t>(</w:t>
                  </w:r>
                  <w:r>
                    <w:rPr>
                      <w:rFonts w:hint="eastAsia" w:ascii="Times New Roman" w:hAnsi="Times New Roman" w:eastAsia="宋体" w:cs="Times New Roman"/>
                      <w:b/>
                      <w:bCs/>
                      <w:color w:val="auto"/>
                      <w:sz w:val="21"/>
                      <w:szCs w:val="21"/>
                      <w:highlight w:val="none"/>
                    </w:rPr>
                    <w:t>A</w:t>
                  </w:r>
                  <w:r>
                    <w:rPr>
                      <w:rFonts w:hint="eastAsia" w:ascii="Times New Roman" w:hAnsi="Times New Roman" w:eastAsia="宋体" w:cs="Times New Roman"/>
                      <w:b/>
                      <w:bCs/>
                      <w:color w:val="auto"/>
                      <w:sz w:val="21"/>
                      <w:szCs w:val="21"/>
                      <w:highlight w:val="none"/>
                      <w:lang w:val="en-US" w:eastAsia="zh-CN"/>
                    </w:rPr>
                    <w:t>)</w:t>
                  </w:r>
                </w:p>
              </w:tc>
            </w:tr>
            <w:tr w14:paraId="44D32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91" w:type="pct"/>
                  <w:vMerge w:val="continue"/>
                  <w:noWrap w:val="0"/>
                  <w:vAlign w:val="center"/>
                </w:tcPr>
                <w:p w14:paraId="30758211">
                  <w:pPr>
                    <w:spacing w:line="240" w:lineRule="auto"/>
                    <w:jc w:val="center"/>
                    <w:rPr>
                      <w:rFonts w:hint="eastAsia" w:ascii="宋体" w:hAnsi="宋体" w:eastAsia="宋体" w:cs="宋体"/>
                      <w:b/>
                      <w:bCs w:val="0"/>
                      <w:color w:val="auto"/>
                      <w:sz w:val="21"/>
                      <w:szCs w:val="21"/>
                      <w:highlight w:val="none"/>
                      <w:vertAlign w:val="baseline"/>
                      <w:lang w:val="en-US" w:eastAsia="zh-CN"/>
                    </w:rPr>
                  </w:pPr>
                </w:p>
              </w:tc>
              <w:tc>
                <w:tcPr>
                  <w:tcW w:w="422" w:type="pct"/>
                  <w:vMerge w:val="continue"/>
                  <w:noWrap w:val="0"/>
                  <w:vAlign w:val="center"/>
                </w:tcPr>
                <w:p w14:paraId="1EDDCC44">
                  <w:pPr>
                    <w:spacing w:line="240" w:lineRule="auto"/>
                    <w:jc w:val="center"/>
                    <w:rPr>
                      <w:rFonts w:hint="eastAsia" w:ascii="宋体" w:hAnsi="宋体" w:eastAsia="宋体" w:cs="宋体"/>
                      <w:b/>
                      <w:bCs w:val="0"/>
                      <w:color w:val="auto"/>
                      <w:sz w:val="21"/>
                      <w:szCs w:val="21"/>
                      <w:highlight w:val="none"/>
                      <w:vertAlign w:val="baseline"/>
                      <w:lang w:val="en-US" w:eastAsia="zh-CN"/>
                    </w:rPr>
                  </w:pPr>
                </w:p>
              </w:tc>
              <w:tc>
                <w:tcPr>
                  <w:tcW w:w="273" w:type="pct"/>
                  <w:vMerge w:val="continue"/>
                  <w:noWrap w:val="0"/>
                  <w:vAlign w:val="center"/>
                </w:tcPr>
                <w:p w14:paraId="72B98B55">
                  <w:pPr>
                    <w:spacing w:line="240" w:lineRule="auto"/>
                    <w:jc w:val="center"/>
                    <w:rPr>
                      <w:rFonts w:hint="eastAsia" w:ascii="宋体" w:hAnsi="宋体" w:eastAsia="宋体" w:cs="宋体"/>
                      <w:b/>
                      <w:bCs w:val="0"/>
                      <w:color w:val="auto"/>
                      <w:sz w:val="21"/>
                      <w:szCs w:val="21"/>
                      <w:highlight w:val="none"/>
                      <w:vertAlign w:val="baseline"/>
                      <w:lang w:val="en-US" w:eastAsia="zh-CN"/>
                    </w:rPr>
                  </w:pPr>
                </w:p>
              </w:tc>
              <w:tc>
                <w:tcPr>
                  <w:tcW w:w="413" w:type="pct"/>
                  <w:vMerge w:val="continue"/>
                  <w:noWrap w:val="0"/>
                  <w:vAlign w:val="center"/>
                </w:tcPr>
                <w:p w14:paraId="24D75B5D">
                  <w:pPr>
                    <w:spacing w:line="240" w:lineRule="auto"/>
                    <w:jc w:val="center"/>
                    <w:rPr>
                      <w:rFonts w:hint="eastAsia" w:ascii="宋体" w:hAnsi="宋体" w:eastAsia="宋体" w:cs="宋体"/>
                      <w:b/>
                      <w:bCs w:val="0"/>
                      <w:color w:val="auto"/>
                      <w:sz w:val="21"/>
                      <w:szCs w:val="21"/>
                      <w:highlight w:val="none"/>
                      <w:vertAlign w:val="baseline"/>
                      <w:lang w:val="en-US" w:eastAsia="zh-CN"/>
                    </w:rPr>
                  </w:pPr>
                </w:p>
              </w:tc>
              <w:tc>
                <w:tcPr>
                  <w:tcW w:w="473" w:type="pct"/>
                  <w:vMerge w:val="continue"/>
                  <w:noWrap w:val="0"/>
                  <w:vAlign w:val="center"/>
                </w:tcPr>
                <w:p w14:paraId="17892413">
                  <w:pPr>
                    <w:spacing w:line="240" w:lineRule="auto"/>
                    <w:jc w:val="center"/>
                    <w:rPr>
                      <w:rFonts w:hint="eastAsia" w:ascii="宋体" w:hAnsi="宋体" w:eastAsia="宋体" w:cs="宋体"/>
                      <w:b/>
                      <w:bCs w:val="0"/>
                      <w:color w:val="auto"/>
                      <w:sz w:val="21"/>
                      <w:szCs w:val="21"/>
                      <w:highlight w:val="none"/>
                      <w:vertAlign w:val="baseline"/>
                      <w:lang w:val="en-US" w:eastAsia="zh-CN"/>
                    </w:rPr>
                  </w:pPr>
                </w:p>
              </w:tc>
              <w:tc>
                <w:tcPr>
                  <w:tcW w:w="385" w:type="pct"/>
                  <w:noWrap w:val="0"/>
                  <w:vAlign w:val="center"/>
                </w:tcPr>
                <w:p w14:paraId="384A9CC6">
                  <w:pPr>
                    <w:spacing w:line="240" w:lineRule="auto"/>
                    <w:jc w:val="center"/>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X</w:t>
                  </w:r>
                </w:p>
              </w:tc>
              <w:tc>
                <w:tcPr>
                  <w:tcW w:w="385" w:type="pct"/>
                  <w:noWrap w:val="0"/>
                  <w:vAlign w:val="center"/>
                </w:tcPr>
                <w:p w14:paraId="47FC40CB">
                  <w:pPr>
                    <w:spacing w:line="240" w:lineRule="auto"/>
                    <w:jc w:val="center"/>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Y</w:t>
                  </w:r>
                </w:p>
              </w:tc>
              <w:tc>
                <w:tcPr>
                  <w:tcW w:w="320" w:type="pct"/>
                  <w:noWrap w:val="0"/>
                  <w:vAlign w:val="center"/>
                </w:tcPr>
                <w:p w14:paraId="78C7877A">
                  <w:pPr>
                    <w:spacing w:line="240" w:lineRule="auto"/>
                    <w:jc w:val="center"/>
                    <w:rPr>
                      <w:rFonts w:hint="eastAsia"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Z</w:t>
                  </w:r>
                </w:p>
              </w:tc>
              <w:tc>
                <w:tcPr>
                  <w:tcW w:w="534" w:type="pct"/>
                  <w:vMerge w:val="continue"/>
                  <w:noWrap w:val="0"/>
                  <w:vAlign w:val="center"/>
                </w:tcPr>
                <w:p w14:paraId="1A67397F">
                  <w:pPr>
                    <w:spacing w:line="240" w:lineRule="auto"/>
                    <w:jc w:val="center"/>
                    <w:rPr>
                      <w:rFonts w:hint="eastAsia" w:ascii="宋体" w:hAnsi="宋体" w:eastAsia="宋体" w:cs="宋体"/>
                      <w:b/>
                      <w:bCs w:val="0"/>
                      <w:color w:val="auto"/>
                      <w:sz w:val="21"/>
                      <w:szCs w:val="21"/>
                      <w:highlight w:val="none"/>
                      <w:vertAlign w:val="baseline"/>
                      <w:lang w:val="en-US" w:eastAsia="zh-CN"/>
                    </w:rPr>
                  </w:pPr>
                </w:p>
              </w:tc>
              <w:tc>
                <w:tcPr>
                  <w:tcW w:w="479" w:type="pct"/>
                  <w:vMerge w:val="continue"/>
                  <w:noWrap w:val="0"/>
                  <w:vAlign w:val="center"/>
                </w:tcPr>
                <w:p w14:paraId="7569021B">
                  <w:pPr>
                    <w:spacing w:line="240" w:lineRule="auto"/>
                    <w:jc w:val="center"/>
                    <w:rPr>
                      <w:rFonts w:hint="eastAsia" w:ascii="宋体" w:hAnsi="宋体" w:eastAsia="宋体" w:cs="宋体"/>
                      <w:b/>
                      <w:bCs w:val="0"/>
                      <w:color w:val="auto"/>
                      <w:sz w:val="21"/>
                      <w:szCs w:val="21"/>
                      <w:highlight w:val="none"/>
                      <w:vertAlign w:val="baseline"/>
                      <w:lang w:val="en-US" w:eastAsia="zh-CN"/>
                    </w:rPr>
                  </w:pPr>
                </w:p>
              </w:tc>
              <w:tc>
                <w:tcPr>
                  <w:tcW w:w="479" w:type="pct"/>
                  <w:vMerge w:val="continue"/>
                  <w:noWrap w:val="0"/>
                  <w:vAlign w:val="center"/>
                </w:tcPr>
                <w:p w14:paraId="074884C9">
                  <w:pPr>
                    <w:spacing w:line="240" w:lineRule="auto"/>
                    <w:jc w:val="center"/>
                    <w:rPr>
                      <w:rFonts w:hint="eastAsia" w:ascii="宋体" w:hAnsi="宋体" w:eastAsia="宋体" w:cs="宋体"/>
                      <w:b/>
                      <w:bCs w:val="0"/>
                      <w:color w:val="auto"/>
                      <w:sz w:val="21"/>
                      <w:szCs w:val="21"/>
                      <w:highlight w:val="none"/>
                      <w:vertAlign w:val="baseline"/>
                      <w:lang w:val="en-US" w:eastAsia="zh-CN"/>
                    </w:rPr>
                  </w:pPr>
                </w:p>
              </w:tc>
              <w:tc>
                <w:tcPr>
                  <w:tcW w:w="541" w:type="pct"/>
                  <w:vMerge w:val="continue"/>
                  <w:noWrap w:val="0"/>
                  <w:vAlign w:val="center"/>
                </w:tcPr>
                <w:p w14:paraId="4E2264B1">
                  <w:pPr>
                    <w:spacing w:line="240" w:lineRule="auto"/>
                    <w:jc w:val="center"/>
                    <w:rPr>
                      <w:rFonts w:hint="eastAsia" w:ascii="宋体" w:hAnsi="宋体" w:eastAsia="宋体" w:cs="宋体"/>
                      <w:b/>
                      <w:bCs w:val="0"/>
                      <w:color w:val="auto"/>
                      <w:sz w:val="21"/>
                      <w:szCs w:val="21"/>
                      <w:highlight w:val="none"/>
                      <w:vertAlign w:val="baseline"/>
                      <w:lang w:val="en-US" w:eastAsia="zh-CN"/>
                    </w:rPr>
                  </w:pPr>
                </w:p>
              </w:tc>
            </w:tr>
            <w:tr w14:paraId="229C2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0" w:type="pct"/>
                  <w:gridSpan w:val="12"/>
                  <w:noWrap w:val="0"/>
                  <w:vAlign w:val="center"/>
                </w:tcPr>
                <w:p w14:paraId="5200F4BB">
                  <w:pPr>
                    <w:spacing w:line="240" w:lineRule="auto"/>
                    <w:jc w:val="both"/>
                    <w:rPr>
                      <w:rFonts w:hint="default" w:ascii="宋体" w:hAnsi="宋体" w:eastAsia="宋体" w:cs="宋体"/>
                      <w:b/>
                      <w:bCs w:val="0"/>
                      <w:color w:val="auto"/>
                      <w:sz w:val="21"/>
                      <w:szCs w:val="21"/>
                      <w:highlight w:val="none"/>
                      <w:vertAlign w:val="baseline"/>
                      <w:lang w:val="en-US" w:eastAsia="zh-CN"/>
                    </w:rPr>
                  </w:pPr>
                  <w:r>
                    <w:rPr>
                      <w:rFonts w:hint="eastAsia" w:ascii="宋体" w:hAnsi="宋体" w:eastAsia="宋体" w:cs="宋体"/>
                      <w:b/>
                      <w:bCs w:val="0"/>
                      <w:color w:val="auto"/>
                      <w:sz w:val="21"/>
                      <w:szCs w:val="21"/>
                      <w:highlight w:val="none"/>
                      <w:vertAlign w:val="baseline"/>
                      <w:lang w:val="en-US" w:eastAsia="zh-CN"/>
                    </w:rPr>
                    <w:t>一、LED显示模组</w:t>
                  </w:r>
                </w:p>
              </w:tc>
            </w:tr>
            <w:tr w14:paraId="22F63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91" w:type="pct"/>
                  <w:noWrap w:val="0"/>
                  <w:vAlign w:val="center"/>
                </w:tcPr>
                <w:p w14:paraId="3D2F01D9">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1</w:t>
                  </w:r>
                </w:p>
              </w:tc>
              <w:tc>
                <w:tcPr>
                  <w:tcW w:w="422" w:type="pct"/>
                  <w:shd w:val="clear" w:color="auto" w:fill="auto"/>
                  <w:noWrap w:val="0"/>
                  <w:vAlign w:val="center"/>
                </w:tcPr>
                <w:p w14:paraId="2A289746">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bidi="ar"/>
                    </w:rPr>
                    <w:t>上板机</w:t>
                  </w:r>
                </w:p>
              </w:tc>
              <w:tc>
                <w:tcPr>
                  <w:tcW w:w="273" w:type="pct"/>
                  <w:shd w:val="clear" w:color="auto" w:fill="auto"/>
                  <w:noWrap w:val="0"/>
                  <w:vAlign w:val="center"/>
                </w:tcPr>
                <w:p w14:paraId="7AE074B7">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bidi="ar"/>
                    </w:rPr>
                    <w:t>4</w:t>
                  </w:r>
                </w:p>
              </w:tc>
              <w:tc>
                <w:tcPr>
                  <w:tcW w:w="413" w:type="pct"/>
                  <w:noWrap w:val="0"/>
                  <w:vAlign w:val="center"/>
                </w:tcPr>
                <w:p w14:paraId="387F1CE4">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70</w:t>
                  </w:r>
                </w:p>
              </w:tc>
              <w:tc>
                <w:tcPr>
                  <w:tcW w:w="473" w:type="pct"/>
                  <w:vMerge w:val="restart"/>
                  <w:noWrap w:val="0"/>
                  <w:vAlign w:val="center"/>
                </w:tcPr>
                <w:p w14:paraId="2A590DDD">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bookmarkStart w:id="8" w:name="OLE_LINK1"/>
                  <w:r>
                    <w:rPr>
                      <w:rFonts w:hint="default" w:ascii="Times New Roman" w:hAnsi="Times New Roman" w:eastAsia="宋体" w:cs="Times New Roman"/>
                      <w:color w:val="auto"/>
                      <w:sz w:val="21"/>
                      <w:szCs w:val="21"/>
                      <w:highlight w:val="none"/>
                      <w:lang w:val="en-US" w:eastAsia="zh-CN"/>
                    </w:rPr>
                    <w:t>合理布置设备位置、设备减振、消声</w:t>
                  </w:r>
                  <w:bookmarkEnd w:id="8"/>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厂房隔声</w:t>
                  </w:r>
                </w:p>
              </w:tc>
              <w:tc>
                <w:tcPr>
                  <w:tcW w:w="385" w:type="pct"/>
                  <w:noWrap w:val="0"/>
                  <w:vAlign w:val="center"/>
                </w:tcPr>
                <w:p w14:paraId="2640B37C">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21</w:t>
                  </w:r>
                </w:p>
              </w:tc>
              <w:tc>
                <w:tcPr>
                  <w:tcW w:w="385" w:type="pct"/>
                  <w:noWrap w:val="0"/>
                  <w:vAlign w:val="center"/>
                </w:tcPr>
                <w:p w14:paraId="2B83F6CB">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22～27</w:t>
                  </w:r>
                </w:p>
              </w:tc>
              <w:tc>
                <w:tcPr>
                  <w:tcW w:w="320" w:type="pct"/>
                  <w:noWrap w:val="0"/>
                  <w:vAlign w:val="center"/>
                </w:tcPr>
                <w:p w14:paraId="31B9F8CE">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w:t>
                  </w:r>
                </w:p>
              </w:tc>
              <w:tc>
                <w:tcPr>
                  <w:tcW w:w="534" w:type="pct"/>
                  <w:noWrap w:val="0"/>
                  <w:vAlign w:val="center"/>
                </w:tcPr>
                <w:p w14:paraId="392315E8">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11</w:t>
                  </w:r>
                </w:p>
              </w:tc>
              <w:tc>
                <w:tcPr>
                  <w:tcW w:w="479" w:type="pct"/>
                  <w:shd w:val="clear" w:color="auto" w:fill="auto"/>
                  <w:noWrap w:val="0"/>
                  <w:vAlign w:val="center"/>
                </w:tcPr>
                <w:p w14:paraId="4936C15E">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49.2</w:t>
                  </w:r>
                </w:p>
              </w:tc>
              <w:tc>
                <w:tcPr>
                  <w:tcW w:w="479" w:type="pct"/>
                  <w:noWrap w:val="0"/>
                  <w:vAlign w:val="center"/>
                </w:tcPr>
                <w:p w14:paraId="45ABB375">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15</w:t>
                  </w:r>
                </w:p>
              </w:tc>
              <w:tc>
                <w:tcPr>
                  <w:tcW w:w="541" w:type="pct"/>
                  <w:noWrap w:val="0"/>
                  <w:vAlign w:val="center"/>
                </w:tcPr>
                <w:p w14:paraId="5371F6D8">
                  <w:pPr>
                    <w:spacing w:line="240" w:lineRule="auto"/>
                    <w:jc w:val="center"/>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34.2</w:t>
                  </w:r>
                </w:p>
              </w:tc>
            </w:tr>
            <w:tr w14:paraId="07E25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91" w:type="pct"/>
                  <w:noWrap w:val="0"/>
                  <w:vAlign w:val="center"/>
                </w:tcPr>
                <w:p w14:paraId="19A9B690">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2</w:t>
                  </w:r>
                </w:p>
              </w:tc>
              <w:tc>
                <w:tcPr>
                  <w:tcW w:w="422" w:type="pct"/>
                  <w:shd w:val="clear" w:color="auto" w:fill="auto"/>
                  <w:noWrap w:val="0"/>
                  <w:vAlign w:val="center"/>
                </w:tcPr>
                <w:p w14:paraId="0EEE451B">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bidi="ar"/>
                    </w:rPr>
                    <w:t>锡膏印刷机</w:t>
                  </w:r>
                </w:p>
              </w:tc>
              <w:tc>
                <w:tcPr>
                  <w:tcW w:w="273" w:type="pct"/>
                  <w:shd w:val="clear" w:color="auto" w:fill="auto"/>
                  <w:noWrap w:val="0"/>
                  <w:vAlign w:val="center"/>
                </w:tcPr>
                <w:p w14:paraId="3909B1B0">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bidi="ar"/>
                    </w:rPr>
                    <w:t>4</w:t>
                  </w:r>
                </w:p>
              </w:tc>
              <w:tc>
                <w:tcPr>
                  <w:tcW w:w="413" w:type="pct"/>
                  <w:noWrap w:val="0"/>
                  <w:vAlign w:val="center"/>
                </w:tcPr>
                <w:p w14:paraId="278A7A82">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70</w:t>
                  </w:r>
                </w:p>
              </w:tc>
              <w:tc>
                <w:tcPr>
                  <w:tcW w:w="473" w:type="pct"/>
                  <w:vMerge w:val="continue"/>
                  <w:noWrap w:val="0"/>
                  <w:vAlign w:val="center"/>
                </w:tcPr>
                <w:p w14:paraId="16B567D0">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p>
              </w:tc>
              <w:tc>
                <w:tcPr>
                  <w:tcW w:w="385" w:type="pct"/>
                  <w:noWrap w:val="0"/>
                  <w:vAlign w:val="center"/>
                </w:tcPr>
                <w:p w14:paraId="54C7FEA7">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22</w:t>
                  </w:r>
                </w:p>
              </w:tc>
              <w:tc>
                <w:tcPr>
                  <w:tcW w:w="385" w:type="pct"/>
                  <w:noWrap w:val="0"/>
                  <w:vAlign w:val="center"/>
                </w:tcPr>
                <w:p w14:paraId="58A69405">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22～27</w:t>
                  </w:r>
                </w:p>
              </w:tc>
              <w:tc>
                <w:tcPr>
                  <w:tcW w:w="320" w:type="pct"/>
                  <w:noWrap w:val="0"/>
                  <w:vAlign w:val="center"/>
                </w:tcPr>
                <w:p w14:paraId="5932CF7C">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w:t>
                  </w:r>
                </w:p>
              </w:tc>
              <w:tc>
                <w:tcPr>
                  <w:tcW w:w="534" w:type="pct"/>
                  <w:noWrap w:val="0"/>
                  <w:vAlign w:val="center"/>
                </w:tcPr>
                <w:p w14:paraId="5B831E0B">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11</w:t>
                  </w:r>
                </w:p>
              </w:tc>
              <w:tc>
                <w:tcPr>
                  <w:tcW w:w="479" w:type="pct"/>
                  <w:shd w:val="clear" w:color="auto" w:fill="auto"/>
                  <w:noWrap w:val="0"/>
                  <w:vAlign w:val="center"/>
                </w:tcPr>
                <w:p w14:paraId="35778833">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49.2</w:t>
                  </w:r>
                </w:p>
              </w:tc>
              <w:tc>
                <w:tcPr>
                  <w:tcW w:w="479" w:type="pct"/>
                  <w:noWrap w:val="0"/>
                  <w:vAlign w:val="center"/>
                </w:tcPr>
                <w:p w14:paraId="2FF293C8">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15</w:t>
                  </w:r>
                </w:p>
              </w:tc>
              <w:tc>
                <w:tcPr>
                  <w:tcW w:w="541" w:type="pct"/>
                  <w:noWrap w:val="0"/>
                  <w:vAlign w:val="center"/>
                </w:tcPr>
                <w:p w14:paraId="352458F5">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34.2</w:t>
                  </w:r>
                </w:p>
              </w:tc>
            </w:tr>
            <w:tr w14:paraId="42107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91" w:type="pct"/>
                  <w:noWrap w:val="0"/>
                  <w:vAlign w:val="center"/>
                </w:tcPr>
                <w:p w14:paraId="0DEB0B0F">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3</w:t>
                  </w:r>
                </w:p>
              </w:tc>
              <w:tc>
                <w:tcPr>
                  <w:tcW w:w="422" w:type="pct"/>
                  <w:shd w:val="clear" w:color="auto" w:fill="auto"/>
                  <w:noWrap w:val="0"/>
                  <w:vAlign w:val="center"/>
                </w:tcPr>
                <w:p w14:paraId="5F484750">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
                    </w:rPr>
                  </w:pPr>
                  <w:r>
                    <w:rPr>
                      <w:rFonts w:hint="eastAsia"/>
                      <w:color w:val="auto"/>
                      <w:sz w:val="21"/>
                      <w:szCs w:val="21"/>
                      <w:lang w:val="en-US" w:eastAsia="zh-CN" w:bidi="ar"/>
                    </w:rPr>
                    <w:t>SPI检测机</w:t>
                  </w:r>
                </w:p>
              </w:tc>
              <w:tc>
                <w:tcPr>
                  <w:tcW w:w="273" w:type="pct"/>
                  <w:shd w:val="clear" w:color="auto" w:fill="auto"/>
                  <w:noWrap w:val="0"/>
                  <w:vAlign w:val="center"/>
                </w:tcPr>
                <w:p w14:paraId="770007E1">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
                    </w:rPr>
                  </w:pPr>
                  <w:r>
                    <w:rPr>
                      <w:rFonts w:hint="eastAsia"/>
                      <w:color w:val="auto"/>
                      <w:sz w:val="21"/>
                      <w:szCs w:val="21"/>
                      <w:lang w:val="en-US" w:eastAsia="zh-CN" w:bidi="ar"/>
                    </w:rPr>
                    <w:t>4</w:t>
                  </w:r>
                </w:p>
              </w:tc>
              <w:tc>
                <w:tcPr>
                  <w:tcW w:w="413" w:type="pct"/>
                  <w:shd w:val="clear" w:color="auto" w:fill="auto"/>
                  <w:noWrap w:val="0"/>
                  <w:vAlign w:val="center"/>
                </w:tcPr>
                <w:p w14:paraId="1703AEF6">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70</w:t>
                  </w:r>
                </w:p>
              </w:tc>
              <w:tc>
                <w:tcPr>
                  <w:tcW w:w="473" w:type="pct"/>
                  <w:vMerge w:val="continue"/>
                  <w:noWrap w:val="0"/>
                  <w:vAlign w:val="center"/>
                </w:tcPr>
                <w:p w14:paraId="464AE911">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p>
              </w:tc>
              <w:tc>
                <w:tcPr>
                  <w:tcW w:w="385" w:type="pct"/>
                  <w:shd w:val="clear" w:color="auto" w:fill="auto"/>
                  <w:noWrap w:val="0"/>
                  <w:vAlign w:val="center"/>
                </w:tcPr>
                <w:p w14:paraId="6FB43247">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23</w:t>
                  </w:r>
                </w:p>
              </w:tc>
              <w:tc>
                <w:tcPr>
                  <w:tcW w:w="385" w:type="pct"/>
                  <w:shd w:val="clear" w:color="auto" w:fill="auto"/>
                  <w:noWrap w:val="0"/>
                  <w:vAlign w:val="center"/>
                </w:tcPr>
                <w:p w14:paraId="19027ADB">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22～27</w:t>
                  </w:r>
                </w:p>
              </w:tc>
              <w:tc>
                <w:tcPr>
                  <w:tcW w:w="320" w:type="pct"/>
                  <w:shd w:val="clear" w:color="auto" w:fill="auto"/>
                  <w:noWrap w:val="0"/>
                  <w:vAlign w:val="center"/>
                </w:tcPr>
                <w:p w14:paraId="77CF4D2F">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534" w:type="pct"/>
                  <w:shd w:val="clear" w:color="auto" w:fill="auto"/>
                  <w:noWrap w:val="0"/>
                  <w:vAlign w:val="center"/>
                </w:tcPr>
                <w:p w14:paraId="72FDAAD6">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11</w:t>
                  </w:r>
                </w:p>
              </w:tc>
              <w:tc>
                <w:tcPr>
                  <w:tcW w:w="479" w:type="pct"/>
                  <w:shd w:val="clear" w:color="auto" w:fill="auto"/>
                  <w:noWrap w:val="0"/>
                  <w:vAlign w:val="center"/>
                </w:tcPr>
                <w:p w14:paraId="193815CC">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49.2</w:t>
                  </w:r>
                </w:p>
              </w:tc>
              <w:tc>
                <w:tcPr>
                  <w:tcW w:w="479" w:type="pct"/>
                  <w:shd w:val="clear" w:color="auto" w:fill="auto"/>
                  <w:noWrap w:val="0"/>
                  <w:vAlign w:val="center"/>
                </w:tcPr>
                <w:p w14:paraId="2ECF5961">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541" w:type="pct"/>
                  <w:shd w:val="clear" w:color="auto" w:fill="auto"/>
                  <w:noWrap w:val="0"/>
                  <w:vAlign w:val="center"/>
                </w:tcPr>
                <w:p w14:paraId="53257BF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34.2</w:t>
                  </w:r>
                </w:p>
              </w:tc>
            </w:tr>
            <w:tr w14:paraId="09F60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91" w:type="pct"/>
                  <w:noWrap w:val="0"/>
                  <w:vAlign w:val="center"/>
                </w:tcPr>
                <w:p w14:paraId="52B03291">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w:t>
                  </w:r>
                </w:p>
              </w:tc>
              <w:tc>
                <w:tcPr>
                  <w:tcW w:w="422" w:type="pct"/>
                  <w:shd w:val="clear" w:color="auto" w:fill="auto"/>
                  <w:noWrap w:val="0"/>
                  <w:vAlign w:val="center"/>
                </w:tcPr>
                <w:p w14:paraId="01A718DF">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
                    </w:rPr>
                  </w:pPr>
                  <w:r>
                    <w:rPr>
                      <w:rFonts w:hint="eastAsia"/>
                      <w:color w:val="auto"/>
                      <w:sz w:val="21"/>
                      <w:szCs w:val="21"/>
                      <w:lang w:val="en-US" w:eastAsia="zh-CN" w:bidi="ar"/>
                    </w:rPr>
                    <w:t>贴片机</w:t>
                  </w:r>
                </w:p>
              </w:tc>
              <w:tc>
                <w:tcPr>
                  <w:tcW w:w="273" w:type="pct"/>
                  <w:shd w:val="clear" w:color="auto" w:fill="auto"/>
                  <w:noWrap w:val="0"/>
                  <w:vAlign w:val="center"/>
                </w:tcPr>
                <w:p w14:paraId="01C1C755">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
                    </w:rPr>
                  </w:pPr>
                  <w:r>
                    <w:rPr>
                      <w:rFonts w:hint="eastAsia"/>
                      <w:color w:val="auto"/>
                      <w:sz w:val="21"/>
                      <w:szCs w:val="21"/>
                      <w:lang w:val="en-US" w:eastAsia="zh-CN" w:bidi="ar"/>
                    </w:rPr>
                    <w:t>4</w:t>
                  </w:r>
                </w:p>
              </w:tc>
              <w:tc>
                <w:tcPr>
                  <w:tcW w:w="413" w:type="pct"/>
                  <w:shd w:val="clear" w:color="auto" w:fill="auto"/>
                  <w:noWrap w:val="0"/>
                  <w:vAlign w:val="center"/>
                </w:tcPr>
                <w:p w14:paraId="55ADA72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70</w:t>
                  </w:r>
                </w:p>
              </w:tc>
              <w:tc>
                <w:tcPr>
                  <w:tcW w:w="473" w:type="pct"/>
                  <w:vMerge w:val="continue"/>
                  <w:noWrap w:val="0"/>
                  <w:vAlign w:val="center"/>
                </w:tcPr>
                <w:p w14:paraId="23407FAC">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p>
              </w:tc>
              <w:tc>
                <w:tcPr>
                  <w:tcW w:w="385" w:type="pct"/>
                  <w:shd w:val="clear" w:color="auto" w:fill="auto"/>
                  <w:noWrap w:val="0"/>
                  <w:vAlign w:val="center"/>
                </w:tcPr>
                <w:p w14:paraId="2AFACFEB">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24</w:t>
                  </w:r>
                </w:p>
              </w:tc>
              <w:tc>
                <w:tcPr>
                  <w:tcW w:w="385" w:type="pct"/>
                  <w:shd w:val="clear" w:color="auto" w:fill="auto"/>
                  <w:noWrap w:val="0"/>
                  <w:vAlign w:val="center"/>
                </w:tcPr>
                <w:p w14:paraId="315EB716">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22～27</w:t>
                  </w:r>
                </w:p>
              </w:tc>
              <w:tc>
                <w:tcPr>
                  <w:tcW w:w="320" w:type="pct"/>
                  <w:shd w:val="clear" w:color="auto" w:fill="auto"/>
                  <w:noWrap w:val="0"/>
                  <w:vAlign w:val="center"/>
                </w:tcPr>
                <w:p w14:paraId="70EE973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534" w:type="pct"/>
                  <w:shd w:val="clear" w:color="auto" w:fill="auto"/>
                  <w:noWrap w:val="0"/>
                  <w:vAlign w:val="center"/>
                </w:tcPr>
                <w:p w14:paraId="2411EE5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11</w:t>
                  </w:r>
                </w:p>
              </w:tc>
              <w:tc>
                <w:tcPr>
                  <w:tcW w:w="479" w:type="pct"/>
                  <w:shd w:val="clear" w:color="auto" w:fill="auto"/>
                  <w:noWrap w:val="0"/>
                  <w:vAlign w:val="center"/>
                </w:tcPr>
                <w:p w14:paraId="07EACD63">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49.2</w:t>
                  </w:r>
                </w:p>
              </w:tc>
              <w:tc>
                <w:tcPr>
                  <w:tcW w:w="479" w:type="pct"/>
                  <w:shd w:val="clear" w:color="auto" w:fill="auto"/>
                  <w:noWrap w:val="0"/>
                  <w:vAlign w:val="center"/>
                </w:tcPr>
                <w:p w14:paraId="56C20D4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541" w:type="pct"/>
                  <w:shd w:val="clear" w:color="auto" w:fill="auto"/>
                  <w:noWrap w:val="0"/>
                  <w:vAlign w:val="center"/>
                </w:tcPr>
                <w:p w14:paraId="2849E17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34.2</w:t>
                  </w:r>
                </w:p>
              </w:tc>
            </w:tr>
            <w:tr w14:paraId="117CA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91" w:type="pct"/>
                  <w:noWrap w:val="0"/>
                  <w:vAlign w:val="center"/>
                </w:tcPr>
                <w:p w14:paraId="2B497B60">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5</w:t>
                  </w:r>
                </w:p>
              </w:tc>
              <w:tc>
                <w:tcPr>
                  <w:tcW w:w="422" w:type="pct"/>
                  <w:shd w:val="clear" w:color="auto" w:fill="auto"/>
                  <w:noWrap w:val="0"/>
                  <w:vAlign w:val="center"/>
                </w:tcPr>
                <w:p w14:paraId="10E54955">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bidi="ar"/>
                    </w:rPr>
                    <w:t>回流焊机</w:t>
                  </w:r>
                </w:p>
              </w:tc>
              <w:tc>
                <w:tcPr>
                  <w:tcW w:w="273" w:type="pct"/>
                  <w:shd w:val="clear" w:color="auto" w:fill="auto"/>
                  <w:noWrap w:val="0"/>
                  <w:vAlign w:val="center"/>
                </w:tcPr>
                <w:p w14:paraId="3AF37AAE">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bidi="ar"/>
                    </w:rPr>
                    <w:t>2</w:t>
                  </w:r>
                </w:p>
              </w:tc>
              <w:tc>
                <w:tcPr>
                  <w:tcW w:w="413" w:type="pct"/>
                  <w:shd w:val="clear" w:color="auto" w:fill="auto"/>
                  <w:noWrap w:val="0"/>
                  <w:vAlign w:val="center"/>
                </w:tcPr>
                <w:p w14:paraId="097931B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75</w:t>
                  </w:r>
                </w:p>
              </w:tc>
              <w:tc>
                <w:tcPr>
                  <w:tcW w:w="473" w:type="pct"/>
                  <w:vMerge w:val="continue"/>
                  <w:noWrap w:val="0"/>
                  <w:vAlign w:val="center"/>
                </w:tcPr>
                <w:p w14:paraId="6B7D9948">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p>
              </w:tc>
              <w:tc>
                <w:tcPr>
                  <w:tcW w:w="385" w:type="pct"/>
                  <w:shd w:val="clear" w:color="auto" w:fill="auto"/>
                  <w:noWrap w:val="0"/>
                  <w:vAlign w:val="center"/>
                </w:tcPr>
                <w:p w14:paraId="3C669E3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27</w:t>
                  </w:r>
                </w:p>
              </w:tc>
              <w:tc>
                <w:tcPr>
                  <w:tcW w:w="385" w:type="pct"/>
                  <w:shd w:val="clear" w:color="auto" w:fill="auto"/>
                  <w:noWrap w:val="0"/>
                  <w:vAlign w:val="center"/>
                </w:tcPr>
                <w:p w14:paraId="5D90E970">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23～26</w:t>
                  </w:r>
                </w:p>
              </w:tc>
              <w:tc>
                <w:tcPr>
                  <w:tcW w:w="320" w:type="pct"/>
                  <w:shd w:val="clear" w:color="auto" w:fill="auto"/>
                  <w:noWrap w:val="0"/>
                  <w:vAlign w:val="center"/>
                </w:tcPr>
                <w:p w14:paraId="2F553A3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534" w:type="pct"/>
                  <w:shd w:val="clear" w:color="auto" w:fill="auto"/>
                  <w:noWrap w:val="0"/>
                  <w:vAlign w:val="center"/>
                </w:tcPr>
                <w:p w14:paraId="206917C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12</w:t>
                  </w:r>
                </w:p>
              </w:tc>
              <w:tc>
                <w:tcPr>
                  <w:tcW w:w="479" w:type="pct"/>
                  <w:shd w:val="clear" w:color="auto" w:fill="auto"/>
                  <w:noWrap w:val="0"/>
                  <w:vAlign w:val="center"/>
                </w:tcPr>
                <w:p w14:paraId="1D8FF648">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53.4</w:t>
                  </w:r>
                </w:p>
              </w:tc>
              <w:tc>
                <w:tcPr>
                  <w:tcW w:w="479" w:type="pct"/>
                  <w:shd w:val="clear" w:color="auto" w:fill="auto"/>
                  <w:noWrap w:val="0"/>
                  <w:vAlign w:val="center"/>
                </w:tcPr>
                <w:p w14:paraId="3BFD994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541" w:type="pct"/>
                  <w:shd w:val="clear" w:color="auto" w:fill="auto"/>
                  <w:noWrap w:val="0"/>
                  <w:vAlign w:val="center"/>
                </w:tcPr>
                <w:p w14:paraId="2E4F5C4C">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38.4</w:t>
                  </w:r>
                </w:p>
              </w:tc>
            </w:tr>
            <w:tr w14:paraId="41B29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91" w:type="pct"/>
                  <w:noWrap w:val="0"/>
                  <w:vAlign w:val="center"/>
                </w:tcPr>
                <w:p w14:paraId="7E22C205">
                  <w:pPr>
                    <w:spacing w:line="240" w:lineRule="auto"/>
                    <w:jc w:val="center"/>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6</w:t>
                  </w:r>
                </w:p>
              </w:tc>
              <w:tc>
                <w:tcPr>
                  <w:tcW w:w="422" w:type="pct"/>
                  <w:shd w:val="clear" w:color="auto" w:fill="auto"/>
                  <w:noWrap w:val="0"/>
                  <w:vAlign w:val="center"/>
                </w:tcPr>
                <w:p w14:paraId="2A51929B">
                  <w:pPr>
                    <w:pStyle w:val="77"/>
                    <w:spacing w:line="240" w:lineRule="auto"/>
                    <w:ind w:firstLine="0" w:firstLineChars="0"/>
                    <w:rPr>
                      <w:rFonts w:hint="eastAsia" w:ascii="Times New Roman" w:hAnsi="Times New Roman" w:eastAsia="宋体" w:cs="Times New Roman"/>
                      <w:color w:val="auto"/>
                      <w:kern w:val="0"/>
                      <w:sz w:val="21"/>
                      <w:szCs w:val="21"/>
                      <w:lang w:val="en-US" w:eastAsia="zh-CN" w:bidi="ar"/>
                    </w:rPr>
                  </w:pPr>
                  <w:r>
                    <w:rPr>
                      <w:rFonts w:hint="eastAsia"/>
                      <w:color w:val="auto"/>
                      <w:sz w:val="21"/>
                      <w:szCs w:val="21"/>
                      <w:lang w:val="en-US" w:eastAsia="zh-CN" w:bidi="ar"/>
                    </w:rPr>
                    <w:t>接驳机</w:t>
                  </w:r>
                </w:p>
              </w:tc>
              <w:tc>
                <w:tcPr>
                  <w:tcW w:w="273" w:type="pct"/>
                  <w:shd w:val="clear" w:color="auto" w:fill="auto"/>
                  <w:noWrap w:val="0"/>
                  <w:vAlign w:val="center"/>
                </w:tcPr>
                <w:p w14:paraId="0862F67D">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
                    </w:rPr>
                  </w:pPr>
                  <w:r>
                    <w:rPr>
                      <w:rFonts w:hint="eastAsia"/>
                      <w:color w:val="auto"/>
                      <w:sz w:val="21"/>
                      <w:szCs w:val="21"/>
                      <w:lang w:val="en-US" w:eastAsia="zh-CN" w:bidi="ar"/>
                    </w:rPr>
                    <w:t>2</w:t>
                  </w:r>
                </w:p>
              </w:tc>
              <w:tc>
                <w:tcPr>
                  <w:tcW w:w="413" w:type="pct"/>
                  <w:shd w:val="clear" w:color="auto" w:fill="auto"/>
                  <w:noWrap w:val="0"/>
                  <w:vAlign w:val="center"/>
                </w:tcPr>
                <w:p w14:paraId="27889E1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70</w:t>
                  </w:r>
                </w:p>
              </w:tc>
              <w:tc>
                <w:tcPr>
                  <w:tcW w:w="473" w:type="pct"/>
                  <w:vMerge w:val="continue"/>
                  <w:noWrap w:val="0"/>
                  <w:vAlign w:val="center"/>
                </w:tcPr>
                <w:p w14:paraId="6A8063D2">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p>
              </w:tc>
              <w:tc>
                <w:tcPr>
                  <w:tcW w:w="385" w:type="pct"/>
                  <w:shd w:val="clear" w:color="auto" w:fill="auto"/>
                  <w:noWrap w:val="0"/>
                  <w:vAlign w:val="center"/>
                </w:tcPr>
                <w:p w14:paraId="124AF21C">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30</w:t>
                  </w:r>
                </w:p>
              </w:tc>
              <w:tc>
                <w:tcPr>
                  <w:tcW w:w="385" w:type="pct"/>
                  <w:shd w:val="clear" w:color="auto" w:fill="auto"/>
                  <w:noWrap w:val="0"/>
                  <w:vAlign w:val="center"/>
                </w:tcPr>
                <w:p w14:paraId="31BAC34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23～26</w:t>
                  </w:r>
                </w:p>
              </w:tc>
              <w:tc>
                <w:tcPr>
                  <w:tcW w:w="320" w:type="pct"/>
                  <w:shd w:val="clear" w:color="auto" w:fill="auto"/>
                  <w:noWrap w:val="0"/>
                  <w:vAlign w:val="center"/>
                </w:tcPr>
                <w:p w14:paraId="5CD6509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534" w:type="pct"/>
                  <w:shd w:val="clear" w:color="auto" w:fill="auto"/>
                  <w:noWrap w:val="0"/>
                  <w:vAlign w:val="center"/>
                </w:tcPr>
                <w:p w14:paraId="61F95F7F">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12</w:t>
                  </w:r>
                </w:p>
              </w:tc>
              <w:tc>
                <w:tcPr>
                  <w:tcW w:w="479" w:type="pct"/>
                  <w:shd w:val="clear" w:color="auto" w:fill="auto"/>
                  <w:noWrap w:val="0"/>
                  <w:vAlign w:val="center"/>
                </w:tcPr>
                <w:p w14:paraId="68052B8B">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48.4</w:t>
                  </w:r>
                </w:p>
              </w:tc>
              <w:tc>
                <w:tcPr>
                  <w:tcW w:w="479" w:type="pct"/>
                  <w:shd w:val="clear" w:color="auto" w:fill="auto"/>
                  <w:noWrap w:val="0"/>
                  <w:vAlign w:val="center"/>
                </w:tcPr>
                <w:p w14:paraId="285BF36C">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541" w:type="pct"/>
                  <w:shd w:val="clear" w:color="auto" w:fill="auto"/>
                  <w:noWrap w:val="0"/>
                  <w:vAlign w:val="center"/>
                </w:tcPr>
                <w:p w14:paraId="41AD266D">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33.4</w:t>
                  </w:r>
                </w:p>
              </w:tc>
            </w:tr>
            <w:tr w14:paraId="448CC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91" w:type="pct"/>
                  <w:shd w:val="clear" w:color="auto" w:fill="auto"/>
                  <w:noWrap w:val="0"/>
                  <w:vAlign w:val="center"/>
                </w:tcPr>
                <w:p w14:paraId="0E40A37D">
                  <w:pPr>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7</w:t>
                  </w:r>
                </w:p>
              </w:tc>
              <w:tc>
                <w:tcPr>
                  <w:tcW w:w="422" w:type="pct"/>
                  <w:shd w:val="clear" w:color="auto" w:fill="auto"/>
                  <w:noWrap w:val="0"/>
                  <w:vAlign w:val="center"/>
                </w:tcPr>
                <w:p w14:paraId="15A6D634">
                  <w:pPr>
                    <w:pStyle w:val="77"/>
                    <w:spacing w:line="240" w:lineRule="auto"/>
                    <w:ind w:firstLine="0" w:firstLineChars="0"/>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rPr>
                    <w:t>AOI检测机</w:t>
                  </w:r>
                </w:p>
              </w:tc>
              <w:tc>
                <w:tcPr>
                  <w:tcW w:w="273" w:type="pct"/>
                  <w:shd w:val="clear" w:color="auto" w:fill="auto"/>
                  <w:noWrap w:val="0"/>
                  <w:vAlign w:val="center"/>
                </w:tcPr>
                <w:p w14:paraId="682EF1F7">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bidi="ar"/>
                    </w:rPr>
                    <w:t>4</w:t>
                  </w:r>
                </w:p>
              </w:tc>
              <w:tc>
                <w:tcPr>
                  <w:tcW w:w="413" w:type="pct"/>
                  <w:shd w:val="clear" w:color="auto" w:fill="auto"/>
                  <w:noWrap w:val="0"/>
                  <w:vAlign w:val="center"/>
                </w:tcPr>
                <w:p w14:paraId="1471602F">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70</w:t>
                  </w:r>
                </w:p>
              </w:tc>
              <w:tc>
                <w:tcPr>
                  <w:tcW w:w="473" w:type="pct"/>
                  <w:vMerge w:val="continue"/>
                  <w:noWrap w:val="0"/>
                  <w:vAlign w:val="center"/>
                </w:tcPr>
                <w:p w14:paraId="12AEF93C">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p>
              </w:tc>
              <w:tc>
                <w:tcPr>
                  <w:tcW w:w="385" w:type="pct"/>
                  <w:shd w:val="clear" w:color="auto" w:fill="auto"/>
                  <w:noWrap w:val="0"/>
                  <w:vAlign w:val="center"/>
                </w:tcPr>
                <w:p w14:paraId="36769F6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32</w:t>
                  </w:r>
                </w:p>
              </w:tc>
              <w:tc>
                <w:tcPr>
                  <w:tcW w:w="385" w:type="pct"/>
                  <w:shd w:val="clear" w:color="auto" w:fill="auto"/>
                  <w:noWrap w:val="0"/>
                  <w:vAlign w:val="center"/>
                </w:tcPr>
                <w:p w14:paraId="07CD459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22～27</w:t>
                  </w:r>
                </w:p>
              </w:tc>
              <w:tc>
                <w:tcPr>
                  <w:tcW w:w="320" w:type="pct"/>
                  <w:shd w:val="clear" w:color="auto" w:fill="auto"/>
                  <w:noWrap w:val="0"/>
                  <w:vAlign w:val="center"/>
                </w:tcPr>
                <w:p w14:paraId="4540C47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534" w:type="pct"/>
                  <w:shd w:val="clear" w:color="auto" w:fill="auto"/>
                  <w:noWrap w:val="0"/>
                  <w:vAlign w:val="center"/>
                </w:tcPr>
                <w:p w14:paraId="2D22FE1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11</w:t>
                  </w:r>
                </w:p>
              </w:tc>
              <w:tc>
                <w:tcPr>
                  <w:tcW w:w="479" w:type="pct"/>
                  <w:shd w:val="clear" w:color="auto" w:fill="auto"/>
                  <w:noWrap w:val="0"/>
                  <w:vAlign w:val="center"/>
                </w:tcPr>
                <w:p w14:paraId="4AF8508F">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49.2</w:t>
                  </w:r>
                </w:p>
              </w:tc>
              <w:tc>
                <w:tcPr>
                  <w:tcW w:w="479" w:type="pct"/>
                  <w:shd w:val="clear" w:color="auto" w:fill="auto"/>
                  <w:noWrap w:val="0"/>
                  <w:vAlign w:val="center"/>
                </w:tcPr>
                <w:p w14:paraId="1A5E0263">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541" w:type="pct"/>
                  <w:shd w:val="clear" w:color="auto" w:fill="auto"/>
                  <w:noWrap w:val="0"/>
                  <w:vAlign w:val="center"/>
                </w:tcPr>
                <w:p w14:paraId="588ADFC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34.2</w:t>
                  </w:r>
                </w:p>
              </w:tc>
            </w:tr>
            <w:tr w14:paraId="0863C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91" w:type="pct"/>
                  <w:shd w:val="clear" w:color="auto" w:fill="auto"/>
                  <w:noWrap w:val="0"/>
                  <w:vAlign w:val="center"/>
                </w:tcPr>
                <w:p w14:paraId="3C41672A">
                  <w:pPr>
                    <w:jc w:val="center"/>
                    <w:rPr>
                      <w:rFonts w:hint="default"/>
                      <w:color w:val="auto"/>
                      <w:sz w:val="21"/>
                      <w:szCs w:val="21"/>
                      <w:lang w:val="en-US" w:eastAsia="zh-CN"/>
                    </w:rPr>
                  </w:pPr>
                  <w:r>
                    <w:rPr>
                      <w:rFonts w:hint="eastAsia"/>
                      <w:color w:val="auto"/>
                      <w:sz w:val="21"/>
                      <w:szCs w:val="21"/>
                      <w:lang w:val="en-US" w:eastAsia="zh-CN"/>
                    </w:rPr>
                    <w:t>8</w:t>
                  </w:r>
                </w:p>
              </w:tc>
              <w:tc>
                <w:tcPr>
                  <w:tcW w:w="422" w:type="pct"/>
                  <w:shd w:val="clear" w:color="auto" w:fill="auto"/>
                  <w:noWrap w:val="0"/>
                  <w:vAlign w:val="center"/>
                </w:tcPr>
                <w:p w14:paraId="280001FC">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rPr>
                    <w:t>压面罩机</w:t>
                  </w:r>
                </w:p>
              </w:tc>
              <w:tc>
                <w:tcPr>
                  <w:tcW w:w="273" w:type="pct"/>
                  <w:shd w:val="clear" w:color="auto" w:fill="auto"/>
                  <w:noWrap w:val="0"/>
                  <w:vAlign w:val="center"/>
                </w:tcPr>
                <w:p w14:paraId="6B11DDF4">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
                    </w:rPr>
                  </w:pPr>
                  <w:r>
                    <w:rPr>
                      <w:rFonts w:hint="eastAsia"/>
                      <w:color w:val="auto"/>
                      <w:sz w:val="21"/>
                      <w:szCs w:val="21"/>
                      <w:lang w:val="en-US" w:eastAsia="zh-CN" w:bidi="ar"/>
                    </w:rPr>
                    <w:t>2</w:t>
                  </w:r>
                </w:p>
              </w:tc>
              <w:tc>
                <w:tcPr>
                  <w:tcW w:w="413" w:type="pct"/>
                  <w:shd w:val="clear" w:color="auto" w:fill="auto"/>
                  <w:noWrap w:val="0"/>
                  <w:vAlign w:val="center"/>
                </w:tcPr>
                <w:p w14:paraId="0A6313FC">
                  <w:pPr>
                    <w:spacing w:line="240" w:lineRule="auto"/>
                    <w:jc w:val="center"/>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70</w:t>
                  </w:r>
                </w:p>
              </w:tc>
              <w:tc>
                <w:tcPr>
                  <w:tcW w:w="473" w:type="pct"/>
                  <w:vMerge w:val="continue"/>
                  <w:noWrap w:val="0"/>
                  <w:vAlign w:val="center"/>
                </w:tcPr>
                <w:p w14:paraId="7A5609BC">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p>
              </w:tc>
              <w:tc>
                <w:tcPr>
                  <w:tcW w:w="385" w:type="pct"/>
                  <w:shd w:val="clear" w:color="auto" w:fill="auto"/>
                  <w:noWrap w:val="0"/>
                  <w:vAlign w:val="center"/>
                </w:tcPr>
                <w:p w14:paraId="0610C6B9">
                  <w:pPr>
                    <w:spacing w:line="240" w:lineRule="auto"/>
                    <w:jc w:val="center"/>
                    <w:rPr>
                      <w:rFonts w:hint="default"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33</w:t>
                  </w:r>
                </w:p>
              </w:tc>
              <w:tc>
                <w:tcPr>
                  <w:tcW w:w="385" w:type="pct"/>
                  <w:shd w:val="clear" w:color="auto" w:fill="auto"/>
                  <w:noWrap w:val="0"/>
                  <w:vAlign w:val="center"/>
                </w:tcPr>
                <w:p w14:paraId="782E57A1">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23～26</w:t>
                  </w:r>
                </w:p>
              </w:tc>
              <w:tc>
                <w:tcPr>
                  <w:tcW w:w="320" w:type="pct"/>
                  <w:shd w:val="clear" w:color="auto" w:fill="auto"/>
                  <w:noWrap w:val="0"/>
                  <w:vAlign w:val="center"/>
                </w:tcPr>
                <w:p w14:paraId="62AA50EF">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534" w:type="pct"/>
                  <w:shd w:val="clear" w:color="auto" w:fill="auto"/>
                  <w:noWrap w:val="0"/>
                  <w:vAlign w:val="center"/>
                </w:tcPr>
                <w:p w14:paraId="4EB58AEB">
                  <w:pPr>
                    <w:spacing w:line="240" w:lineRule="auto"/>
                    <w:jc w:val="center"/>
                    <w:rPr>
                      <w:rFonts w:hint="default" w:cs="Times New Roman"/>
                      <w:b w:val="0"/>
                      <w:bCs/>
                      <w:color w:val="auto"/>
                      <w:sz w:val="21"/>
                      <w:szCs w:val="21"/>
                      <w:highlight w:val="none"/>
                      <w:vertAlign w:val="baseline"/>
                      <w:lang w:val="en-US" w:eastAsia="zh-CN"/>
                    </w:rPr>
                  </w:pPr>
                  <w:r>
                    <w:rPr>
                      <w:rFonts w:hint="eastAsia" w:cs="Times New Roman"/>
                      <w:b w:val="0"/>
                      <w:bCs/>
                      <w:color w:val="auto"/>
                      <w:kern w:val="2"/>
                      <w:sz w:val="21"/>
                      <w:szCs w:val="21"/>
                      <w:highlight w:val="none"/>
                      <w:vertAlign w:val="baseline"/>
                      <w:lang w:val="en-US" w:eastAsia="zh-CN" w:bidi="ar-SA"/>
                    </w:rPr>
                    <w:t>13</w:t>
                  </w:r>
                </w:p>
              </w:tc>
              <w:tc>
                <w:tcPr>
                  <w:tcW w:w="479" w:type="pct"/>
                  <w:shd w:val="clear" w:color="auto" w:fill="auto"/>
                  <w:noWrap w:val="0"/>
                  <w:vAlign w:val="center"/>
                </w:tcPr>
                <w:p w14:paraId="4130B1F4">
                  <w:pPr>
                    <w:spacing w:line="240" w:lineRule="auto"/>
                    <w:jc w:val="center"/>
                    <w:rPr>
                      <w:rFonts w:hint="eastAsia"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47.7</w:t>
                  </w:r>
                </w:p>
              </w:tc>
              <w:tc>
                <w:tcPr>
                  <w:tcW w:w="479" w:type="pct"/>
                  <w:shd w:val="clear" w:color="auto" w:fill="auto"/>
                  <w:noWrap w:val="0"/>
                  <w:vAlign w:val="center"/>
                </w:tcPr>
                <w:p w14:paraId="7BC0DC32">
                  <w:pPr>
                    <w:spacing w:line="240" w:lineRule="auto"/>
                    <w:jc w:val="center"/>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15</w:t>
                  </w:r>
                </w:p>
              </w:tc>
              <w:tc>
                <w:tcPr>
                  <w:tcW w:w="541" w:type="pct"/>
                  <w:shd w:val="clear" w:color="auto" w:fill="auto"/>
                  <w:noWrap w:val="0"/>
                  <w:vAlign w:val="center"/>
                </w:tcPr>
                <w:p w14:paraId="1D6DC501">
                  <w:pPr>
                    <w:spacing w:line="240" w:lineRule="auto"/>
                    <w:jc w:val="center"/>
                    <w:rPr>
                      <w:rFonts w:hint="default"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32.7</w:t>
                  </w:r>
                </w:p>
              </w:tc>
            </w:tr>
            <w:tr w14:paraId="6CD6C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291" w:type="pct"/>
                  <w:shd w:val="clear" w:color="auto" w:fill="auto"/>
                  <w:noWrap w:val="0"/>
                  <w:vAlign w:val="center"/>
                </w:tcPr>
                <w:p w14:paraId="78DBE468">
                  <w:pPr>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9</w:t>
                  </w:r>
                </w:p>
              </w:tc>
              <w:tc>
                <w:tcPr>
                  <w:tcW w:w="422" w:type="pct"/>
                  <w:shd w:val="clear" w:color="auto" w:fill="auto"/>
                  <w:noWrap w:val="0"/>
                  <w:vAlign w:val="center"/>
                </w:tcPr>
                <w:p w14:paraId="1A825D10">
                  <w:pPr>
                    <w:pStyle w:val="77"/>
                    <w:spacing w:line="240" w:lineRule="auto"/>
                    <w:ind w:firstLine="0" w:firstLineChars="0"/>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rPr>
                    <w:t>打螺丝机</w:t>
                  </w:r>
                </w:p>
              </w:tc>
              <w:tc>
                <w:tcPr>
                  <w:tcW w:w="273" w:type="pct"/>
                  <w:shd w:val="clear" w:color="auto" w:fill="auto"/>
                  <w:noWrap w:val="0"/>
                  <w:vAlign w:val="center"/>
                </w:tcPr>
                <w:p w14:paraId="5072426E">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
                    </w:rPr>
                  </w:pPr>
                  <w:r>
                    <w:rPr>
                      <w:rFonts w:hint="eastAsia"/>
                      <w:color w:val="auto"/>
                      <w:sz w:val="21"/>
                      <w:szCs w:val="21"/>
                      <w:lang w:val="en-US" w:eastAsia="zh-CN" w:bidi="ar"/>
                    </w:rPr>
                    <w:t>4</w:t>
                  </w:r>
                </w:p>
              </w:tc>
              <w:tc>
                <w:tcPr>
                  <w:tcW w:w="413" w:type="pct"/>
                  <w:shd w:val="clear" w:color="auto" w:fill="auto"/>
                  <w:noWrap w:val="0"/>
                  <w:vAlign w:val="center"/>
                </w:tcPr>
                <w:p w14:paraId="642B55D0">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80</w:t>
                  </w:r>
                </w:p>
              </w:tc>
              <w:tc>
                <w:tcPr>
                  <w:tcW w:w="473" w:type="pct"/>
                  <w:vMerge w:val="continue"/>
                  <w:shd w:val="clear" w:color="auto" w:fill="auto"/>
                  <w:noWrap w:val="0"/>
                  <w:vAlign w:val="center"/>
                </w:tcPr>
                <w:p w14:paraId="023C71CB">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385" w:type="pct"/>
                  <w:shd w:val="clear" w:color="auto" w:fill="auto"/>
                  <w:noWrap w:val="0"/>
                  <w:vAlign w:val="center"/>
                </w:tcPr>
                <w:p w14:paraId="6F824AC6">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34</w:t>
                  </w:r>
                </w:p>
              </w:tc>
              <w:tc>
                <w:tcPr>
                  <w:tcW w:w="385" w:type="pct"/>
                  <w:shd w:val="clear" w:color="auto" w:fill="auto"/>
                  <w:noWrap w:val="0"/>
                  <w:vAlign w:val="center"/>
                </w:tcPr>
                <w:p w14:paraId="16DD205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22～27</w:t>
                  </w:r>
                </w:p>
              </w:tc>
              <w:tc>
                <w:tcPr>
                  <w:tcW w:w="320" w:type="pct"/>
                  <w:shd w:val="clear" w:color="auto" w:fill="auto"/>
                  <w:noWrap w:val="0"/>
                  <w:vAlign w:val="center"/>
                </w:tcPr>
                <w:p w14:paraId="694CCACE">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534" w:type="pct"/>
                  <w:shd w:val="clear" w:color="auto" w:fill="auto"/>
                  <w:noWrap w:val="0"/>
                  <w:vAlign w:val="center"/>
                </w:tcPr>
                <w:p w14:paraId="1AC2603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11</w:t>
                  </w:r>
                </w:p>
              </w:tc>
              <w:tc>
                <w:tcPr>
                  <w:tcW w:w="479" w:type="pct"/>
                  <w:shd w:val="clear" w:color="auto" w:fill="auto"/>
                  <w:noWrap w:val="0"/>
                  <w:vAlign w:val="center"/>
                </w:tcPr>
                <w:p w14:paraId="6F358268">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59.2</w:t>
                  </w:r>
                </w:p>
              </w:tc>
              <w:tc>
                <w:tcPr>
                  <w:tcW w:w="479" w:type="pct"/>
                  <w:shd w:val="clear" w:color="auto" w:fill="auto"/>
                  <w:noWrap w:val="0"/>
                  <w:vAlign w:val="center"/>
                </w:tcPr>
                <w:p w14:paraId="1231B0FA">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541" w:type="pct"/>
                  <w:shd w:val="clear" w:color="auto" w:fill="auto"/>
                  <w:noWrap w:val="0"/>
                  <w:vAlign w:val="center"/>
                </w:tcPr>
                <w:p w14:paraId="57267547">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44.2</w:t>
                  </w:r>
                </w:p>
              </w:tc>
            </w:tr>
            <w:tr w14:paraId="7CB92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91" w:type="pct"/>
                  <w:shd w:val="clear" w:color="auto" w:fill="auto"/>
                  <w:noWrap w:val="0"/>
                  <w:vAlign w:val="center"/>
                </w:tcPr>
                <w:p w14:paraId="7E6CE39A">
                  <w:pPr>
                    <w:jc w:val="center"/>
                    <w:rPr>
                      <w:rFonts w:hint="default"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11</w:t>
                  </w:r>
                </w:p>
              </w:tc>
              <w:tc>
                <w:tcPr>
                  <w:tcW w:w="422" w:type="pct"/>
                  <w:shd w:val="clear" w:color="auto" w:fill="auto"/>
                  <w:noWrap w:val="0"/>
                  <w:vAlign w:val="center"/>
                </w:tcPr>
                <w:p w14:paraId="72B0E90D">
                  <w:pPr>
                    <w:pStyle w:val="77"/>
                    <w:spacing w:line="240" w:lineRule="auto"/>
                    <w:ind w:firstLine="0" w:firstLineChars="0"/>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rPr>
                    <w:t>包装机</w:t>
                  </w:r>
                </w:p>
              </w:tc>
              <w:tc>
                <w:tcPr>
                  <w:tcW w:w="273" w:type="pct"/>
                  <w:shd w:val="clear" w:color="auto" w:fill="auto"/>
                  <w:noWrap w:val="0"/>
                  <w:vAlign w:val="center"/>
                </w:tcPr>
                <w:p w14:paraId="584845F7">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
                    </w:rPr>
                  </w:pPr>
                  <w:r>
                    <w:rPr>
                      <w:rFonts w:hint="eastAsia"/>
                      <w:color w:val="auto"/>
                      <w:sz w:val="21"/>
                      <w:szCs w:val="21"/>
                      <w:lang w:val="en-US" w:eastAsia="zh-CN" w:bidi="ar"/>
                    </w:rPr>
                    <w:t>2</w:t>
                  </w:r>
                </w:p>
              </w:tc>
              <w:tc>
                <w:tcPr>
                  <w:tcW w:w="413" w:type="pct"/>
                  <w:shd w:val="clear" w:color="auto" w:fill="auto"/>
                  <w:noWrap w:val="0"/>
                  <w:vAlign w:val="center"/>
                </w:tcPr>
                <w:p w14:paraId="071C1756">
                  <w:pPr>
                    <w:spacing w:line="240" w:lineRule="auto"/>
                    <w:jc w:val="center"/>
                    <w:rPr>
                      <w:rFonts w:hint="default"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70</w:t>
                  </w:r>
                </w:p>
              </w:tc>
              <w:tc>
                <w:tcPr>
                  <w:tcW w:w="473" w:type="pct"/>
                  <w:vMerge w:val="continue"/>
                  <w:shd w:val="clear" w:color="auto" w:fill="auto"/>
                  <w:noWrap w:val="0"/>
                  <w:vAlign w:val="center"/>
                </w:tcPr>
                <w:p w14:paraId="7E5F405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385" w:type="pct"/>
                  <w:shd w:val="clear" w:color="auto" w:fill="auto"/>
                  <w:noWrap w:val="0"/>
                  <w:vAlign w:val="center"/>
                </w:tcPr>
                <w:p w14:paraId="24F71386">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46～48</w:t>
                  </w:r>
                </w:p>
              </w:tc>
              <w:tc>
                <w:tcPr>
                  <w:tcW w:w="385" w:type="pct"/>
                  <w:shd w:val="clear" w:color="auto" w:fill="auto"/>
                  <w:noWrap w:val="0"/>
                  <w:vAlign w:val="center"/>
                </w:tcPr>
                <w:p w14:paraId="5532717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26</w:t>
                  </w:r>
                </w:p>
              </w:tc>
              <w:tc>
                <w:tcPr>
                  <w:tcW w:w="320" w:type="pct"/>
                  <w:shd w:val="clear" w:color="auto" w:fill="auto"/>
                  <w:noWrap w:val="0"/>
                  <w:vAlign w:val="center"/>
                </w:tcPr>
                <w:p w14:paraId="67E1CACE">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534" w:type="pct"/>
                  <w:shd w:val="clear" w:color="auto" w:fill="auto"/>
                  <w:noWrap w:val="0"/>
                  <w:vAlign w:val="center"/>
                </w:tcPr>
                <w:p w14:paraId="4A8135C0">
                  <w:pPr>
                    <w:spacing w:line="240" w:lineRule="auto"/>
                    <w:jc w:val="center"/>
                    <w:rPr>
                      <w:rFonts w:hint="default" w:cs="Times New Roman"/>
                      <w:b w:val="0"/>
                      <w:bCs/>
                      <w:color w:val="auto"/>
                      <w:sz w:val="21"/>
                      <w:szCs w:val="21"/>
                      <w:highlight w:val="none"/>
                      <w:vertAlign w:val="baseline"/>
                      <w:lang w:val="en-US" w:eastAsia="zh-CN"/>
                    </w:rPr>
                  </w:pPr>
                  <w:r>
                    <w:rPr>
                      <w:rFonts w:hint="eastAsia" w:cs="Times New Roman"/>
                      <w:b w:val="0"/>
                      <w:bCs/>
                      <w:color w:val="auto"/>
                      <w:kern w:val="2"/>
                      <w:sz w:val="21"/>
                      <w:szCs w:val="21"/>
                      <w:highlight w:val="none"/>
                      <w:vertAlign w:val="baseline"/>
                      <w:lang w:val="en-US" w:eastAsia="zh-CN" w:bidi="ar-SA"/>
                    </w:rPr>
                    <w:t>13</w:t>
                  </w:r>
                </w:p>
              </w:tc>
              <w:tc>
                <w:tcPr>
                  <w:tcW w:w="479" w:type="pct"/>
                  <w:shd w:val="clear" w:color="auto" w:fill="auto"/>
                  <w:noWrap w:val="0"/>
                  <w:vAlign w:val="center"/>
                </w:tcPr>
                <w:p w14:paraId="5AD8628D">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47.7</w:t>
                  </w:r>
                </w:p>
              </w:tc>
              <w:tc>
                <w:tcPr>
                  <w:tcW w:w="479" w:type="pct"/>
                  <w:shd w:val="clear" w:color="auto" w:fill="auto"/>
                  <w:noWrap w:val="0"/>
                  <w:vAlign w:val="center"/>
                </w:tcPr>
                <w:p w14:paraId="056AA04B">
                  <w:pPr>
                    <w:spacing w:line="240" w:lineRule="auto"/>
                    <w:jc w:val="center"/>
                    <w:rPr>
                      <w:rFonts w:hint="eastAsia" w:cs="Times New Roman"/>
                      <w:b w:val="0"/>
                      <w:bCs/>
                      <w:color w:val="auto"/>
                      <w:sz w:val="21"/>
                      <w:szCs w:val="21"/>
                      <w:highlight w:val="none"/>
                      <w:vertAlign w:val="baseline"/>
                      <w:lang w:val="en-US" w:eastAsia="zh-CN"/>
                    </w:rPr>
                  </w:pPr>
                  <w:r>
                    <w:rPr>
                      <w:rFonts w:hint="eastAsia" w:cs="Times New Roman"/>
                      <w:b w:val="0"/>
                      <w:bCs/>
                      <w:color w:val="auto"/>
                      <w:sz w:val="21"/>
                      <w:szCs w:val="21"/>
                      <w:highlight w:val="none"/>
                      <w:vertAlign w:val="baseline"/>
                      <w:lang w:val="en-US" w:eastAsia="zh-CN"/>
                    </w:rPr>
                    <w:t>15</w:t>
                  </w:r>
                </w:p>
              </w:tc>
              <w:tc>
                <w:tcPr>
                  <w:tcW w:w="541" w:type="pct"/>
                  <w:shd w:val="clear" w:color="auto" w:fill="auto"/>
                  <w:noWrap w:val="0"/>
                  <w:vAlign w:val="center"/>
                </w:tcPr>
                <w:p w14:paraId="3428FD44">
                  <w:pPr>
                    <w:spacing w:line="240" w:lineRule="auto"/>
                    <w:jc w:val="center"/>
                    <w:rPr>
                      <w:rFonts w:hint="default"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32.7</w:t>
                  </w:r>
                </w:p>
              </w:tc>
            </w:tr>
            <w:tr w14:paraId="3F643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000" w:type="pct"/>
                  <w:gridSpan w:val="12"/>
                  <w:shd w:val="clear" w:color="auto" w:fill="auto"/>
                  <w:noWrap w:val="0"/>
                  <w:vAlign w:val="center"/>
                </w:tcPr>
                <w:p w14:paraId="0013C90D">
                  <w:pPr>
                    <w:spacing w:line="240" w:lineRule="auto"/>
                    <w:jc w:val="both"/>
                    <w:rPr>
                      <w:rFonts w:hint="default" w:cs="Times New Roman"/>
                      <w:b w:val="0"/>
                      <w:bCs/>
                      <w:color w:val="auto"/>
                      <w:kern w:val="2"/>
                      <w:sz w:val="21"/>
                      <w:szCs w:val="21"/>
                      <w:highlight w:val="none"/>
                      <w:vertAlign w:val="baseline"/>
                      <w:lang w:val="en-US" w:eastAsia="zh-CN" w:bidi="ar-SA"/>
                    </w:rPr>
                  </w:pPr>
                  <w:r>
                    <w:rPr>
                      <w:rFonts w:hint="eastAsia" w:cs="Times New Roman"/>
                      <w:b/>
                      <w:bCs w:val="0"/>
                      <w:color w:val="auto"/>
                      <w:kern w:val="2"/>
                      <w:sz w:val="21"/>
                      <w:szCs w:val="21"/>
                      <w:highlight w:val="none"/>
                      <w:vertAlign w:val="baseline"/>
                      <w:lang w:val="en-US" w:eastAsia="zh-CN" w:bidi="ar-SA"/>
                    </w:rPr>
                    <w:t>二、COB灯带</w:t>
                  </w:r>
                </w:p>
              </w:tc>
            </w:tr>
            <w:tr w14:paraId="67140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91" w:type="pct"/>
                  <w:shd w:val="clear" w:color="auto" w:fill="auto"/>
                  <w:noWrap w:val="0"/>
                  <w:vAlign w:val="center"/>
                </w:tcPr>
                <w:p w14:paraId="540CDE87">
                  <w:pPr>
                    <w:jc w:val="center"/>
                    <w:rPr>
                      <w:rFonts w:hint="default"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1</w:t>
                  </w:r>
                </w:p>
              </w:tc>
              <w:tc>
                <w:tcPr>
                  <w:tcW w:w="422" w:type="pct"/>
                  <w:shd w:val="clear" w:color="auto" w:fill="auto"/>
                  <w:noWrap w:val="0"/>
                  <w:vAlign w:val="center"/>
                </w:tcPr>
                <w:p w14:paraId="5BD4DBF9">
                  <w:pPr>
                    <w:pStyle w:val="77"/>
                    <w:spacing w:line="240" w:lineRule="auto"/>
                    <w:ind w:firstLine="0" w:firstLineChars="0"/>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bidi="ar"/>
                    </w:rPr>
                    <w:t>固晶机</w:t>
                  </w:r>
                </w:p>
              </w:tc>
              <w:tc>
                <w:tcPr>
                  <w:tcW w:w="273" w:type="pct"/>
                  <w:shd w:val="clear" w:color="auto" w:fill="auto"/>
                  <w:noWrap w:val="0"/>
                  <w:vAlign w:val="center"/>
                </w:tcPr>
                <w:p w14:paraId="5AFC1701">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bidi="ar"/>
                    </w:rPr>
                    <w:t>20</w:t>
                  </w:r>
                </w:p>
              </w:tc>
              <w:tc>
                <w:tcPr>
                  <w:tcW w:w="413" w:type="pct"/>
                  <w:shd w:val="clear" w:color="auto" w:fill="auto"/>
                  <w:noWrap w:val="0"/>
                  <w:vAlign w:val="center"/>
                </w:tcPr>
                <w:p w14:paraId="23EA9BEC">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75</w:t>
                  </w:r>
                </w:p>
              </w:tc>
              <w:tc>
                <w:tcPr>
                  <w:tcW w:w="473" w:type="pct"/>
                  <w:vMerge w:val="restart"/>
                  <w:shd w:val="clear" w:color="auto" w:fill="auto"/>
                  <w:noWrap w:val="0"/>
                  <w:vAlign w:val="center"/>
                </w:tcPr>
                <w:p w14:paraId="0849812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default" w:ascii="Times New Roman" w:hAnsi="Times New Roman" w:eastAsia="宋体" w:cs="Times New Roman"/>
                      <w:color w:val="auto"/>
                      <w:sz w:val="21"/>
                      <w:szCs w:val="21"/>
                      <w:highlight w:val="none"/>
                      <w:lang w:val="en-US" w:eastAsia="zh-CN"/>
                    </w:rPr>
                    <w:t>合理布置设备位置、设备减振、消声</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厂房隔声</w:t>
                  </w:r>
                </w:p>
              </w:tc>
              <w:tc>
                <w:tcPr>
                  <w:tcW w:w="385" w:type="pct"/>
                  <w:shd w:val="clear" w:color="auto" w:fill="auto"/>
                  <w:noWrap w:val="0"/>
                  <w:vAlign w:val="center"/>
                </w:tcPr>
                <w:p w14:paraId="559C9BB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15～27</w:t>
                  </w:r>
                </w:p>
              </w:tc>
              <w:tc>
                <w:tcPr>
                  <w:tcW w:w="385" w:type="pct"/>
                  <w:shd w:val="clear" w:color="auto" w:fill="auto"/>
                  <w:noWrap w:val="0"/>
                  <w:vAlign w:val="center"/>
                </w:tcPr>
                <w:p w14:paraId="2B430CC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41～43</w:t>
                  </w:r>
                </w:p>
              </w:tc>
              <w:tc>
                <w:tcPr>
                  <w:tcW w:w="320" w:type="pct"/>
                  <w:shd w:val="clear" w:color="auto" w:fill="auto"/>
                  <w:noWrap w:val="0"/>
                  <w:vAlign w:val="center"/>
                </w:tcPr>
                <w:p w14:paraId="6ED78E5E">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534" w:type="pct"/>
                  <w:shd w:val="clear" w:color="auto" w:fill="auto"/>
                  <w:noWrap w:val="0"/>
                  <w:vAlign w:val="center"/>
                </w:tcPr>
                <w:p w14:paraId="605F6919">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12</w:t>
                  </w:r>
                </w:p>
              </w:tc>
              <w:tc>
                <w:tcPr>
                  <w:tcW w:w="479" w:type="pct"/>
                  <w:shd w:val="clear" w:color="auto" w:fill="auto"/>
                  <w:noWrap w:val="0"/>
                  <w:vAlign w:val="center"/>
                </w:tcPr>
                <w:p w14:paraId="20996BC1">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53.4</w:t>
                  </w:r>
                </w:p>
              </w:tc>
              <w:tc>
                <w:tcPr>
                  <w:tcW w:w="479" w:type="pct"/>
                  <w:shd w:val="clear" w:color="auto" w:fill="auto"/>
                  <w:noWrap w:val="0"/>
                  <w:vAlign w:val="center"/>
                </w:tcPr>
                <w:p w14:paraId="0B123BD4">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541" w:type="pct"/>
                  <w:shd w:val="clear" w:color="auto" w:fill="auto"/>
                  <w:noWrap w:val="0"/>
                  <w:vAlign w:val="center"/>
                </w:tcPr>
                <w:p w14:paraId="47A485BF">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38.4</w:t>
                  </w:r>
                </w:p>
              </w:tc>
            </w:tr>
            <w:tr w14:paraId="40C10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291" w:type="pct"/>
                  <w:shd w:val="clear" w:color="auto" w:fill="auto"/>
                  <w:noWrap w:val="0"/>
                  <w:vAlign w:val="center"/>
                </w:tcPr>
                <w:p w14:paraId="2436E0E3">
                  <w:pPr>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2</w:t>
                  </w:r>
                </w:p>
              </w:tc>
              <w:tc>
                <w:tcPr>
                  <w:tcW w:w="422" w:type="pct"/>
                  <w:shd w:val="clear" w:color="auto" w:fill="auto"/>
                  <w:noWrap w:val="0"/>
                  <w:vAlign w:val="center"/>
                </w:tcPr>
                <w:p w14:paraId="24BC7179">
                  <w:pPr>
                    <w:pStyle w:val="77"/>
                    <w:spacing w:line="240" w:lineRule="auto"/>
                    <w:ind w:firstLine="0" w:firstLineChars="0"/>
                    <w:rPr>
                      <w:rFonts w:hint="eastAsia" w:ascii="Times New Roman" w:hAnsi="Times New Roman" w:eastAsia="宋体" w:cs="Times New Roman"/>
                      <w:color w:val="auto"/>
                      <w:kern w:val="0"/>
                      <w:sz w:val="21"/>
                      <w:szCs w:val="21"/>
                      <w:lang w:val="en-US" w:eastAsia="zh-CN" w:bidi="ar"/>
                    </w:rPr>
                  </w:pPr>
                  <w:r>
                    <w:rPr>
                      <w:rFonts w:hint="eastAsia"/>
                      <w:color w:val="auto"/>
                      <w:sz w:val="21"/>
                      <w:szCs w:val="21"/>
                      <w:lang w:val="en-US" w:eastAsia="zh-CN" w:bidi="ar"/>
                    </w:rPr>
                    <w:t>回流焊机</w:t>
                  </w:r>
                </w:p>
              </w:tc>
              <w:tc>
                <w:tcPr>
                  <w:tcW w:w="273" w:type="pct"/>
                  <w:shd w:val="clear" w:color="auto" w:fill="auto"/>
                  <w:noWrap w:val="0"/>
                  <w:vAlign w:val="center"/>
                </w:tcPr>
                <w:p w14:paraId="4BAE1F26">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
                    </w:rPr>
                  </w:pPr>
                  <w:r>
                    <w:rPr>
                      <w:rFonts w:hint="eastAsia"/>
                      <w:color w:val="auto"/>
                      <w:sz w:val="21"/>
                      <w:szCs w:val="21"/>
                      <w:lang w:val="en-US" w:eastAsia="zh-CN" w:bidi="ar"/>
                    </w:rPr>
                    <w:t>20</w:t>
                  </w:r>
                </w:p>
              </w:tc>
              <w:tc>
                <w:tcPr>
                  <w:tcW w:w="413" w:type="pct"/>
                  <w:shd w:val="clear" w:color="auto" w:fill="auto"/>
                  <w:noWrap w:val="0"/>
                  <w:vAlign w:val="center"/>
                </w:tcPr>
                <w:p w14:paraId="34E9F0C6">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75</w:t>
                  </w:r>
                </w:p>
              </w:tc>
              <w:tc>
                <w:tcPr>
                  <w:tcW w:w="473" w:type="pct"/>
                  <w:vMerge w:val="continue"/>
                  <w:shd w:val="clear" w:color="auto" w:fill="auto"/>
                  <w:noWrap w:val="0"/>
                  <w:vAlign w:val="center"/>
                </w:tcPr>
                <w:p w14:paraId="2BEB604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385" w:type="pct"/>
                  <w:shd w:val="clear" w:color="auto" w:fill="auto"/>
                  <w:noWrap w:val="0"/>
                  <w:vAlign w:val="center"/>
                </w:tcPr>
                <w:p w14:paraId="3E4C54FE">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15～42</w:t>
                  </w:r>
                </w:p>
              </w:tc>
              <w:tc>
                <w:tcPr>
                  <w:tcW w:w="385" w:type="pct"/>
                  <w:shd w:val="clear" w:color="auto" w:fill="auto"/>
                  <w:noWrap w:val="0"/>
                  <w:vAlign w:val="center"/>
                </w:tcPr>
                <w:p w14:paraId="70ADB13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37～47</w:t>
                  </w:r>
                </w:p>
              </w:tc>
              <w:tc>
                <w:tcPr>
                  <w:tcW w:w="320" w:type="pct"/>
                  <w:shd w:val="clear" w:color="auto" w:fill="auto"/>
                  <w:noWrap w:val="0"/>
                  <w:vAlign w:val="center"/>
                </w:tcPr>
                <w:p w14:paraId="28242161">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534" w:type="pct"/>
                  <w:shd w:val="clear" w:color="auto" w:fill="auto"/>
                  <w:noWrap w:val="0"/>
                  <w:vAlign w:val="center"/>
                </w:tcPr>
                <w:p w14:paraId="0A1E4DAF">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17</w:t>
                  </w:r>
                </w:p>
              </w:tc>
              <w:tc>
                <w:tcPr>
                  <w:tcW w:w="479" w:type="pct"/>
                  <w:shd w:val="clear" w:color="auto" w:fill="auto"/>
                  <w:noWrap w:val="0"/>
                  <w:vAlign w:val="center"/>
                </w:tcPr>
                <w:p w14:paraId="2C04FF1F">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50.4</w:t>
                  </w:r>
                </w:p>
              </w:tc>
              <w:tc>
                <w:tcPr>
                  <w:tcW w:w="479" w:type="pct"/>
                  <w:shd w:val="clear" w:color="auto" w:fill="auto"/>
                  <w:noWrap w:val="0"/>
                  <w:vAlign w:val="center"/>
                </w:tcPr>
                <w:p w14:paraId="57E2276F">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15</w:t>
                  </w:r>
                </w:p>
              </w:tc>
              <w:tc>
                <w:tcPr>
                  <w:tcW w:w="541" w:type="pct"/>
                  <w:shd w:val="clear" w:color="auto" w:fill="auto"/>
                  <w:noWrap w:val="0"/>
                  <w:vAlign w:val="center"/>
                </w:tcPr>
                <w:p w14:paraId="76F2819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35.5</w:t>
                  </w:r>
                </w:p>
              </w:tc>
            </w:tr>
            <w:tr w14:paraId="4257B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79" w:type="dxa"/>
                  <w:vAlign w:val="center"/>
                </w:tcPr>
                <w:p w14:paraId="7FAAEF0F">
                  <w:pPr>
                    <w:jc w:val="center"/>
                    <w:rPr>
                      <w:rFonts w:hint="default" w:ascii="Times New Roman" w:hAnsi="Times New Roman"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bidi="ar-SA"/>
                    </w:rPr>
                    <w:t>3</w:t>
                  </w:r>
                </w:p>
              </w:tc>
              <w:tc>
                <w:tcPr>
                  <w:tcW w:w="695" w:type="dxa"/>
                  <w:shd w:val="clear" w:color="auto" w:fill="auto"/>
                  <w:vAlign w:val="center"/>
                </w:tcPr>
                <w:p w14:paraId="3B90971F">
                  <w:pPr>
                    <w:pStyle w:val="77"/>
                    <w:spacing w:line="240" w:lineRule="auto"/>
                    <w:ind w:firstLine="0" w:firstLineChars="0"/>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rPr>
                    <w:t>AOI检测机</w:t>
                  </w:r>
                </w:p>
              </w:tc>
              <w:tc>
                <w:tcPr>
                  <w:tcW w:w="449" w:type="dxa"/>
                  <w:shd w:val="clear" w:color="auto" w:fill="auto"/>
                  <w:vAlign w:val="center"/>
                </w:tcPr>
                <w:p w14:paraId="59622948">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
                    </w:rPr>
                  </w:pPr>
                  <w:r>
                    <w:rPr>
                      <w:rFonts w:hint="eastAsia"/>
                      <w:color w:val="auto"/>
                      <w:sz w:val="21"/>
                      <w:szCs w:val="21"/>
                      <w:lang w:val="en-US" w:eastAsia="zh-CN" w:bidi="ar"/>
                    </w:rPr>
                    <w:t>20</w:t>
                  </w:r>
                </w:p>
              </w:tc>
              <w:tc>
                <w:tcPr>
                  <w:tcW w:w="681" w:type="dxa"/>
                  <w:vAlign w:val="center"/>
                </w:tcPr>
                <w:p w14:paraId="5F7A927E">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70</w:t>
                  </w:r>
                </w:p>
              </w:tc>
              <w:tc>
                <w:tcPr>
                  <w:tcW w:w="473" w:type="pct"/>
                  <w:vMerge w:val="continue"/>
                  <w:vAlign w:val="center"/>
                </w:tcPr>
                <w:p w14:paraId="69050AD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385" w:type="pct"/>
                  <w:vAlign w:val="center"/>
                </w:tcPr>
                <w:p w14:paraId="7CE4312F">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12～13</w:t>
                  </w:r>
                </w:p>
              </w:tc>
              <w:tc>
                <w:tcPr>
                  <w:tcW w:w="385" w:type="pct"/>
                  <w:vAlign w:val="center"/>
                </w:tcPr>
                <w:p w14:paraId="54D5E50C">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34～39</w:t>
                  </w:r>
                </w:p>
              </w:tc>
              <w:tc>
                <w:tcPr>
                  <w:tcW w:w="529" w:type="dxa"/>
                  <w:vAlign w:val="center"/>
                </w:tcPr>
                <w:p w14:paraId="79267E91">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880" w:type="dxa"/>
                  <w:vAlign w:val="center"/>
                </w:tcPr>
                <w:p w14:paraId="134140A6">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16</w:t>
                  </w:r>
                </w:p>
              </w:tc>
              <w:tc>
                <w:tcPr>
                  <w:tcW w:w="790" w:type="dxa"/>
                  <w:shd w:val="clear" w:color="auto" w:fill="auto"/>
                  <w:vAlign w:val="center"/>
                </w:tcPr>
                <w:p w14:paraId="71E04A26">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45.9</w:t>
                  </w:r>
                </w:p>
              </w:tc>
              <w:tc>
                <w:tcPr>
                  <w:tcW w:w="790" w:type="dxa"/>
                  <w:vAlign w:val="center"/>
                </w:tcPr>
                <w:p w14:paraId="6C1BBFB7">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15</w:t>
                  </w:r>
                </w:p>
              </w:tc>
              <w:tc>
                <w:tcPr>
                  <w:tcW w:w="898" w:type="dxa"/>
                  <w:vAlign w:val="center"/>
                </w:tcPr>
                <w:p w14:paraId="7D1242EE">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30.9</w:t>
                  </w:r>
                </w:p>
              </w:tc>
            </w:tr>
            <w:tr w14:paraId="1FC95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79" w:type="dxa"/>
                  <w:vAlign w:val="center"/>
                </w:tcPr>
                <w:p w14:paraId="6724DEDF">
                  <w:pPr>
                    <w:jc w:val="center"/>
                    <w:rPr>
                      <w:rFonts w:hint="default" w:ascii="Times New Roman" w:hAnsi="Times New Roman"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bidi="ar-SA"/>
                    </w:rPr>
                    <w:t>4</w:t>
                  </w:r>
                </w:p>
              </w:tc>
              <w:tc>
                <w:tcPr>
                  <w:tcW w:w="695" w:type="dxa"/>
                  <w:shd w:val="clear" w:color="auto" w:fill="auto"/>
                  <w:vAlign w:val="center"/>
                </w:tcPr>
                <w:p w14:paraId="3D830598">
                  <w:pPr>
                    <w:pStyle w:val="77"/>
                    <w:spacing w:line="240" w:lineRule="auto"/>
                    <w:ind w:firstLine="0" w:firstLineChars="0"/>
                    <w:rPr>
                      <w:rFonts w:hint="eastAsia" w:ascii="Times New Roman" w:hAnsi="Times New Roman" w:eastAsia="宋体" w:cs="Times New Roman"/>
                      <w:color w:val="auto"/>
                      <w:kern w:val="0"/>
                      <w:sz w:val="21"/>
                      <w:szCs w:val="21"/>
                      <w:lang w:val="en-US" w:eastAsia="zh-CN" w:bidi="ar"/>
                    </w:rPr>
                  </w:pPr>
                  <w:r>
                    <w:rPr>
                      <w:rFonts w:hint="eastAsia"/>
                      <w:color w:val="auto"/>
                      <w:sz w:val="21"/>
                      <w:szCs w:val="21"/>
                      <w:lang w:val="en-US" w:eastAsia="zh-CN" w:bidi="ar"/>
                    </w:rPr>
                    <w:t>搅拌机</w:t>
                  </w:r>
                </w:p>
              </w:tc>
              <w:tc>
                <w:tcPr>
                  <w:tcW w:w="449" w:type="dxa"/>
                  <w:shd w:val="clear" w:color="auto" w:fill="auto"/>
                  <w:vAlign w:val="center"/>
                </w:tcPr>
                <w:p w14:paraId="39FC9A31">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
                    </w:rPr>
                  </w:pPr>
                  <w:r>
                    <w:rPr>
                      <w:rFonts w:hint="eastAsia"/>
                      <w:color w:val="auto"/>
                      <w:sz w:val="21"/>
                      <w:szCs w:val="21"/>
                      <w:lang w:val="en-US" w:eastAsia="zh-CN" w:bidi="ar"/>
                    </w:rPr>
                    <w:t>2</w:t>
                  </w:r>
                </w:p>
              </w:tc>
              <w:tc>
                <w:tcPr>
                  <w:tcW w:w="681" w:type="dxa"/>
                  <w:vAlign w:val="center"/>
                </w:tcPr>
                <w:p w14:paraId="5A45EF8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75</w:t>
                  </w:r>
                </w:p>
              </w:tc>
              <w:tc>
                <w:tcPr>
                  <w:tcW w:w="473" w:type="pct"/>
                  <w:vMerge w:val="continue"/>
                  <w:vAlign w:val="center"/>
                </w:tcPr>
                <w:p w14:paraId="5C80EDDA">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385" w:type="pct"/>
                  <w:vAlign w:val="center"/>
                </w:tcPr>
                <w:p w14:paraId="0A3C769C">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7</w:t>
                  </w:r>
                </w:p>
              </w:tc>
              <w:tc>
                <w:tcPr>
                  <w:tcW w:w="385" w:type="pct"/>
                  <w:vAlign w:val="center"/>
                </w:tcPr>
                <w:p w14:paraId="05D005ED">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41</w:t>
                  </w:r>
                </w:p>
              </w:tc>
              <w:tc>
                <w:tcPr>
                  <w:tcW w:w="529" w:type="dxa"/>
                  <w:vAlign w:val="center"/>
                </w:tcPr>
                <w:p w14:paraId="3034834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880" w:type="dxa"/>
                  <w:vAlign w:val="center"/>
                </w:tcPr>
                <w:p w14:paraId="46B8304D">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10</w:t>
                  </w:r>
                </w:p>
              </w:tc>
              <w:tc>
                <w:tcPr>
                  <w:tcW w:w="790" w:type="dxa"/>
                  <w:shd w:val="clear" w:color="auto" w:fill="auto"/>
                  <w:vAlign w:val="center"/>
                </w:tcPr>
                <w:p w14:paraId="62AEBCB0">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55.0</w:t>
                  </w:r>
                </w:p>
              </w:tc>
              <w:tc>
                <w:tcPr>
                  <w:tcW w:w="790" w:type="dxa"/>
                  <w:vAlign w:val="center"/>
                </w:tcPr>
                <w:p w14:paraId="00AC288E">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15</w:t>
                  </w:r>
                </w:p>
              </w:tc>
              <w:tc>
                <w:tcPr>
                  <w:tcW w:w="898" w:type="dxa"/>
                  <w:vAlign w:val="center"/>
                </w:tcPr>
                <w:p w14:paraId="6A29EEE9">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40</w:t>
                  </w:r>
                </w:p>
              </w:tc>
            </w:tr>
            <w:tr w14:paraId="00C52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79" w:type="dxa"/>
                  <w:vAlign w:val="center"/>
                </w:tcPr>
                <w:p w14:paraId="0377D289">
                  <w:pPr>
                    <w:jc w:val="center"/>
                    <w:rPr>
                      <w:rFonts w:hint="default" w:ascii="Times New Roman" w:hAnsi="Times New Roman"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bidi="ar-SA"/>
                    </w:rPr>
                    <w:t>5</w:t>
                  </w:r>
                </w:p>
              </w:tc>
              <w:tc>
                <w:tcPr>
                  <w:tcW w:w="695" w:type="dxa"/>
                  <w:shd w:val="clear" w:color="auto" w:fill="auto"/>
                  <w:vAlign w:val="center"/>
                </w:tcPr>
                <w:p w14:paraId="06C45174">
                  <w:pPr>
                    <w:pStyle w:val="77"/>
                    <w:spacing w:line="240" w:lineRule="auto"/>
                    <w:ind w:firstLine="0" w:firstLineChars="0"/>
                    <w:rPr>
                      <w:rFonts w:hint="eastAsia" w:ascii="Times New Roman" w:hAnsi="Times New Roman" w:eastAsia="宋体" w:cs="Times New Roman"/>
                      <w:color w:val="auto"/>
                      <w:kern w:val="0"/>
                      <w:sz w:val="21"/>
                      <w:szCs w:val="21"/>
                      <w:lang w:val="en-US" w:eastAsia="zh-CN" w:bidi="ar"/>
                    </w:rPr>
                  </w:pPr>
                  <w:r>
                    <w:rPr>
                      <w:rFonts w:hint="eastAsia"/>
                      <w:color w:val="auto"/>
                      <w:sz w:val="21"/>
                      <w:szCs w:val="21"/>
                      <w:lang w:val="en-US" w:eastAsia="zh-CN" w:bidi="ar"/>
                    </w:rPr>
                    <w:t>拉胶机</w:t>
                  </w:r>
                </w:p>
              </w:tc>
              <w:tc>
                <w:tcPr>
                  <w:tcW w:w="449" w:type="dxa"/>
                  <w:shd w:val="clear" w:color="auto" w:fill="auto"/>
                  <w:vAlign w:val="center"/>
                </w:tcPr>
                <w:p w14:paraId="6D09DCDC">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
                    </w:rPr>
                  </w:pPr>
                  <w:r>
                    <w:rPr>
                      <w:rFonts w:hint="eastAsia"/>
                      <w:color w:val="auto"/>
                      <w:sz w:val="21"/>
                      <w:szCs w:val="21"/>
                      <w:lang w:val="en-US" w:eastAsia="zh-CN" w:bidi="ar"/>
                    </w:rPr>
                    <w:t>5</w:t>
                  </w:r>
                </w:p>
              </w:tc>
              <w:tc>
                <w:tcPr>
                  <w:tcW w:w="681" w:type="dxa"/>
                  <w:vAlign w:val="center"/>
                </w:tcPr>
                <w:p w14:paraId="3F828B7C">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70</w:t>
                  </w:r>
                </w:p>
              </w:tc>
              <w:tc>
                <w:tcPr>
                  <w:tcW w:w="473" w:type="pct"/>
                  <w:vMerge w:val="continue"/>
                  <w:vAlign w:val="center"/>
                </w:tcPr>
                <w:p w14:paraId="3EE0535B">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385" w:type="pct"/>
                  <w:vAlign w:val="center"/>
                </w:tcPr>
                <w:p w14:paraId="0C2EFB6C">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9～11</w:t>
                  </w:r>
                </w:p>
              </w:tc>
              <w:tc>
                <w:tcPr>
                  <w:tcW w:w="385" w:type="pct"/>
                  <w:vAlign w:val="center"/>
                </w:tcPr>
                <w:p w14:paraId="15900A19">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42</w:t>
                  </w:r>
                </w:p>
              </w:tc>
              <w:tc>
                <w:tcPr>
                  <w:tcW w:w="529" w:type="dxa"/>
                  <w:vAlign w:val="center"/>
                </w:tcPr>
                <w:p w14:paraId="5B0C919B">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880" w:type="dxa"/>
                  <w:vAlign w:val="center"/>
                </w:tcPr>
                <w:p w14:paraId="00B329BA">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12</w:t>
                  </w:r>
                </w:p>
              </w:tc>
              <w:tc>
                <w:tcPr>
                  <w:tcW w:w="790" w:type="dxa"/>
                  <w:shd w:val="clear" w:color="auto" w:fill="auto"/>
                  <w:vAlign w:val="center"/>
                </w:tcPr>
                <w:p w14:paraId="3160AC56">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48.4</w:t>
                  </w:r>
                </w:p>
              </w:tc>
              <w:tc>
                <w:tcPr>
                  <w:tcW w:w="790" w:type="dxa"/>
                  <w:vAlign w:val="center"/>
                </w:tcPr>
                <w:p w14:paraId="6DABEAB1">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15</w:t>
                  </w:r>
                </w:p>
              </w:tc>
              <w:tc>
                <w:tcPr>
                  <w:tcW w:w="898" w:type="dxa"/>
                  <w:vAlign w:val="center"/>
                </w:tcPr>
                <w:p w14:paraId="35D7B19B">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33.4</w:t>
                  </w:r>
                </w:p>
              </w:tc>
            </w:tr>
            <w:tr w14:paraId="4DFDF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79" w:type="dxa"/>
                  <w:vAlign w:val="center"/>
                </w:tcPr>
                <w:p w14:paraId="354F023E">
                  <w:pPr>
                    <w:jc w:val="center"/>
                    <w:rPr>
                      <w:rFonts w:hint="default" w:ascii="Times New Roman" w:hAnsi="Times New Roman"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bidi="ar-SA"/>
                    </w:rPr>
                    <w:t>6</w:t>
                  </w:r>
                </w:p>
              </w:tc>
              <w:tc>
                <w:tcPr>
                  <w:tcW w:w="695" w:type="dxa"/>
                  <w:shd w:val="clear" w:color="auto" w:fill="auto"/>
                  <w:vAlign w:val="center"/>
                </w:tcPr>
                <w:p w14:paraId="28713879">
                  <w:pPr>
                    <w:pStyle w:val="77"/>
                    <w:spacing w:line="240" w:lineRule="auto"/>
                    <w:ind w:firstLine="0" w:firstLineChars="0"/>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bidi="ar"/>
                    </w:rPr>
                    <w:t>隧道炉</w:t>
                  </w:r>
                </w:p>
              </w:tc>
              <w:tc>
                <w:tcPr>
                  <w:tcW w:w="449" w:type="dxa"/>
                  <w:shd w:val="clear" w:color="auto" w:fill="auto"/>
                  <w:vAlign w:val="center"/>
                </w:tcPr>
                <w:p w14:paraId="3B84FE06">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bidi="ar"/>
                    </w:rPr>
                    <w:t>10</w:t>
                  </w:r>
                </w:p>
              </w:tc>
              <w:tc>
                <w:tcPr>
                  <w:tcW w:w="681" w:type="dxa"/>
                  <w:vAlign w:val="center"/>
                </w:tcPr>
                <w:p w14:paraId="53C7DE7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70</w:t>
                  </w:r>
                </w:p>
              </w:tc>
              <w:tc>
                <w:tcPr>
                  <w:tcW w:w="473" w:type="pct"/>
                  <w:vMerge w:val="continue"/>
                  <w:vAlign w:val="center"/>
                </w:tcPr>
                <w:p w14:paraId="49DCB057">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385" w:type="pct"/>
                  <w:vAlign w:val="center"/>
                </w:tcPr>
                <w:p w14:paraId="67F5135D">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6～13</w:t>
                  </w:r>
                </w:p>
              </w:tc>
              <w:tc>
                <w:tcPr>
                  <w:tcW w:w="385" w:type="pct"/>
                  <w:vAlign w:val="center"/>
                </w:tcPr>
                <w:p w14:paraId="3471A46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26～39</w:t>
                  </w:r>
                </w:p>
              </w:tc>
              <w:tc>
                <w:tcPr>
                  <w:tcW w:w="529" w:type="dxa"/>
                  <w:vAlign w:val="center"/>
                </w:tcPr>
                <w:p w14:paraId="660F5E42">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880" w:type="dxa"/>
                  <w:vAlign w:val="center"/>
                </w:tcPr>
                <w:p w14:paraId="5537CD04">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10</w:t>
                  </w:r>
                </w:p>
              </w:tc>
              <w:tc>
                <w:tcPr>
                  <w:tcW w:w="790" w:type="dxa"/>
                  <w:shd w:val="clear" w:color="auto" w:fill="auto"/>
                  <w:vAlign w:val="center"/>
                </w:tcPr>
                <w:p w14:paraId="200BA5D2">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50.0</w:t>
                  </w:r>
                </w:p>
              </w:tc>
              <w:tc>
                <w:tcPr>
                  <w:tcW w:w="790" w:type="dxa"/>
                  <w:vAlign w:val="center"/>
                </w:tcPr>
                <w:p w14:paraId="3DD98F0C">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15</w:t>
                  </w:r>
                </w:p>
              </w:tc>
              <w:tc>
                <w:tcPr>
                  <w:tcW w:w="898" w:type="dxa"/>
                  <w:vAlign w:val="center"/>
                </w:tcPr>
                <w:p w14:paraId="395E505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35</w:t>
                  </w:r>
                </w:p>
              </w:tc>
            </w:tr>
            <w:tr w14:paraId="43F77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79" w:type="dxa"/>
                  <w:vAlign w:val="center"/>
                </w:tcPr>
                <w:p w14:paraId="03898691">
                  <w:pPr>
                    <w:jc w:val="center"/>
                    <w:rPr>
                      <w:rFonts w:hint="default" w:ascii="Times New Roman" w:hAnsi="Times New Roman"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bidi="ar-SA"/>
                    </w:rPr>
                    <w:t>7</w:t>
                  </w:r>
                </w:p>
              </w:tc>
              <w:tc>
                <w:tcPr>
                  <w:tcW w:w="695" w:type="dxa"/>
                  <w:shd w:val="clear" w:color="auto" w:fill="auto"/>
                  <w:vAlign w:val="center"/>
                </w:tcPr>
                <w:p w14:paraId="2501F648">
                  <w:pPr>
                    <w:pStyle w:val="77"/>
                    <w:spacing w:line="240" w:lineRule="auto"/>
                    <w:ind w:firstLine="0" w:firstLineChars="0"/>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bidi="ar"/>
                    </w:rPr>
                    <w:t>分光机</w:t>
                  </w:r>
                </w:p>
              </w:tc>
              <w:tc>
                <w:tcPr>
                  <w:tcW w:w="449" w:type="dxa"/>
                  <w:shd w:val="clear" w:color="auto" w:fill="auto"/>
                  <w:vAlign w:val="center"/>
                </w:tcPr>
                <w:p w14:paraId="55237BAE">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bidi="ar"/>
                    </w:rPr>
                    <w:t>20</w:t>
                  </w:r>
                </w:p>
              </w:tc>
              <w:tc>
                <w:tcPr>
                  <w:tcW w:w="681" w:type="dxa"/>
                  <w:vAlign w:val="center"/>
                </w:tcPr>
                <w:p w14:paraId="1EEE10F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70</w:t>
                  </w:r>
                </w:p>
              </w:tc>
              <w:tc>
                <w:tcPr>
                  <w:tcW w:w="473" w:type="pct"/>
                  <w:vMerge w:val="continue"/>
                  <w:vAlign w:val="center"/>
                </w:tcPr>
                <w:p w14:paraId="2D14D66B">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385" w:type="pct"/>
                  <w:vAlign w:val="center"/>
                </w:tcPr>
                <w:p w14:paraId="02AF87BC">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16～29</w:t>
                  </w:r>
                </w:p>
              </w:tc>
              <w:tc>
                <w:tcPr>
                  <w:tcW w:w="385" w:type="pct"/>
                  <w:vAlign w:val="center"/>
                </w:tcPr>
                <w:p w14:paraId="47EF34D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34～37</w:t>
                  </w:r>
                </w:p>
              </w:tc>
              <w:tc>
                <w:tcPr>
                  <w:tcW w:w="529" w:type="dxa"/>
                  <w:vAlign w:val="center"/>
                </w:tcPr>
                <w:p w14:paraId="3DAC9CF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880" w:type="dxa"/>
                  <w:vAlign w:val="center"/>
                </w:tcPr>
                <w:p w14:paraId="2A8F76D6">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21</w:t>
                  </w:r>
                </w:p>
              </w:tc>
              <w:tc>
                <w:tcPr>
                  <w:tcW w:w="790" w:type="dxa"/>
                  <w:shd w:val="clear" w:color="auto" w:fill="auto"/>
                  <w:vAlign w:val="center"/>
                </w:tcPr>
                <w:p w14:paraId="5C941ABC">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43.6</w:t>
                  </w:r>
                </w:p>
              </w:tc>
              <w:tc>
                <w:tcPr>
                  <w:tcW w:w="790" w:type="dxa"/>
                  <w:vAlign w:val="center"/>
                </w:tcPr>
                <w:p w14:paraId="47A15756">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15</w:t>
                  </w:r>
                </w:p>
              </w:tc>
              <w:tc>
                <w:tcPr>
                  <w:tcW w:w="898" w:type="dxa"/>
                  <w:vAlign w:val="center"/>
                </w:tcPr>
                <w:p w14:paraId="07AF6CDB">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28.6</w:t>
                  </w:r>
                </w:p>
              </w:tc>
            </w:tr>
            <w:tr w14:paraId="71CD8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79" w:type="dxa"/>
                  <w:vAlign w:val="center"/>
                </w:tcPr>
                <w:p w14:paraId="46A6B99A">
                  <w:pPr>
                    <w:jc w:val="center"/>
                    <w:rPr>
                      <w:rFonts w:hint="default" w:ascii="Times New Roman" w:hAnsi="Times New Roman"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bidi="ar-SA"/>
                    </w:rPr>
                    <w:t>8</w:t>
                  </w:r>
                </w:p>
              </w:tc>
              <w:tc>
                <w:tcPr>
                  <w:tcW w:w="695" w:type="dxa"/>
                  <w:shd w:val="clear" w:color="auto" w:fill="auto"/>
                  <w:vAlign w:val="center"/>
                </w:tcPr>
                <w:p w14:paraId="3FE0C023">
                  <w:pPr>
                    <w:pStyle w:val="77"/>
                    <w:spacing w:line="240" w:lineRule="auto"/>
                    <w:ind w:firstLine="0" w:firstLineChars="0"/>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rPr>
                    <w:t>分板机</w:t>
                  </w:r>
                </w:p>
              </w:tc>
              <w:tc>
                <w:tcPr>
                  <w:tcW w:w="449" w:type="dxa"/>
                  <w:shd w:val="clear" w:color="auto" w:fill="auto"/>
                  <w:vAlign w:val="center"/>
                </w:tcPr>
                <w:p w14:paraId="3D27AFB6">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bidi="ar"/>
                    </w:rPr>
                    <w:t>20</w:t>
                  </w:r>
                </w:p>
              </w:tc>
              <w:tc>
                <w:tcPr>
                  <w:tcW w:w="681" w:type="dxa"/>
                  <w:vAlign w:val="center"/>
                </w:tcPr>
                <w:p w14:paraId="321FD9BA">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75</w:t>
                  </w:r>
                </w:p>
              </w:tc>
              <w:tc>
                <w:tcPr>
                  <w:tcW w:w="473" w:type="pct"/>
                  <w:vMerge w:val="continue"/>
                  <w:vAlign w:val="center"/>
                </w:tcPr>
                <w:p w14:paraId="21504F6B">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385" w:type="pct"/>
                  <w:vAlign w:val="center"/>
                </w:tcPr>
                <w:p w14:paraId="1FB61281">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30～44</w:t>
                  </w:r>
                </w:p>
              </w:tc>
              <w:tc>
                <w:tcPr>
                  <w:tcW w:w="385" w:type="pct"/>
                  <w:vAlign w:val="center"/>
                </w:tcPr>
                <w:p w14:paraId="4D4C3139">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37～40</w:t>
                  </w:r>
                </w:p>
              </w:tc>
              <w:tc>
                <w:tcPr>
                  <w:tcW w:w="529" w:type="dxa"/>
                  <w:vAlign w:val="center"/>
                </w:tcPr>
                <w:p w14:paraId="2EC24930">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880" w:type="dxa"/>
                  <w:vAlign w:val="center"/>
                </w:tcPr>
                <w:p w14:paraId="0B967278">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20</w:t>
                  </w:r>
                </w:p>
              </w:tc>
              <w:tc>
                <w:tcPr>
                  <w:tcW w:w="790" w:type="dxa"/>
                  <w:shd w:val="clear" w:color="auto" w:fill="auto"/>
                  <w:vAlign w:val="center"/>
                </w:tcPr>
                <w:p w14:paraId="4C02C789">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49.0</w:t>
                  </w:r>
                </w:p>
              </w:tc>
              <w:tc>
                <w:tcPr>
                  <w:tcW w:w="790" w:type="dxa"/>
                  <w:vAlign w:val="center"/>
                </w:tcPr>
                <w:p w14:paraId="596D0E00">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15</w:t>
                  </w:r>
                </w:p>
              </w:tc>
              <w:tc>
                <w:tcPr>
                  <w:tcW w:w="898" w:type="dxa"/>
                  <w:vAlign w:val="center"/>
                </w:tcPr>
                <w:p w14:paraId="58499D7B">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34</w:t>
                  </w:r>
                </w:p>
              </w:tc>
            </w:tr>
            <w:tr w14:paraId="6DE51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79" w:type="dxa"/>
                  <w:vAlign w:val="center"/>
                </w:tcPr>
                <w:p w14:paraId="0B82ADD4">
                  <w:pPr>
                    <w:jc w:val="center"/>
                    <w:rPr>
                      <w:rFonts w:hint="default" w:ascii="Times New Roman" w:hAnsi="Times New Roman"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bidi="ar-SA"/>
                    </w:rPr>
                    <w:t>9</w:t>
                  </w:r>
                </w:p>
              </w:tc>
              <w:tc>
                <w:tcPr>
                  <w:tcW w:w="695" w:type="dxa"/>
                  <w:shd w:val="clear" w:color="auto" w:fill="auto"/>
                  <w:vAlign w:val="center"/>
                </w:tcPr>
                <w:p w14:paraId="3271EDD6">
                  <w:pPr>
                    <w:pStyle w:val="77"/>
                    <w:spacing w:line="240" w:lineRule="auto"/>
                    <w:ind w:firstLine="0" w:firstLineChars="0"/>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bidi="ar"/>
                    </w:rPr>
                    <w:t>焊线机</w:t>
                  </w:r>
                </w:p>
              </w:tc>
              <w:tc>
                <w:tcPr>
                  <w:tcW w:w="449" w:type="dxa"/>
                  <w:shd w:val="clear" w:color="auto" w:fill="auto"/>
                  <w:vAlign w:val="center"/>
                </w:tcPr>
                <w:p w14:paraId="126FC5B0">
                  <w:pPr>
                    <w:pStyle w:val="77"/>
                    <w:spacing w:line="240" w:lineRule="auto"/>
                    <w:ind w:firstLine="0" w:firstLineChars="0"/>
                    <w:rPr>
                      <w:rFonts w:hint="default"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bidi="ar"/>
                    </w:rPr>
                    <w:t>40</w:t>
                  </w:r>
                </w:p>
              </w:tc>
              <w:tc>
                <w:tcPr>
                  <w:tcW w:w="681" w:type="dxa"/>
                  <w:vAlign w:val="center"/>
                </w:tcPr>
                <w:p w14:paraId="12701931">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70</w:t>
                  </w:r>
                </w:p>
              </w:tc>
              <w:tc>
                <w:tcPr>
                  <w:tcW w:w="473" w:type="pct"/>
                  <w:vMerge w:val="continue"/>
                  <w:vAlign w:val="center"/>
                </w:tcPr>
                <w:p w14:paraId="485940D0">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385" w:type="pct"/>
                  <w:vAlign w:val="center"/>
                </w:tcPr>
                <w:p w14:paraId="01454C20">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16～43</w:t>
                  </w:r>
                </w:p>
              </w:tc>
              <w:tc>
                <w:tcPr>
                  <w:tcW w:w="385" w:type="pct"/>
                  <w:vAlign w:val="center"/>
                </w:tcPr>
                <w:p w14:paraId="2067BD6D">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32～36</w:t>
                  </w:r>
                </w:p>
              </w:tc>
              <w:tc>
                <w:tcPr>
                  <w:tcW w:w="529" w:type="dxa"/>
                  <w:vAlign w:val="center"/>
                </w:tcPr>
                <w:p w14:paraId="0521ACFA">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880" w:type="dxa"/>
                  <w:vAlign w:val="center"/>
                </w:tcPr>
                <w:p w14:paraId="20FFD9D0">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21</w:t>
                  </w:r>
                </w:p>
              </w:tc>
              <w:tc>
                <w:tcPr>
                  <w:tcW w:w="790" w:type="dxa"/>
                  <w:shd w:val="clear" w:color="auto" w:fill="auto"/>
                  <w:vAlign w:val="center"/>
                </w:tcPr>
                <w:p w14:paraId="307DE1F9">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43.6</w:t>
                  </w:r>
                </w:p>
              </w:tc>
              <w:tc>
                <w:tcPr>
                  <w:tcW w:w="790" w:type="dxa"/>
                  <w:vAlign w:val="center"/>
                </w:tcPr>
                <w:p w14:paraId="4F180A14">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15</w:t>
                  </w:r>
                </w:p>
              </w:tc>
              <w:tc>
                <w:tcPr>
                  <w:tcW w:w="898" w:type="dxa"/>
                  <w:vAlign w:val="center"/>
                </w:tcPr>
                <w:p w14:paraId="6D964341">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28.6</w:t>
                  </w:r>
                </w:p>
              </w:tc>
            </w:tr>
            <w:tr w14:paraId="718BB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79" w:type="dxa"/>
                  <w:vAlign w:val="center"/>
                </w:tcPr>
                <w:p w14:paraId="33A42C7E">
                  <w:pPr>
                    <w:jc w:val="center"/>
                    <w:rPr>
                      <w:rFonts w:hint="default" w:ascii="Times New Roman" w:hAnsi="Times New Roman"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bidi="ar-SA"/>
                    </w:rPr>
                    <w:t>10</w:t>
                  </w:r>
                </w:p>
              </w:tc>
              <w:tc>
                <w:tcPr>
                  <w:tcW w:w="695" w:type="dxa"/>
                  <w:shd w:val="clear" w:color="auto" w:fill="auto"/>
                  <w:vAlign w:val="center"/>
                </w:tcPr>
                <w:p w14:paraId="0308D912">
                  <w:pPr>
                    <w:pStyle w:val="77"/>
                    <w:spacing w:line="240" w:lineRule="auto"/>
                    <w:ind w:firstLine="0" w:firstLineChars="0"/>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bidi="ar"/>
                    </w:rPr>
                    <w:t>编带机</w:t>
                  </w:r>
                </w:p>
              </w:tc>
              <w:tc>
                <w:tcPr>
                  <w:tcW w:w="449" w:type="dxa"/>
                  <w:shd w:val="clear" w:color="auto" w:fill="auto"/>
                  <w:vAlign w:val="center"/>
                </w:tcPr>
                <w:p w14:paraId="45BACE8E">
                  <w:pPr>
                    <w:pStyle w:val="77"/>
                    <w:spacing w:line="240" w:lineRule="auto"/>
                    <w:ind w:firstLine="0" w:firstLineChars="0"/>
                    <w:rPr>
                      <w:rFonts w:hint="default" w:ascii="Times New Roman" w:hAnsi="Times New Roman" w:eastAsia="宋体" w:cs="Times New Roman"/>
                      <w:color w:val="auto"/>
                      <w:kern w:val="0"/>
                      <w:sz w:val="21"/>
                      <w:szCs w:val="21"/>
                      <w:highlight w:val="yellow"/>
                      <w:lang w:val="en-US" w:eastAsia="zh-CN" w:bidi="ar-SA"/>
                    </w:rPr>
                  </w:pPr>
                  <w:r>
                    <w:rPr>
                      <w:rFonts w:hint="eastAsia"/>
                      <w:color w:val="auto"/>
                      <w:sz w:val="21"/>
                      <w:szCs w:val="21"/>
                      <w:lang w:val="en-US" w:eastAsia="zh-CN" w:bidi="ar"/>
                    </w:rPr>
                    <w:t>40</w:t>
                  </w:r>
                </w:p>
              </w:tc>
              <w:tc>
                <w:tcPr>
                  <w:tcW w:w="681" w:type="dxa"/>
                  <w:vAlign w:val="center"/>
                </w:tcPr>
                <w:p w14:paraId="594FDB46">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70</w:t>
                  </w:r>
                </w:p>
              </w:tc>
              <w:tc>
                <w:tcPr>
                  <w:tcW w:w="473" w:type="pct"/>
                  <w:vMerge w:val="continue"/>
                  <w:vAlign w:val="center"/>
                </w:tcPr>
                <w:p w14:paraId="46AF7B0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385" w:type="pct"/>
                  <w:vAlign w:val="center"/>
                </w:tcPr>
                <w:p w14:paraId="61D133DB">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16～43</w:t>
                  </w:r>
                </w:p>
              </w:tc>
              <w:tc>
                <w:tcPr>
                  <w:tcW w:w="385" w:type="pct"/>
                  <w:vAlign w:val="center"/>
                </w:tcPr>
                <w:p w14:paraId="5CD4BAE6">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28～33</w:t>
                  </w:r>
                </w:p>
              </w:tc>
              <w:tc>
                <w:tcPr>
                  <w:tcW w:w="529" w:type="dxa"/>
                  <w:vAlign w:val="center"/>
                </w:tcPr>
                <w:p w14:paraId="06F8FAC9">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880" w:type="dxa"/>
                  <w:vAlign w:val="center"/>
                </w:tcPr>
                <w:p w14:paraId="1E233DB1">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21</w:t>
                  </w:r>
                </w:p>
              </w:tc>
              <w:tc>
                <w:tcPr>
                  <w:tcW w:w="790" w:type="dxa"/>
                  <w:shd w:val="clear" w:color="auto" w:fill="auto"/>
                  <w:vAlign w:val="center"/>
                </w:tcPr>
                <w:p w14:paraId="6163E1F3">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43.6</w:t>
                  </w:r>
                </w:p>
              </w:tc>
              <w:tc>
                <w:tcPr>
                  <w:tcW w:w="790" w:type="dxa"/>
                  <w:vAlign w:val="center"/>
                </w:tcPr>
                <w:p w14:paraId="484848A0">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15</w:t>
                  </w:r>
                </w:p>
              </w:tc>
              <w:tc>
                <w:tcPr>
                  <w:tcW w:w="898" w:type="dxa"/>
                  <w:vAlign w:val="center"/>
                </w:tcPr>
                <w:p w14:paraId="3E72C83D">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26.6</w:t>
                  </w:r>
                </w:p>
              </w:tc>
            </w:tr>
            <w:tr w14:paraId="76DC1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79" w:type="dxa"/>
                  <w:vAlign w:val="center"/>
                </w:tcPr>
                <w:p w14:paraId="4ACDC168">
                  <w:pPr>
                    <w:jc w:val="center"/>
                    <w:rPr>
                      <w:rFonts w:hint="default" w:ascii="Times New Roman" w:hAnsi="Times New Roman"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bidi="ar-SA"/>
                    </w:rPr>
                    <w:t>11</w:t>
                  </w:r>
                </w:p>
              </w:tc>
              <w:tc>
                <w:tcPr>
                  <w:tcW w:w="695" w:type="dxa"/>
                  <w:shd w:val="clear" w:color="auto" w:fill="auto"/>
                  <w:vAlign w:val="center"/>
                </w:tcPr>
                <w:p w14:paraId="3A37EBBF">
                  <w:pPr>
                    <w:pStyle w:val="77"/>
                    <w:spacing w:line="240" w:lineRule="auto"/>
                    <w:ind w:firstLine="0" w:firstLineChars="0"/>
                    <w:rPr>
                      <w:rFonts w:hint="eastAsia" w:ascii="Times New Roman" w:hAnsi="Times New Roman" w:eastAsia="宋体" w:cs="Times New Roman"/>
                      <w:color w:val="auto"/>
                      <w:kern w:val="0"/>
                      <w:sz w:val="21"/>
                      <w:szCs w:val="21"/>
                      <w:lang w:val="en-US" w:eastAsia="zh-CN" w:bidi="ar-SA"/>
                    </w:rPr>
                  </w:pPr>
                  <w:r>
                    <w:rPr>
                      <w:rFonts w:hint="eastAsia"/>
                      <w:color w:val="auto"/>
                      <w:sz w:val="21"/>
                      <w:szCs w:val="21"/>
                      <w:lang w:val="en-US" w:eastAsia="zh-CN" w:bidi="ar"/>
                    </w:rPr>
                    <w:t>包装机</w:t>
                  </w:r>
                </w:p>
              </w:tc>
              <w:tc>
                <w:tcPr>
                  <w:tcW w:w="449" w:type="dxa"/>
                  <w:shd w:val="clear" w:color="auto" w:fill="auto"/>
                  <w:vAlign w:val="center"/>
                </w:tcPr>
                <w:p w14:paraId="07A6FAEF">
                  <w:pPr>
                    <w:pStyle w:val="77"/>
                    <w:spacing w:line="240" w:lineRule="auto"/>
                    <w:ind w:firstLine="0" w:firstLineChars="0"/>
                    <w:rPr>
                      <w:rFonts w:hint="default" w:ascii="Times New Roman" w:hAnsi="Times New Roman" w:eastAsia="宋体" w:cs="Times New Roman"/>
                      <w:color w:val="auto"/>
                      <w:kern w:val="0"/>
                      <w:sz w:val="21"/>
                      <w:szCs w:val="21"/>
                      <w:highlight w:val="yellow"/>
                      <w:lang w:val="en-US" w:eastAsia="zh-CN" w:bidi="ar-SA"/>
                    </w:rPr>
                  </w:pPr>
                  <w:r>
                    <w:rPr>
                      <w:rFonts w:hint="eastAsia"/>
                      <w:color w:val="auto"/>
                      <w:sz w:val="21"/>
                      <w:szCs w:val="21"/>
                      <w:lang w:val="en-US" w:eastAsia="zh-CN" w:bidi="ar"/>
                    </w:rPr>
                    <w:t>8</w:t>
                  </w:r>
                </w:p>
              </w:tc>
              <w:tc>
                <w:tcPr>
                  <w:tcW w:w="681" w:type="dxa"/>
                  <w:vAlign w:val="center"/>
                </w:tcPr>
                <w:p w14:paraId="2F96C337">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70</w:t>
                  </w:r>
                </w:p>
              </w:tc>
              <w:tc>
                <w:tcPr>
                  <w:tcW w:w="473" w:type="pct"/>
                  <w:vMerge w:val="continue"/>
                  <w:vAlign w:val="center"/>
                </w:tcPr>
                <w:p w14:paraId="0D8FB137">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385" w:type="pct"/>
                  <w:vAlign w:val="center"/>
                </w:tcPr>
                <w:p w14:paraId="00133CEB">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45～47</w:t>
                  </w:r>
                </w:p>
              </w:tc>
              <w:tc>
                <w:tcPr>
                  <w:tcW w:w="385" w:type="pct"/>
                  <w:vAlign w:val="center"/>
                </w:tcPr>
                <w:p w14:paraId="4544EF5B">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31～33</w:t>
                  </w:r>
                </w:p>
              </w:tc>
              <w:tc>
                <w:tcPr>
                  <w:tcW w:w="529" w:type="dxa"/>
                  <w:vAlign w:val="center"/>
                </w:tcPr>
                <w:p w14:paraId="6083A764">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880" w:type="dxa"/>
                  <w:vAlign w:val="center"/>
                </w:tcPr>
                <w:p w14:paraId="5C1D358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15</w:t>
                  </w:r>
                </w:p>
              </w:tc>
              <w:tc>
                <w:tcPr>
                  <w:tcW w:w="790" w:type="dxa"/>
                  <w:shd w:val="clear" w:color="auto" w:fill="auto"/>
                  <w:vAlign w:val="center"/>
                </w:tcPr>
                <w:p w14:paraId="522069D3">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46.5</w:t>
                  </w:r>
                </w:p>
              </w:tc>
              <w:tc>
                <w:tcPr>
                  <w:tcW w:w="790" w:type="dxa"/>
                  <w:vAlign w:val="center"/>
                </w:tcPr>
                <w:p w14:paraId="31D5E3BC">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15</w:t>
                  </w:r>
                </w:p>
              </w:tc>
              <w:tc>
                <w:tcPr>
                  <w:tcW w:w="898" w:type="dxa"/>
                  <w:vAlign w:val="center"/>
                </w:tcPr>
                <w:p w14:paraId="6BA5A7B1">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31.5</w:t>
                  </w:r>
                </w:p>
              </w:tc>
            </w:tr>
            <w:tr w14:paraId="08DD0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79" w:type="dxa"/>
                  <w:vAlign w:val="center"/>
                </w:tcPr>
                <w:p w14:paraId="3C08E09E">
                  <w:pPr>
                    <w:jc w:val="center"/>
                    <w:rPr>
                      <w:rFonts w:hint="default" w:ascii="Times New Roman" w:hAnsi="Times New Roman" w:eastAsia="宋体" w:cs="Times New Roman"/>
                      <w:color w:val="auto"/>
                      <w:kern w:val="2"/>
                      <w:sz w:val="21"/>
                      <w:szCs w:val="21"/>
                      <w:lang w:val="en-US" w:eastAsia="zh-CN" w:bidi="ar-SA"/>
                    </w:rPr>
                  </w:pPr>
                  <w:r>
                    <w:rPr>
                      <w:rFonts w:hint="eastAsia" w:eastAsia="宋体" w:cs="Times New Roman"/>
                      <w:color w:val="auto"/>
                      <w:kern w:val="2"/>
                      <w:sz w:val="21"/>
                      <w:szCs w:val="21"/>
                      <w:lang w:val="en-US" w:eastAsia="zh-CN" w:bidi="ar-SA"/>
                    </w:rPr>
                    <w:t>12</w:t>
                  </w:r>
                </w:p>
              </w:tc>
              <w:tc>
                <w:tcPr>
                  <w:tcW w:w="695" w:type="dxa"/>
                  <w:shd w:val="clear" w:color="auto" w:fill="auto"/>
                  <w:vAlign w:val="center"/>
                </w:tcPr>
                <w:p w14:paraId="40C2D7ED">
                  <w:pPr>
                    <w:pStyle w:val="77"/>
                    <w:spacing w:line="240" w:lineRule="auto"/>
                    <w:ind w:firstLine="0" w:firstLineChars="0"/>
                    <w:rPr>
                      <w:rFonts w:hint="default"/>
                      <w:color w:val="auto"/>
                      <w:sz w:val="21"/>
                      <w:szCs w:val="21"/>
                      <w:lang w:val="en-US" w:eastAsia="zh-CN" w:bidi="ar"/>
                    </w:rPr>
                  </w:pPr>
                  <w:r>
                    <w:rPr>
                      <w:rFonts w:hint="eastAsia"/>
                      <w:color w:val="auto"/>
                      <w:sz w:val="21"/>
                      <w:szCs w:val="21"/>
                      <w:lang w:val="en-US" w:eastAsia="zh-CN" w:bidi="ar"/>
                    </w:rPr>
                    <w:t>空压机</w:t>
                  </w:r>
                </w:p>
              </w:tc>
              <w:tc>
                <w:tcPr>
                  <w:tcW w:w="449" w:type="dxa"/>
                  <w:shd w:val="clear" w:color="auto" w:fill="auto"/>
                  <w:vAlign w:val="center"/>
                </w:tcPr>
                <w:p w14:paraId="6F66E93A">
                  <w:pPr>
                    <w:pStyle w:val="77"/>
                    <w:spacing w:line="240" w:lineRule="auto"/>
                    <w:ind w:firstLine="0" w:firstLineChars="0"/>
                    <w:rPr>
                      <w:rFonts w:hint="default"/>
                      <w:color w:val="auto"/>
                      <w:sz w:val="21"/>
                      <w:szCs w:val="21"/>
                      <w:lang w:val="en-US" w:eastAsia="zh-CN" w:bidi="ar"/>
                    </w:rPr>
                  </w:pPr>
                  <w:r>
                    <w:rPr>
                      <w:rFonts w:hint="eastAsia"/>
                      <w:color w:val="auto"/>
                      <w:sz w:val="21"/>
                      <w:szCs w:val="21"/>
                      <w:lang w:val="en-US" w:eastAsia="zh-CN" w:bidi="ar"/>
                    </w:rPr>
                    <w:t>2</w:t>
                  </w:r>
                </w:p>
              </w:tc>
              <w:tc>
                <w:tcPr>
                  <w:tcW w:w="681" w:type="dxa"/>
                  <w:vAlign w:val="center"/>
                </w:tcPr>
                <w:p w14:paraId="5A4D281D">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85</w:t>
                  </w:r>
                </w:p>
              </w:tc>
              <w:tc>
                <w:tcPr>
                  <w:tcW w:w="473" w:type="pct"/>
                  <w:vMerge w:val="continue"/>
                  <w:vAlign w:val="center"/>
                </w:tcPr>
                <w:p w14:paraId="60D28EF9">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p>
              </w:tc>
              <w:tc>
                <w:tcPr>
                  <w:tcW w:w="385" w:type="pct"/>
                  <w:vAlign w:val="center"/>
                </w:tcPr>
                <w:p w14:paraId="525017F6">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sz w:val="21"/>
                      <w:szCs w:val="21"/>
                      <w:highlight w:val="none"/>
                      <w:vertAlign w:val="baseline"/>
                      <w:lang w:val="en-US" w:eastAsia="zh-CN"/>
                    </w:rPr>
                    <w:t>13～15</w:t>
                  </w:r>
                </w:p>
              </w:tc>
              <w:tc>
                <w:tcPr>
                  <w:tcW w:w="385" w:type="pct"/>
                  <w:vAlign w:val="center"/>
                </w:tcPr>
                <w:p w14:paraId="67946509">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47</w:t>
                  </w:r>
                </w:p>
              </w:tc>
              <w:tc>
                <w:tcPr>
                  <w:tcW w:w="529" w:type="dxa"/>
                  <w:vAlign w:val="center"/>
                </w:tcPr>
                <w:p w14:paraId="4764BC85">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1</w:t>
                  </w:r>
                </w:p>
              </w:tc>
              <w:tc>
                <w:tcPr>
                  <w:tcW w:w="880" w:type="dxa"/>
                  <w:vAlign w:val="center"/>
                </w:tcPr>
                <w:p w14:paraId="162EDB13">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4</w:t>
                  </w:r>
                </w:p>
              </w:tc>
              <w:tc>
                <w:tcPr>
                  <w:tcW w:w="790" w:type="dxa"/>
                  <w:shd w:val="clear" w:color="auto" w:fill="auto"/>
                  <w:vAlign w:val="center"/>
                </w:tcPr>
                <w:p w14:paraId="37301391">
                  <w:pPr>
                    <w:spacing w:line="240" w:lineRule="auto"/>
                    <w:jc w:val="center"/>
                    <w:rPr>
                      <w:rFonts w:hint="default" w:ascii="Times New Roman" w:hAnsi="Times New Roman" w:eastAsia="宋体" w:cs="Times New Roman"/>
                      <w:b w:val="0"/>
                      <w:bCs/>
                      <w:color w:val="auto"/>
                      <w:sz w:val="21"/>
                      <w:szCs w:val="21"/>
                      <w:highlight w:val="none"/>
                      <w:vertAlign w:val="baseline"/>
                      <w:lang w:val="en-US" w:eastAsia="zh-CN"/>
                    </w:rPr>
                  </w:pPr>
                  <w:r>
                    <w:rPr>
                      <w:rFonts w:hint="eastAsia" w:ascii="Times New Roman" w:hAnsi="Times New Roman" w:eastAsia="宋体" w:cs="Times New Roman"/>
                      <w:b w:val="0"/>
                      <w:bCs/>
                      <w:color w:val="auto"/>
                      <w:sz w:val="21"/>
                      <w:szCs w:val="21"/>
                      <w:highlight w:val="none"/>
                      <w:vertAlign w:val="baseline"/>
                      <w:lang w:val="en-US" w:eastAsia="zh-CN"/>
                    </w:rPr>
                    <w:t>73.0</w:t>
                  </w:r>
                </w:p>
              </w:tc>
              <w:tc>
                <w:tcPr>
                  <w:tcW w:w="790" w:type="dxa"/>
                  <w:vAlign w:val="center"/>
                </w:tcPr>
                <w:p w14:paraId="6B2BBB07">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15</w:t>
                  </w:r>
                </w:p>
              </w:tc>
              <w:tc>
                <w:tcPr>
                  <w:tcW w:w="898" w:type="dxa"/>
                  <w:vAlign w:val="center"/>
                </w:tcPr>
                <w:p w14:paraId="5DC510EA">
                  <w:pPr>
                    <w:spacing w:line="240" w:lineRule="auto"/>
                    <w:jc w:val="center"/>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eastAsia="宋体" w:cs="Times New Roman"/>
                      <w:b w:val="0"/>
                      <w:bCs/>
                      <w:color w:val="auto"/>
                      <w:kern w:val="2"/>
                      <w:sz w:val="21"/>
                      <w:szCs w:val="21"/>
                      <w:highlight w:val="none"/>
                      <w:vertAlign w:val="baseline"/>
                      <w:lang w:val="en-US" w:eastAsia="zh-CN" w:bidi="ar-SA"/>
                    </w:rPr>
                    <w:t>58</w:t>
                  </w:r>
                </w:p>
              </w:tc>
            </w:tr>
          </w:tbl>
          <w:p w14:paraId="3D4F3BF6">
            <w:pPr>
              <w:pStyle w:val="74"/>
              <w:ind w:left="0" w:leftChars="0" w:firstLine="0" w:firstLineChars="0"/>
              <w:rPr>
                <w:rFonts w:hint="default" w:eastAsia="宋体"/>
                <w:iCs/>
                <w:lang w:val="en-US" w:eastAsia="zh-CN"/>
              </w:rPr>
            </w:pPr>
            <w:r>
              <w:rPr>
                <w:rFonts w:hint="eastAsia"/>
                <w:iCs/>
                <w:lang w:val="en-US" w:eastAsia="zh-CN"/>
              </w:rPr>
              <w:t>注：以3#厂房西南角为原点。</w:t>
            </w:r>
          </w:p>
          <w:p w14:paraId="7FE65A5C">
            <w:pPr>
              <w:pStyle w:val="208"/>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240" w:lineRule="auto"/>
              <w:ind w:leftChars="0"/>
              <w:jc w:val="center"/>
              <w:textAlignment w:val="auto"/>
              <w:rPr>
                <w:rFonts w:hint="default" w:ascii="Times New Roman" w:hAnsi="Times New Roman" w:eastAsia="宋体" w:cs="Times New Roman"/>
                <w:b/>
                <w:bCs/>
                <w:kern w:val="0"/>
                <w:sz w:val="21"/>
                <w:szCs w:val="21"/>
                <w:lang w:val="en-US" w:eastAsia="zh-CN" w:bidi="ar-SA"/>
              </w:rPr>
            </w:pPr>
            <w:r>
              <w:rPr>
                <w:rFonts w:hint="eastAsia" w:ascii="Times New Roman" w:hAnsi="Times New Roman" w:eastAsia="宋体" w:cs="Times New Roman"/>
                <w:b/>
                <w:bCs/>
                <w:kern w:val="0"/>
                <w:sz w:val="21"/>
                <w:szCs w:val="21"/>
                <w:lang w:val="en-US" w:eastAsia="zh-CN" w:bidi="ar-SA"/>
              </w:rPr>
              <w:t>4-13  项目噪声污染源一览表（室外）</w:t>
            </w:r>
          </w:p>
          <w:tbl>
            <w:tblPr>
              <w:tblStyle w:val="2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813"/>
              <w:gridCol w:w="803"/>
              <w:gridCol w:w="584"/>
              <w:gridCol w:w="584"/>
              <w:gridCol w:w="590"/>
              <w:gridCol w:w="1061"/>
              <w:gridCol w:w="1672"/>
              <w:gridCol w:w="1139"/>
            </w:tblGrid>
            <w:tr w14:paraId="4DF8B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98" w:hRule="atLeast"/>
              </w:trPr>
              <w:tc>
                <w:tcPr>
                  <w:tcW w:w="531" w:type="pct"/>
                  <w:vMerge w:val="restart"/>
                  <w:noWrap w:val="0"/>
                  <w:vAlign w:val="center"/>
                </w:tcPr>
                <w:p w14:paraId="79027D44">
                  <w:pPr>
                    <w:spacing w:line="240" w:lineRule="auto"/>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声源</w:t>
                  </w:r>
                </w:p>
                <w:p w14:paraId="59D91D3B">
                  <w:pPr>
                    <w:spacing w:line="240" w:lineRule="auto"/>
                    <w:jc w:val="center"/>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z w:val="21"/>
                      <w:szCs w:val="21"/>
                      <w:highlight w:val="none"/>
                    </w:rPr>
                    <w:t>名称</w:t>
                  </w:r>
                </w:p>
              </w:tc>
              <w:tc>
                <w:tcPr>
                  <w:tcW w:w="501" w:type="pct"/>
                  <w:vMerge w:val="restart"/>
                  <w:noWrap w:val="0"/>
                  <w:vAlign w:val="center"/>
                </w:tcPr>
                <w:p w14:paraId="6AF0C329">
                  <w:pPr>
                    <w:spacing w:line="240" w:lineRule="auto"/>
                    <w:jc w:val="center"/>
                    <w:rPr>
                      <w:rFonts w:hint="default" w:ascii="Times New Roman" w:hAnsi="Times New Roman" w:eastAsia="宋体" w:cs="Times New Roman"/>
                      <w:color w:val="000000"/>
                      <w:spacing w:val="-2"/>
                      <w:kern w:val="0"/>
                      <w:sz w:val="21"/>
                      <w:szCs w:val="21"/>
                      <w:highlight w:val="none"/>
                      <w:lang w:val="en-US" w:eastAsia="zh-CN"/>
                    </w:rPr>
                  </w:pPr>
                  <w:r>
                    <w:rPr>
                      <w:rFonts w:hint="default" w:ascii="Times New Roman" w:hAnsi="Times New Roman" w:eastAsia="宋体" w:cs="Times New Roman"/>
                      <w:color w:val="000000"/>
                      <w:sz w:val="21"/>
                      <w:szCs w:val="21"/>
                      <w:highlight w:val="none"/>
                    </w:rPr>
                    <w:t>型号</w:t>
                  </w:r>
                </w:p>
              </w:tc>
              <w:tc>
                <w:tcPr>
                  <w:tcW w:w="495" w:type="pct"/>
                  <w:vMerge w:val="restart"/>
                  <w:noWrap w:val="0"/>
                  <w:vAlign w:val="center"/>
                </w:tcPr>
                <w:p w14:paraId="1E0EFA72">
                  <w:pPr>
                    <w:spacing w:line="240" w:lineRule="auto"/>
                    <w:jc w:val="center"/>
                    <w:rPr>
                      <w:rFonts w:hint="default"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val="en-US" w:eastAsia="zh-CN"/>
                    </w:rPr>
                    <w:t>设备数量</w:t>
                  </w:r>
                </w:p>
              </w:tc>
              <w:tc>
                <w:tcPr>
                  <w:tcW w:w="1084" w:type="pct"/>
                  <w:gridSpan w:val="3"/>
                  <w:noWrap w:val="0"/>
                  <w:vAlign w:val="center"/>
                </w:tcPr>
                <w:p w14:paraId="3DE4A24C">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 w:val="21"/>
                      <w:szCs w:val="21"/>
                      <w:highlight w:val="none"/>
                      <w:vertAlign w:val="baseline"/>
                      <w:lang w:val="en-US" w:eastAsia="zh-CN"/>
                    </w:rPr>
                    <w:t>空间相对位置/m</w:t>
                  </w:r>
                </w:p>
              </w:tc>
              <w:tc>
                <w:tcPr>
                  <w:tcW w:w="654" w:type="pct"/>
                  <w:vMerge w:val="restart"/>
                  <w:noWrap w:val="0"/>
                  <w:vAlign w:val="center"/>
                </w:tcPr>
                <w:p w14:paraId="253D3FF6">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 w:val="21"/>
                      <w:szCs w:val="21"/>
                      <w:highlight w:val="none"/>
                      <w:lang w:eastAsia="zh-CN"/>
                    </w:rPr>
                    <w:t>声源源强</w:t>
                  </w:r>
                  <w:r>
                    <w:rPr>
                      <w:rFonts w:hint="default" w:ascii="Times New Roman" w:hAnsi="Times New Roman" w:eastAsia="宋体" w:cs="Times New Roman"/>
                      <w:color w:val="000000"/>
                      <w:sz w:val="21"/>
                      <w:szCs w:val="21"/>
                      <w:highlight w:val="none"/>
                    </w:rPr>
                    <w:t>dB(A)</w:t>
                  </w:r>
                </w:p>
              </w:tc>
              <w:tc>
                <w:tcPr>
                  <w:tcW w:w="1031" w:type="pct"/>
                  <w:vMerge w:val="restart"/>
                  <w:noWrap w:val="0"/>
                  <w:vAlign w:val="center"/>
                </w:tcPr>
                <w:p w14:paraId="18ED0206">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 w:val="21"/>
                      <w:szCs w:val="21"/>
                      <w:highlight w:val="none"/>
                      <w:vertAlign w:val="baseline"/>
                      <w:lang w:val="en-US" w:eastAsia="zh-CN"/>
                    </w:rPr>
                    <w:t>声源控制措施</w:t>
                  </w:r>
                </w:p>
              </w:tc>
              <w:tc>
                <w:tcPr>
                  <w:tcW w:w="702" w:type="pct"/>
                  <w:vMerge w:val="restart"/>
                  <w:noWrap w:val="0"/>
                  <w:vAlign w:val="center"/>
                </w:tcPr>
                <w:p w14:paraId="42C8107D">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 w:val="21"/>
                      <w:szCs w:val="21"/>
                      <w:highlight w:val="none"/>
                      <w:vertAlign w:val="baseline"/>
                      <w:lang w:val="en-US" w:eastAsia="zh-CN"/>
                    </w:rPr>
                    <w:t>运行时段</w:t>
                  </w:r>
                </w:p>
              </w:tc>
            </w:tr>
            <w:tr w14:paraId="37DE0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trPr>
              <w:tc>
                <w:tcPr>
                  <w:tcW w:w="531" w:type="pct"/>
                  <w:vMerge w:val="continue"/>
                  <w:noWrap w:val="0"/>
                  <w:vAlign w:val="center"/>
                </w:tcPr>
                <w:p w14:paraId="28EE1944">
                  <w:pPr>
                    <w:spacing w:line="240" w:lineRule="auto"/>
                    <w:jc w:val="center"/>
                    <w:rPr>
                      <w:rFonts w:hint="default" w:ascii="Times New Roman" w:hAnsi="Times New Roman" w:eastAsia="宋体" w:cs="Times New Roman"/>
                      <w:color w:val="000000"/>
                      <w:sz w:val="21"/>
                      <w:szCs w:val="21"/>
                      <w:highlight w:val="none"/>
                    </w:rPr>
                  </w:pPr>
                </w:p>
              </w:tc>
              <w:tc>
                <w:tcPr>
                  <w:tcW w:w="501" w:type="pct"/>
                  <w:vMerge w:val="continue"/>
                  <w:noWrap w:val="0"/>
                  <w:vAlign w:val="center"/>
                </w:tcPr>
                <w:p w14:paraId="03394EDE">
                  <w:pPr>
                    <w:spacing w:line="240" w:lineRule="auto"/>
                    <w:jc w:val="center"/>
                    <w:rPr>
                      <w:rFonts w:hint="default" w:ascii="Times New Roman" w:hAnsi="Times New Roman" w:eastAsia="宋体" w:cs="Times New Roman"/>
                      <w:color w:val="000000"/>
                      <w:sz w:val="21"/>
                      <w:szCs w:val="21"/>
                      <w:highlight w:val="none"/>
                    </w:rPr>
                  </w:pPr>
                </w:p>
              </w:tc>
              <w:tc>
                <w:tcPr>
                  <w:tcW w:w="495" w:type="pct"/>
                  <w:vMerge w:val="continue"/>
                  <w:noWrap w:val="0"/>
                  <w:vAlign w:val="center"/>
                </w:tcPr>
                <w:p w14:paraId="054654DC">
                  <w:pPr>
                    <w:spacing w:line="240" w:lineRule="auto"/>
                    <w:jc w:val="center"/>
                    <w:rPr>
                      <w:rFonts w:hint="default" w:ascii="Times New Roman" w:hAnsi="Times New Roman" w:eastAsia="宋体" w:cs="Times New Roman"/>
                      <w:color w:val="000000"/>
                      <w:sz w:val="21"/>
                      <w:szCs w:val="21"/>
                      <w:highlight w:val="none"/>
                    </w:rPr>
                  </w:pPr>
                </w:p>
              </w:tc>
              <w:tc>
                <w:tcPr>
                  <w:tcW w:w="360" w:type="pct"/>
                  <w:noWrap w:val="0"/>
                  <w:vAlign w:val="center"/>
                </w:tcPr>
                <w:p w14:paraId="3F6C19CC">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 w:val="21"/>
                      <w:szCs w:val="21"/>
                      <w:highlight w:val="none"/>
                      <w:vertAlign w:val="baseline"/>
                      <w:lang w:val="en-US" w:eastAsia="zh-CN"/>
                    </w:rPr>
                    <w:t>X</w:t>
                  </w:r>
                </w:p>
              </w:tc>
              <w:tc>
                <w:tcPr>
                  <w:tcW w:w="360" w:type="pct"/>
                  <w:noWrap w:val="0"/>
                  <w:vAlign w:val="center"/>
                </w:tcPr>
                <w:p w14:paraId="27F86424">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 w:val="21"/>
                      <w:szCs w:val="21"/>
                      <w:highlight w:val="none"/>
                      <w:vertAlign w:val="baseline"/>
                      <w:lang w:val="en-US" w:eastAsia="zh-CN"/>
                    </w:rPr>
                    <w:t>Y</w:t>
                  </w:r>
                </w:p>
              </w:tc>
              <w:tc>
                <w:tcPr>
                  <w:tcW w:w="363" w:type="pct"/>
                  <w:noWrap w:val="0"/>
                  <w:vAlign w:val="center"/>
                </w:tcPr>
                <w:p w14:paraId="1A491463">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 w:val="21"/>
                      <w:szCs w:val="21"/>
                      <w:highlight w:val="none"/>
                      <w:vertAlign w:val="baseline"/>
                      <w:lang w:val="en-US" w:eastAsia="zh-CN"/>
                    </w:rPr>
                    <w:t>Z</w:t>
                  </w:r>
                </w:p>
              </w:tc>
              <w:tc>
                <w:tcPr>
                  <w:tcW w:w="654" w:type="pct"/>
                  <w:vMerge w:val="continue"/>
                  <w:noWrap w:val="0"/>
                  <w:vAlign w:val="center"/>
                </w:tcPr>
                <w:p w14:paraId="053C30FD">
                  <w:pPr>
                    <w:bidi w:val="0"/>
                    <w:jc w:val="center"/>
                    <w:rPr>
                      <w:rFonts w:hint="default" w:ascii="Times New Roman" w:hAnsi="Times New Roman" w:eastAsia="宋体" w:cs="Times New Roman"/>
                      <w:color w:val="000000"/>
                      <w:sz w:val="21"/>
                      <w:szCs w:val="21"/>
                      <w:highlight w:val="none"/>
                      <w:vertAlign w:val="baseline"/>
                      <w:lang w:val="en-US" w:eastAsia="zh-CN"/>
                    </w:rPr>
                  </w:pPr>
                </w:p>
              </w:tc>
              <w:tc>
                <w:tcPr>
                  <w:tcW w:w="1031" w:type="pct"/>
                  <w:vMerge w:val="continue"/>
                  <w:noWrap w:val="0"/>
                  <w:vAlign w:val="center"/>
                </w:tcPr>
                <w:p w14:paraId="679B7C2D">
                  <w:pPr>
                    <w:bidi w:val="0"/>
                    <w:jc w:val="center"/>
                    <w:rPr>
                      <w:rFonts w:hint="default" w:ascii="Times New Roman" w:hAnsi="Times New Roman" w:eastAsia="宋体" w:cs="Times New Roman"/>
                      <w:color w:val="000000"/>
                      <w:sz w:val="21"/>
                      <w:szCs w:val="21"/>
                      <w:highlight w:val="none"/>
                      <w:vertAlign w:val="baseline"/>
                      <w:lang w:val="en-US" w:eastAsia="zh-CN"/>
                    </w:rPr>
                  </w:pPr>
                </w:p>
              </w:tc>
              <w:tc>
                <w:tcPr>
                  <w:tcW w:w="702" w:type="pct"/>
                  <w:vMerge w:val="continue"/>
                  <w:noWrap w:val="0"/>
                  <w:vAlign w:val="center"/>
                </w:tcPr>
                <w:p w14:paraId="56A704EC">
                  <w:pPr>
                    <w:bidi w:val="0"/>
                    <w:jc w:val="center"/>
                    <w:rPr>
                      <w:rFonts w:hint="default" w:ascii="Times New Roman" w:hAnsi="Times New Roman" w:eastAsia="宋体" w:cs="Times New Roman"/>
                      <w:color w:val="000000"/>
                      <w:sz w:val="21"/>
                      <w:szCs w:val="21"/>
                      <w:highlight w:val="none"/>
                      <w:vertAlign w:val="baseline"/>
                      <w:lang w:val="en-US" w:eastAsia="zh-CN"/>
                    </w:rPr>
                  </w:pPr>
                </w:p>
              </w:tc>
            </w:tr>
            <w:tr w14:paraId="3DE72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1" w:type="pct"/>
                  <w:noWrap w:val="0"/>
                  <w:vAlign w:val="center"/>
                </w:tcPr>
                <w:p w14:paraId="6C64E1C9">
                  <w:pPr>
                    <w:widowControl/>
                    <w:jc w:val="center"/>
                    <w:rPr>
                      <w:rFonts w:hint="default" w:ascii="Times New Roman" w:hAnsi="Times New Roman" w:eastAsia="宋体" w:cs="Times New Roman"/>
                      <w:color w:val="000000"/>
                      <w:spacing w:val="-2"/>
                      <w:kern w:val="0"/>
                      <w:sz w:val="21"/>
                      <w:szCs w:val="21"/>
                      <w:highlight w:val="none"/>
                      <w:lang w:val="en-US" w:eastAsia="zh-CN"/>
                    </w:rPr>
                  </w:pPr>
                  <w:r>
                    <w:rPr>
                      <w:rFonts w:hint="eastAsia" w:ascii="Times New Roman" w:hAnsi="Times New Roman" w:eastAsia="宋体" w:cs="Times New Roman"/>
                      <w:color w:val="000000"/>
                      <w:spacing w:val="-2"/>
                      <w:kern w:val="0"/>
                      <w:sz w:val="21"/>
                      <w:szCs w:val="21"/>
                      <w:highlight w:val="none"/>
                      <w:lang w:val="en-US" w:eastAsia="zh-CN"/>
                    </w:rPr>
                    <w:t>风机</w:t>
                  </w:r>
                </w:p>
              </w:tc>
              <w:tc>
                <w:tcPr>
                  <w:tcW w:w="501" w:type="pct"/>
                  <w:noWrap w:val="0"/>
                  <w:vAlign w:val="center"/>
                </w:tcPr>
                <w:p w14:paraId="1F2E34C3">
                  <w:pPr>
                    <w:widowControl/>
                    <w:jc w:val="center"/>
                    <w:rPr>
                      <w:rFonts w:hint="default" w:ascii="Times New Roman" w:hAnsi="Times New Roman" w:eastAsia="宋体" w:cs="Times New Roman"/>
                      <w:color w:val="000000"/>
                      <w:sz w:val="21"/>
                      <w:szCs w:val="21"/>
                      <w:highlight w:val="none"/>
                      <w:vertAlign w:val="baseline"/>
                      <w:lang w:val="en-US" w:eastAsia="zh-CN"/>
                    </w:rPr>
                  </w:pPr>
                  <w:r>
                    <w:rPr>
                      <w:rFonts w:hint="eastAsia" w:ascii="Times New Roman" w:hAnsi="Times New Roman" w:eastAsia="宋体" w:cs="Times New Roman"/>
                      <w:color w:val="000000"/>
                      <w:sz w:val="21"/>
                      <w:szCs w:val="21"/>
                      <w:highlight w:val="none"/>
                      <w:vertAlign w:val="baseline"/>
                      <w:lang w:val="en-US" w:eastAsia="zh-CN"/>
                    </w:rPr>
                    <w:t>/</w:t>
                  </w:r>
                </w:p>
              </w:tc>
              <w:tc>
                <w:tcPr>
                  <w:tcW w:w="495" w:type="pct"/>
                  <w:noWrap w:val="0"/>
                  <w:vAlign w:val="center"/>
                </w:tcPr>
                <w:p w14:paraId="31F1B7CD">
                  <w:pPr>
                    <w:widowControl/>
                    <w:jc w:val="center"/>
                    <w:rPr>
                      <w:rFonts w:hint="default" w:ascii="Times New Roman" w:hAnsi="Times New Roman" w:eastAsia="宋体" w:cs="Times New Roman"/>
                      <w:color w:val="000000"/>
                      <w:kern w:val="0"/>
                      <w:sz w:val="21"/>
                      <w:szCs w:val="21"/>
                      <w:highlight w:val="none"/>
                      <w:lang w:val="en-US" w:eastAsia="zh-CN"/>
                    </w:rPr>
                  </w:pPr>
                  <w:r>
                    <w:rPr>
                      <w:rFonts w:hint="eastAsia" w:ascii="Times New Roman" w:hAnsi="Times New Roman" w:eastAsia="宋体" w:cs="Times New Roman"/>
                      <w:color w:val="000000"/>
                      <w:kern w:val="0"/>
                      <w:sz w:val="21"/>
                      <w:szCs w:val="21"/>
                      <w:highlight w:val="none"/>
                      <w:lang w:val="en-US" w:eastAsia="zh-CN"/>
                    </w:rPr>
                    <w:t>1</w:t>
                  </w:r>
                </w:p>
              </w:tc>
              <w:tc>
                <w:tcPr>
                  <w:tcW w:w="360" w:type="pct"/>
                  <w:noWrap w:val="0"/>
                  <w:vAlign w:val="center"/>
                </w:tcPr>
                <w:p w14:paraId="5F36E8F5">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eastAsia" w:cs="Times New Roman"/>
                      <w:color w:val="000000"/>
                      <w:sz w:val="21"/>
                      <w:szCs w:val="21"/>
                      <w:highlight w:val="none"/>
                      <w:vertAlign w:val="baseline"/>
                      <w:lang w:val="en-US" w:eastAsia="zh-CN"/>
                    </w:rPr>
                    <w:t>4</w:t>
                  </w:r>
                </w:p>
              </w:tc>
              <w:tc>
                <w:tcPr>
                  <w:tcW w:w="360" w:type="pct"/>
                  <w:noWrap w:val="0"/>
                  <w:vAlign w:val="center"/>
                </w:tcPr>
                <w:p w14:paraId="334D1BF3">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eastAsia" w:cs="Times New Roman"/>
                      <w:color w:val="000000"/>
                      <w:sz w:val="21"/>
                      <w:szCs w:val="21"/>
                      <w:highlight w:val="none"/>
                      <w:vertAlign w:val="baseline"/>
                      <w:lang w:val="en-US" w:eastAsia="zh-CN"/>
                    </w:rPr>
                    <w:t>59</w:t>
                  </w:r>
                </w:p>
              </w:tc>
              <w:tc>
                <w:tcPr>
                  <w:tcW w:w="363" w:type="pct"/>
                  <w:noWrap w:val="0"/>
                  <w:vAlign w:val="center"/>
                </w:tcPr>
                <w:p w14:paraId="069DB262">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eastAsia" w:cs="Times New Roman"/>
                      <w:color w:val="000000"/>
                      <w:sz w:val="21"/>
                      <w:szCs w:val="21"/>
                      <w:highlight w:val="none"/>
                      <w:vertAlign w:val="baseline"/>
                      <w:lang w:val="en-US" w:eastAsia="zh-CN"/>
                    </w:rPr>
                    <w:t>1</w:t>
                  </w:r>
                </w:p>
              </w:tc>
              <w:tc>
                <w:tcPr>
                  <w:tcW w:w="654" w:type="pct"/>
                  <w:noWrap w:val="0"/>
                  <w:vAlign w:val="center"/>
                </w:tcPr>
                <w:p w14:paraId="16973A5C">
                  <w:pPr>
                    <w:bidi w:val="0"/>
                    <w:jc w:val="center"/>
                    <w:rPr>
                      <w:rFonts w:hint="default" w:cs="Times New Roman"/>
                      <w:color w:val="000000"/>
                      <w:sz w:val="21"/>
                      <w:szCs w:val="21"/>
                      <w:highlight w:val="none"/>
                      <w:vertAlign w:val="baseline"/>
                      <w:lang w:val="en-US" w:eastAsia="zh-CN"/>
                    </w:rPr>
                  </w:pPr>
                  <w:r>
                    <w:rPr>
                      <w:rFonts w:hint="eastAsia" w:cs="Times New Roman"/>
                      <w:color w:val="000000"/>
                      <w:sz w:val="21"/>
                      <w:szCs w:val="21"/>
                      <w:highlight w:val="none"/>
                      <w:vertAlign w:val="baseline"/>
                      <w:lang w:val="en-US" w:eastAsia="zh-CN"/>
                    </w:rPr>
                    <w:t>90</w:t>
                  </w:r>
                </w:p>
              </w:tc>
              <w:tc>
                <w:tcPr>
                  <w:tcW w:w="1031" w:type="pct"/>
                  <w:noWrap w:val="0"/>
                  <w:vAlign w:val="center"/>
                </w:tcPr>
                <w:p w14:paraId="52E34FEF">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eastAsia" w:cs="Times New Roman"/>
                      <w:color w:val="000000"/>
                      <w:sz w:val="21"/>
                      <w:szCs w:val="21"/>
                      <w:highlight w:val="none"/>
                      <w:vertAlign w:val="baseline"/>
                      <w:lang w:val="en-US" w:eastAsia="zh-CN"/>
                    </w:rPr>
                    <w:t>选用低噪设备，</w:t>
                  </w:r>
                  <w:r>
                    <w:rPr>
                      <w:rFonts w:hint="eastAsia" w:ascii="Times New Roman" w:hAnsi="Times New Roman" w:cs="Times New Roman"/>
                      <w:color w:val="000000"/>
                      <w:sz w:val="21"/>
                      <w:szCs w:val="21"/>
                      <w:highlight w:val="none"/>
                      <w:lang w:val="en-US" w:eastAsia="zh-CN"/>
                    </w:rPr>
                    <w:t>设置隔声罩</w:t>
                  </w:r>
                </w:p>
              </w:tc>
              <w:tc>
                <w:tcPr>
                  <w:tcW w:w="702" w:type="pct"/>
                  <w:noWrap w:val="0"/>
                  <w:vAlign w:val="center"/>
                </w:tcPr>
                <w:p w14:paraId="4C87B6CE">
                  <w:pPr>
                    <w:bidi w:val="0"/>
                    <w:jc w:val="center"/>
                    <w:rPr>
                      <w:rFonts w:hint="default" w:ascii="Times New Roman" w:hAnsi="Times New Roman" w:eastAsia="宋体" w:cs="Times New Roman"/>
                      <w:color w:val="000000"/>
                      <w:sz w:val="21"/>
                      <w:szCs w:val="21"/>
                      <w:highlight w:val="none"/>
                      <w:vertAlign w:val="baseline"/>
                      <w:lang w:val="en-US" w:eastAsia="zh-CN"/>
                    </w:rPr>
                  </w:pPr>
                  <w:r>
                    <w:rPr>
                      <w:rFonts w:hint="default" w:ascii="Times New Roman" w:hAnsi="Times New Roman" w:eastAsia="宋体" w:cs="Times New Roman"/>
                      <w:color w:val="000000"/>
                      <w:sz w:val="21"/>
                      <w:szCs w:val="21"/>
                      <w:highlight w:val="none"/>
                      <w:vertAlign w:val="baseline"/>
                      <w:lang w:val="en-US" w:eastAsia="zh-CN"/>
                    </w:rPr>
                    <w:t>昼间</w:t>
                  </w:r>
                  <w:r>
                    <w:rPr>
                      <w:rFonts w:hint="eastAsia" w:ascii="Times New Roman" w:hAnsi="Times New Roman" w:eastAsia="宋体" w:cs="Times New Roman"/>
                      <w:color w:val="000000"/>
                      <w:sz w:val="21"/>
                      <w:szCs w:val="21"/>
                      <w:highlight w:val="none"/>
                      <w:vertAlign w:val="baseline"/>
                      <w:lang w:val="en-US" w:eastAsia="zh-CN"/>
                    </w:rPr>
                    <w:t>、夜间</w:t>
                  </w:r>
                </w:p>
              </w:tc>
            </w:tr>
          </w:tbl>
          <w:p w14:paraId="6869D56B">
            <w:pPr>
              <w:pStyle w:val="74"/>
              <w:ind w:left="0" w:leftChars="0" w:firstLine="0" w:firstLineChars="0"/>
              <w:rPr>
                <w:rFonts w:hint="default" w:eastAsia="宋体"/>
                <w:iCs/>
                <w:lang w:val="en-US" w:eastAsia="zh-CN"/>
              </w:rPr>
            </w:pPr>
            <w:r>
              <w:rPr>
                <w:rFonts w:hint="eastAsia"/>
                <w:iCs/>
                <w:lang w:val="en-US" w:eastAsia="zh-CN"/>
              </w:rPr>
              <w:t>注：以3#厂房西南角为原点。</w:t>
            </w:r>
          </w:p>
          <w:p w14:paraId="788AD485">
            <w:pPr>
              <w:pStyle w:val="68"/>
              <w:keepNext w:val="0"/>
              <w:keepLines w:val="0"/>
              <w:suppressLineNumbers w:val="0"/>
              <w:spacing w:before="0" w:beforeAutospacing="0" w:after="0" w:afterAutospacing="0"/>
              <w:ind w:left="0" w:right="0" w:firstLine="482"/>
              <w:rPr>
                <w:rFonts w:hint="default"/>
                <w:bCs w:val="0"/>
                <w:color w:val="auto"/>
              </w:rPr>
            </w:pPr>
            <w:r>
              <w:rPr>
                <w:rFonts w:hint="eastAsia"/>
                <w:b/>
                <w:bCs w:val="0"/>
                <w:color w:val="auto"/>
              </w:rPr>
              <w:t>3</w:t>
            </w:r>
            <w:r>
              <w:rPr>
                <w:rFonts w:hint="default"/>
                <w:b/>
                <w:bCs w:val="0"/>
                <w:color w:val="auto"/>
              </w:rPr>
              <w:t>.</w:t>
            </w:r>
            <w:r>
              <w:rPr>
                <w:rFonts w:hint="eastAsia"/>
                <w:b/>
                <w:bCs w:val="0"/>
                <w:color w:val="auto"/>
                <w:lang w:val="en-US" w:eastAsia="zh-CN"/>
              </w:rPr>
              <w:t>2</w:t>
            </w:r>
            <w:r>
              <w:rPr>
                <w:rFonts w:hint="eastAsia"/>
                <w:b/>
                <w:bCs w:val="0"/>
                <w:color w:val="auto"/>
              </w:rPr>
              <w:t>噪声预测</w:t>
            </w:r>
          </w:p>
          <w:p w14:paraId="6E453F82">
            <w:pPr>
              <w:keepNext w:val="0"/>
              <w:keepLines w:val="0"/>
              <w:suppressLineNumbers w:val="0"/>
              <w:adjustRightInd w:val="0"/>
              <w:snapToGrid w:val="0"/>
              <w:spacing w:before="0" w:beforeAutospacing="0" w:after="0" w:afterAutospacing="0" w:line="360" w:lineRule="auto"/>
              <w:ind w:left="0" w:right="0" w:firstLine="480" w:firstLineChars="200"/>
              <w:rPr>
                <w:rFonts w:hint="default"/>
                <w:bCs/>
                <w:sz w:val="24"/>
              </w:rPr>
            </w:pPr>
            <w:r>
              <w:rPr>
                <w:rFonts w:hint="eastAsia"/>
                <w:bCs/>
                <w:sz w:val="24"/>
              </w:rPr>
              <w:t xml:space="preserve">根据项目设备声源的特征和周围声学环境的特点，视设备声源为点声源，声场为半自由声场，依据《环境影响评价技术导则-声环境》（HJ2.4-2021）中的工业噪声预测模型，室内声源等效室外声源，室外声选用半自由场声源几何发散衰减公式和多点源相互叠加公式。鉴于空气吸收引起的衰减很小，且频率、空气相对湿度等因素具有较大的不确定性，所以不考虑空气吸收引起的衰减。在预测中主要考虑几何发散衰减。 </w:t>
            </w:r>
          </w:p>
          <w:p w14:paraId="1AE46D58">
            <w:pPr>
              <w:keepNext w:val="0"/>
              <w:keepLines w:val="0"/>
              <w:suppressLineNumbers w:val="0"/>
              <w:adjustRightInd w:val="0"/>
              <w:snapToGrid w:val="0"/>
              <w:spacing w:before="0" w:beforeAutospacing="0" w:after="0" w:afterAutospacing="0" w:line="360" w:lineRule="auto"/>
              <w:ind w:left="0" w:right="0" w:firstLine="480" w:firstLineChars="200"/>
              <w:rPr>
                <w:rFonts w:hint="default"/>
              </w:rPr>
            </w:pPr>
            <w:r>
              <w:rPr>
                <w:rFonts w:hint="default"/>
                <w:bCs/>
                <w:sz w:val="24"/>
              </w:rPr>
              <w:t>①计算某个室内声源在靠近围护结构处的倍频带声压级：</w:t>
            </w:r>
          </w:p>
          <w:p w14:paraId="5316E738">
            <w:pPr>
              <w:pStyle w:val="203"/>
              <w:keepNext w:val="0"/>
              <w:keepLines w:val="0"/>
              <w:suppressLineNumbers w:val="0"/>
              <w:spacing w:before="120" w:beforeLines="50" w:beforeAutospacing="0" w:after="120" w:afterLines="50" w:afterAutospacing="0"/>
              <w:ind w:left="0" w:right="0"/>
              <w:rPr>
                <w:rFonts w:hint="default"/>
                <w:bCs/>
              </w:rPr>
            </w:pPr>
            <w:r>
              <w:rPr>
                <w:rFonts w:hint="default"/>
                <w:bCs/>
                <w:position w:val="-32"/>
              </w:rPr>
              <w:drawing>
                <wp:anchor distT="0" distB="0" distL="114300" distR="114300" simplePos="0" relativeHeight="251663360" behindDoc="1" locked="0" layoutInCell="1" allowOverlap="1">
                  <wp:simplePos x="0" y="0"/>
                  <wp:positionH relativeFrom="column">
                    <wp:posOffset>1322070</wp:posOffset>
                  </wp:positionH>
                  <wp:positionV relativeFrom="paragraph">
                    <wp:posOffset>48260</wp:posOffset>
                  </wp:positionV>
                  <wp:extent cx="1917065" cy="482600"/>
                  <wp:effectExtent l="0" t="0" r="635" b="0"/>
                  <wp:wrapNone/>
                  <wp:docPr id="11" name="对象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对象 2105"/>
                          <pic:cNvPicPr>
                            <a:picLocks noChangeAspect="1"/>
                          </pic:cNvPicPr>
                        </pic:nvPicPr>
                        <pic:blipFill>
                          <a:blip r:embed="rId22"/>
                          <a:stretch>
                            <a:fillRect/>
                          </a:stretch>
                        </pic:blipFill>
                        <pic:spPr>
                          <a:xfrm>
                            <a:off x="0" y="0"/>
                            <a:ext cx="1917065" cy="482600"/>
                          </a:xfrm>
                          <a:prstGeom prst="rect">
                            <a:avLst/>
                          </a:prstGeom>
                          <a:noFill/>
                          <a:ln>
                            <a:noFill/>
                          </a:ln>
                        </pic:spPr>
                      </pic:pic>
                    </a:graphicData>
                  </a:graphic>
                </wp:anchor>
              </w:drawing>
            </w:r>
          </w:p>
          <w:p w14:paraId="0C19F968">
            <w:pPr>
              <w:pStyle w:val="203"/>
              <w:keepNext w:val="0"/>
              <w:keepLines w:val="0"/>
              <w:suppressLineNumbers w:val="0"/>
              <w:spacing w:before="120" w:beforeLines="50" w:beforeAutospacing="0" w:after="120" w:afterLines="50" w:afterAutospacing="0"/>
              <w:ind w:left="0" w:right="0"/>
              <w:rPr>
                <w:rFonts w:hint="default"/>
                <w:bCs/>
              </w:rPr>
            </w:pPr>
          </w:p>
          <w:p w14:paraId="5AB8DBA8">
            <w:pPr>
              <w:pStyle w:val="203"/>
              <w:keepNext w:val="0"/>
              <w:keepLines w:val="0"/>
              <w:suppressLineNumbers w:val="0"/>
              <w:spacing w:before="0" w:beforeAutospacing="0" w:after="0" w:afterAutospacing="0"/>
              <w:ind w:left="0" w:right="0"/>
              <w:rPr>
                <w:rFonts w:hint="default"/>
                <w:bCs/>
              </w:rPr>
            </w:pPr>
            <w:r>
              <w:rPr>
                <w:rFonts w:hint="default"/>
                <w:bCs/>
              </w:rPr>
              <w:t>式中：L</w:t>
            </w:r>
            <w:r>
              <w:rPr>
                <w:rFonts w:hint="default"/>
                <w:bCs/>
                <w:vertAlign w:val="subscript"/>
              </w:rPr>
              <w:t xml:space="preserve">oct,1  </w:t>
            </w:r>
            <w:r>
              <w:rPr>
                <w:rFonts w:hint="default"/>
                <w:bCs/>
              </w:rPr>
              <w:sym w:font="Symbol" w:char="F0BE"/>
            </w:r>
            <w:r>
              <w:rPr>
                <w:rFonts w:hint="default"/>
                <w:bCs/>
              </w:rPr>
              <w:t xml:space="preserve"> 某个室内声源在靠近围护结构处产生的倍频带声压级，dB；</w:t>
            </w:r>
          </w:p>
          <w:p w14:paraId="3BFC9571">
            <w:pPr>
              <w:pStyle w:val="203"/>
              <w:keepNext w:val="0"/>
              <w:keepLines w:val="0"/>
              <w:suppressLineNumbers w:val="0"/>
              <w:spacing w:before="0" w:beforeAutospacing="0" w:after="0" w:afterAutospacing="0"/>
              <w:ind w:left="0" w:right="0" w:firstLine="1200" w:firstLineChars="500"/>
              <w:rPr>
                <w:rFonts w:hint="default"/>
                <w:bCs/>
              </w:rPr>
            </w:pPr>
            <w:r>
              <w:rPr>
                <w:rFonts w:hint="default"/>
                <w:bCs/>
              </w:rPr>
              <w:t>L</w:t>
            </w:r>
            <w:r>
              <w:rPr>
                <w:rFonts w:hint="default"/>
                <w:bCs/>
                <w:vertAlign w:val="subscript"/>
              </w:rPr>
              <w:t xml:space="preserve">w oct </w:t>
            </w:r>
            <w:r>
              <w:rPr>
                <w:rFonts w:hint="default"/>
                <w:bCs/>
              </w:rPr>
              <w:sym w:font="Symbol" w:char="F0BE"/>
            </w:r>
            <w:r>
              <w:rPr>
                <w:rFonts w:hint="default"/>
                <w:bCs/>
                <w:vertAlign w:val="subscript"/>
              </w:rPr>
              <w:t xml:space="preserve">  </w:t>
            </w:r>
            <w:r>
              <w:rPr>
                <w:rFonts w:hint="default"/>
                <w:bCs/>
              </w:rPr>
              <w:t>某个声源的倍频带声功率级，dB；</w:t>
            </w:r>
          </w:p>
          <w:p w14:paraId="26C2ED66">
            <w:pPr>
              <w:pStyle w:val="203"/>
              <w:keepNext w:val="0"/>
              <w:keepLines w:val="0"/>
              <w:suppressLineNumbers w:val="0"/>
              <w:spacing w:before="0" w:beforeAutospacing="0" w:after="0" w:afterAutospacing="0"/>
              <w:ind w:left="0" w:right="0" w:firstLine="1200" w:firstLineChars="500"/>
              <w:rPr>
                <w:rFonts w:hint="default"/>
                <w:bCs/>
              </w:rPr>
            </w:pPr>
            <w:r>
              <w:rPr>
                <w:rFonts w:hint="default"/>
                <w:bCs/>
              </w:rPr>
              <w:t>r</w:t>
            </w:r>
            <w:r>
              <w:rPr>
                <w:rFonts w:hint="default"/>
                <w:bCs/>
                <w:vertAlign w:val="subscript"/>
              </w:rPr>
              <w:t>1</w:t>
            </w:r>
            <w:r>
              <w:rPr>
                <w:rFonts w:hint="default"/>
                <w:bCs/>
              </w:rPr>
              <w:sym w:font="Symbol" w:char="F0BE"/>
            </w:r>
            <w:r>
              <w:rPr>
                <w:rFonts w:hint="default"/>
                <w:bCs/>
                <w:vertAlign w:val="subscript"/>
              </w:rPr>
              <w:t xml:space="preserve">  </w:t>
            </w:r>
            <w:r>
              <w:rPr>
                <w:rFonts w:hint="default"/>
                <w:bCs/>
              </w:rPr>
              <w:t>室内某个声源与靠近围护结构处的距离，m；</w:t>
            </w:r>
          </w:p>
          <w:p w14:paraId="6C4D286C">
            <w:pPr>
              <w:pStyle w:val="203"/>
              <w:keepNext w:val="0"/>
              <w:keepLines w:val="0"/>
              <w:suppressLineNumbers w:val="0"/>
              <w:spacing w:before="0" w:beforeAutospacing="0" w:after="0" w:afterAutospacing="0"/>
              <w:ind w:left="0" w:right="0" w:firstLine="1200" w:firstLineChars="500"/>
              <w:rPr>
                <w:rFonts w:hint="default"/>
                <w:bCs/>
              </w:rPr>
            </w:pPr>
            <w:r>
              <w:rPr>
                <w:rFonts w:hint="default"/>
                <w:bCs/>
              </w:rPr>
              <w:t>R</w:t>
            </w:r>
            <w:r>
              <w:rPr>
                <w:rFonts w:hint="default"/>
                <w:bCs/>
                <w:vertAlign w:val="subscript"/>
              </w:rPr>
              <w:t xml:space="preserve"> </w:t>
            </w:r>
            <w:r>
              <w:rPr>
                <w:rFonts w:hint="default"/>
                <w:bCs/>
              </w:rPr>
              <w:sym w:font="Symbol" w:char="F0BE"/>
            </w:r>
            <w:r>
              <w:rPr>
                <w:rFonts w:hint="default"/>
                <w:bCs/>
              </w:rPr>
              <w:t xml:space="preserve"> 房间常数，m</w:t>
            </w:r>
            <w:r>
              <w:rPr>
                <w:rFonts w:hint="default"/>
                <w:bCs/>
                <w:vertAlign w:val="superscript"/>
              </w:rPr>
              <w:t>2</w:t>
            </w:r>
            <w:r>
              <w:rPr>
                <w:rFonts w:hint="default"/>
                <w:bCs/>
              </w:rPr>
              <w:t>；</w:t>
            </w:r>
          </w:p>
          <w:p w14:paraId="00197EDA">
            <w:pPr>
              <w:pStyle w:val="203"/>
              <w:keepNext w:val="0"/>
              <w:keepLines w:val="0"/>
              <w:suppressLineNumbers w:val="0"/>
              <w:spacing w:before="0" w:beforeAutospacing="0" w:after="0" w:afterAutospacing="0"/>
              <w:ind w:left="0" w:right="0" w:firstLine="1200" w:firstLineChars="500"/>
              <w:rPr>
                <w:rFonts w:hint="default"/>
                <w:bCs/>
              </w:rPr>
            </w:pPr>
            <w:r>
              <w:rPr>
                <w:rFonts w:hint="default"/>
                <w:bCs/>
              </w:rPr>
              <w:t>Q</w:t>
            </w:r>
            <w:r>
              <w:rPr>
                <w:rFonts w:hint="default"/>
                <w:bCs/>
              </w:rPr>
              <w:sym w:font="Symbol" w:char="F0BE"/>
            </w:r>
            <w:r>
              <w:rPr>
                <w:rFonts w:hint="default"/>
                <w:bCs/>
              </w:rPr>
              <w:t xml:space="preserve"> 方向性因子，无量纲值。</w:t>
            </w:r>
          </w:p>
          <w:p w14:paraId="49C3E401">
            <w:pPr>
              <w:pStyle w:val="203"/>
              <w:keepNext w:val="0"/>
              <w:keepLines w:val="0"/>
              <w:suppressLineNumbers w:val="0"/>
              <w:spacing w:before="0" w:beforeAutospacing="0" w:after="0" w:afterAutospacing="0"/>
              <w:ind w:left="0" w:right="0"/>
              <w:rPr>
                <w:rFonts w:hint="default"/>
                <w:bCs/>
              </w:rPr>
            </w:pPr>
            <w:r>
              <w:rPr>
                <w:rFonts w:hint="default"/>
                <w:bCs/>
              </w:rPr>
              <w:t>②计算所有室内声源在靠近围护结构处产生的总倍频带声压级：</w:t>
            </w:r>
            <w:r>
              <w:rPr>
                <w:rFonts w:hint="default"/>
                <w:bCs/>
              </w:rPr>
              <w:tab/>
            </w:r>
          </w:p>
          <w:p w14:paraId="270439A6">
            <w:pPr>
              <w:pStyle w:val="203"/>
              <w:keepNext w:val="0"/>
              <w:keepLines w:val="0"/>
              <w:suppressLineNumbers w:val="0"/>
              <w:spacing w:before="0" w:beforeAutospacing="0" w:after="0" w:afterAutospacing="0"/>
              <w:ind w:left="0" w:right="0"/>
              <w:rPr>
                <w:rFonts w:hint="default"/>
                <w:bCs/>
              </w:rPr>
            </w:pPr>
            <w:r>
              <w:rPr>
                <w:rFonts w:hint="default"/>
                <w:bCs/>
                <w:position w:val="-30"/>
              </w:rPr>
              <w:object>
                <v:shape id="_x0000_i1028" o:spt="75" type="#_x0000_t75" style="height:36.3pt;width:140.25pt;" o:ole="t" filled="f" o:preferrelative="t" stroked="f" coordsize="21600,21600">
                  <v:path/>
                  <v:fill on="f" focussize="0,0"/>
                  <v:stroke on="f" joinstyle="miter"/>
                  <v:imagedata r:id="rId24" o:title=""/>
                  <o:lock v:ext="edit" aspectratio="t"/>
                  <w10:wrap type="none"/>
                  <w10:anchorlock/>
                </v:shape>
                <o:OLEObject Type="Embed" ProgID="Equation.3" ShapeID="_x0000_i1028" DrawAspect="Content" ObjectID="_1468075729" r:id="rId23">
                  <o:LockedField>false</o:LockedField>
                </o:OLEObject>
              </w:object>
            </w:r>
          </w:p>
          <w:p w14:paraId="40DBB406">
            <w:pPr>
              <w:pStyle w:val="203"/>
              <w:keepNext w:val="0"/>
              <w:keepLines w:val="0"/>
              <w:suppressLineNumbers w:val="0"/>
              <w:spacing w:before="0" w:beforeAutospacing="0" w:after="0" w:afterAutospacing="0"/>
              <w:ind w:left="0" w:right="0"/>
              <w:rPr>
                <w:rFonts w:hint="default"/>
                <w:bCs/>
              </w:rPr>
            </w:pPr>
            <w:r>
              <w:rPr>
                <w:rFonts w:hint="default"/>
                <w:bCs/>
              </w:rPr>
              <w:t>③计算室外靠近围护结构处的声压级：</w:t>
            </w:r>
          </w:p>
          <w:p w14:paraId="264E0E99">
            <w:pPr>
              <w:pStyle w:val="203"/>
              <w:keepNext w:val="0"/>
              <w:keepLines w:val="0"/>
              <w:suppressLineNumbers w:val="0"/>
              <w:spacing w:before="0" w:beforeAutospacing="0" w:after="0" w:afterAutospacing="0"/>
              <w:ind w:left="0" w:right="0"/>
              <w:rPr>
                <w:rFonts w:hint="default"/>
                <w:bCs/>
              </w:rPr>
            </w:pPr>
            <w:r>
              <w:rPr>
                <w:rFonts w:hint="default"/>
                <w:bCs/>
                <w:position w:val="-14"/>
              </w:rPr>
              <w:object>
                <v:shape id="_x0000_i1029" o:spt="75" type="#_x0000_t75" style="height:18.8pt;width:147.15pt;" o:ole="t" filled="f" o:preferrelative="t" stroked="f" coordsize="21600,21600">
                  <v:path/>
                  <v:fill on="f" focussize="0,0"/>
                  <v:stroke on="f" joinstyle="miter"/>
                  <v:imagedata r:id="rId26" o:title=""/>
                  <o:lock v:ext="edit" aspectratio="t"/>
                  <w10:wrap type="none"/>
                  <w10:anchorlock/>
                </v:shape>
                <o:OLEObject Type="Embed" ProgID="Equation.3" ShapeID="_x0000_i1029" DrawAspect="Content" ObjectID="_1468075730" r:id="rId25">
                  <o:LockedField>false</o:LockedField>
                </o:OLEObject>
              </w:object>
            </w:r>
          </w:p>
          <w:p w14:paraId="016073C0">
            <w:pPr>
              <w:pStyle w:val="203"/>
              <w:keepNext w:val="0"/>
              <w:keepLines w:val="0"/>
              <w:suppressLineNumbers w:val="0"/>
              <w:spacing w:before="0" w:beforeAutospacing="0" w:after="0" w:afterAutospacing="0"/>
              <w:ind w:left="0" w:right="0"/>
              <w:rPr>
                <w:rFonts w:hint="default"/>
                <w:bCs/>
              </w:rPr>
            </w:pPr>
            <w:r>
              <w:rPr>
                <w:rFonts w:hint="default"/>
                <w:bCs/>
              </w:rPr>
              <w:t>④将室外声级 L</w:t>
            </w:r>
            <w:r>
              <w:rPr>
                <w:rFonts w:hint="default"/>
                <w:bCs/>
                <w:vertAlign w:val="subscript"/>
              </w:rPr>
              <w:t xml:space="preserve">oct, 2 </w:t>
            </w:r>
            <w:r>
              <w:rPr>
                <w:rFonts w:hint="default"/>
                <w:bCs/>
              </w:rPr>
              <w:t>(T) 和透声面积换算成等效的室外声源，计算等效声源第i个倍频带的声功率级 L</w:t>
            </w:r>
            <w:r>
              <w:rPr>
                <w:rFonts w:hint="default"/>
                <w:bCs/>
                <w:vertAlign w:val="subscript"/>
              </w:rPr>
              <w:t xml:space="preserve">w oct </w:t>
            </w:r>
            <w:r>
              <w:rPr>
                <w:rFonts w:hint="default"/>
                <w:bCs/>
              </w:rPr>
              <w:t>：</w:t>
            </w:r>
          </w:p>
          <w:p w14:paraId="29F284D4">
            <w:pPr>
              <w:pStyle w:val="203"/>
              <w:keepNext w:val="0"/>
              <w:keepLines w:val="0"/>
              <w:suppressLineNumbers w:val="0"/>
              <w:spacing w:before="0" w:beforeAutospacing="0" w:after="0" w:afterAutospacing="0"/>
              <w:ind w:left="0" w:right="0" w:firstLine="200" w:firstLineChars="0"/>
              <w:rPr>
                <w:rFonts w:hint="default"/>
                <w:bCs/>
              </w:rPr>
            </w:pPr>
            <w:r>
              <w:rPr>
                <w:rFonts w:hint="default"/>
                <w:bCs/>
                <w:position w:val="-30"/>
              </w:rPr>
              <w:t xml:space="preserve">  </w:t>
            </w:r>
            <w:r>
              <w:rPr>
                <w:rFonts w:hint="default"/>
                <w:bCs/>
                <w:position w:val="-14"/>
              </w:rPr>
              <w:object>
                <v:shape id="_x0000_i1030" o:spt="75" type="#_x0000_t75" style="height:19.4pt;width:151.5pt;" o:ole="t" filled="f" o:preferrelative="t" stroked="f" coordsize="21600,21600">
                  <v:path/>
                  <v:fill on="f" focussize="0,0"/>
                  <v:stroke on="f" joinstyle="miter"/>
                  <v:imagedata r:id="rId28" o:title=""/>
                  <o:lock v:ext="edit" aspectratio="t"/>
                  <w10:wrap type="none"/>
                  <w10:anchorlock/>
                </v:shape>
                <o:OLEObject Type="Embed" ProgID="Equation.3" ShapeID="_x0000_i1030" DrawAspect="Content" ObjectID="_1468075731" r:id="rId27">
                  <o:LockedField>false</o:LockedField>
                </o:OLEObject>
              </w:object>
            </w:r>
          </w:p>
          <w:p w14:paraId="7C9A8687">
            <w:pPr>
              <w:pStyle w:val="203"/>
              <w:keepNext w:val="0"/>
              <w:keepLines w:val="0"/>
              <w:suppressLineNumbers w:val="0"/>
              <w:spacing w:before="0" w:beforeAutospacing="0" w:after="0" w:afterAutospacing="0"/>
              <w:ind w:left="0" w:right="0"/>
              <w:rPr>
                <w:rFonts w:hint="default"/>
                <w:bCs/>
              </w:rPr>
            </w:pPr>
            <w:r>
              <w:rPr>
                <w:rFonts w:hint="default"/>
                <w:bCs/>
              </w:rPr>
              <w:t>式中：S — 透声面积，m</w:t>
            </w:r>
            <w:r>
              <w:rPr>
                <w:rFonts w:hint="default"/>
                <w:bCs/>
                <w:vertAlign w:val="superscript"/>
              </w:rPr>
              <w:t>2</w:t>
            </w:r>
            <w:r>
              <w:rPr>
                <w:rFonts w:hint="default"/>
                <w:bCs/>
              </w:rPr>
              <w:t>。</w:t>
            </w:r>
          </w:p>
          <w:p w14:paraId="7251D3BE">
            <w:pPr>
              <w:pStyle w:val="203"/>
              <w:keepNext w:val="0"/>
              <w:keepLines w:val="0"/>
              <w:suppressLineNumbers w:val="0"/>
              <w:spacing w:before="0" w:beforeAutospacing="0" w:after="0" w:afterAutospacing="0"/>
              <w:ind w:left="0" w:right="0"/>
              <w:rPr>
                <w:rFonts w:hint="default"/>
                <w:bCs/>
              </w:rPr>
            </w:pPr>
            <w:r>
              <w:rPr>
                <w:rFonts w:hint="eastAsia"/>
                <w:bCs/>
              </w:rPr>
              <w:t>⑤点声源几何发散衰减算基本公式</w:t>
            </w:r>
            <w:r>
              <w:rPr>
                <w:rFonts w:hint="default"/>
                <w:bCs/>
              </w:rPr>
              <w:t>：</w:t>
            </w:r>
          </w:p>
          <w:p w14:paraId="0CC7FCDC">
            <w:pPr>
              <w:pStyle w:val="203"/>
              <w:keepNext w:val="0"/>
              <w:keepLines w:val="0"/>
              <w:suppressLineNumbers w:val="0"/>
              <w:spacing w:before="0" w:beforeAutospacing="0" w:after="0" w:afterAutospacing="0"/>
              <w:ind w:left="0" w:right="0" w:firstLine="200" w:firstLineChars="0"/>
              <w:rPr>
                <w:rFonts w:hint="default"/>
                <w:bCs/>
              </w:rPr>
            </w:pPr>
            <w:r>
              <w:rPr>
                <w:rFonts w:hint="default"/>
                <w:bCs/>
                <w:position w:val="-14"/>
              </w:rPr>
              <w:t xml:space="preserve">   </w:t>
            </w:r>
            <w:r>
              <w:rPr>
                <w:rFonts w:hint="default"/>
                <w:bCs/>
                <w:position w:val="-14"/>
              </w:rPr>
              <w:object>
                <v:shape id="_x0000_i1031" o:spt="75" type="#_x0000_t75" style="height:18.8pt;width:164.05pt;" o:ole="t" filled="f" o:preferrelative="t" stroked="f" coordsize="21600,21600">
                  <v:path/>
                  <v:fill on="f" focussize="0,0"/>
                  <v:stroke on="f" joinstyle="miter"/>
                  <v:imagedata r:id="rId30" o:title=""/>
                  <o:lock v:ext="edit" aspectratio="t"/>
                  <w10:wrap type="none"/>
                  <w10:anchorlock/>
                </v:shape>
                <o:OLEObject Type="Embed" ProgID="Equation.3" ShapeID="_x0000_i1031" DrawAspect="Content" ObjectID="_1468075732" r:id="rId29">
                  <o:LockedField>false</o:LockedField>
                </o:OLEObject>
              </w:object>
            </w:r>
          </w:p>
          <w:p w14:paraId="316D1944">
            <w:pPr>
              <w:pStyle w:val="203"/>
              <w:keepNext w:val="0"/>
              <w:keepLines w:val="0"/>
              <w:suppressLineNumbers w:val="0"/>
              <w:spacing w:before="0" w:beforeAutospacing="0" w:after="0" w:afterAutospacing="0"/>
              <w:ind w:left="0" w:right="0"/>
              <w:rPr>
                <w:rFonts w:hint="default"/>
                <w:bCs/>
              </w:rPr>
            </w:pPr>
            <w:r>
              <w:rPr>
                <w:rFonts w:hint="default"/>
                <w:bCs/>
              </w:rPr>
              <w:t>式中：L</w:t>
            </w:r>
            <w:r>
              <w:rPr>
                <w:rFonts w:hint="default"/>
                <w:bCs/>
                <w:vertAlign w:val="subscript"/>
              </w:rPr>
              <w:t xml:space="preserve">oct </w:t>
            </w:r>
            <w:r>
              <w:rPr>
                <w:rFonts w:hint="default"/>
                <w:bCs/>
              </w:rPr>
              <w:t>(r)</w:t>
            </w:r>
            <w:r>
              <w:rPr>
                <w:rFonts w:hint="default"/>
                <w:bCs/>
                <w:vertAlign w:val="subscript"/>
              </w:rPr>
              <w:t xml:space="preserve">  </w:t>
            </w:r>
            <w:r>
              <w:rPr>
                <w:rFonts w:hint="default"/>
                <w:bCs/>
              </w:rPr>
              <w:sym w:font="Symbol" w:char="F0BE"/>
            </w:r>
            <w:r>
              <w:rPr>
                <w:rFonts w:hint="default"/>
                <w:bCs/>
              </w:rPr>
              <w:t xml:space="preserve"> 点声源在预测点产生的倍频带声压级，dB；</w:t>
            </w:r>
          </w:p>
          <w:p w14:paraId="2DDA4C9C">
            <w:pPr>
              <w:pStyle w:val="203"/>
              <w:keepNext w:val="0"/>
              <w:keepLines w:val="0"/>
              <w:suppressLineNumbers w:val="0"/>
              <w:spacing w:before="0" w:beforeAutospacing="0" w:after="0" w:afterAutospacing="0"/>
              <w:ind w:left="0" w:right="0"/>
              <w:rPr>
                <w:rFonts w:hint="default"/>
                <w:bCs/>
              </w:rPr>
            </w:pPr>
            <w:r>
              <w:rPr>
                <w:rFonts w:hint="default"/>
                <w:bCs/>
              </w:rPr>
              <w:t>L</w:t>
            </w:r>
            <w:r>
              <w:rPr>
                <w:rFonts w:hint="default"/>
                <w:bCs/>
                <w:vertAlign w:val="subscript"/>
              </w:rPr>
              <w:t xml:space="preserve">oct </w:t>
            </w:r>
            <w:r>
              <w:rPr>
                <w:rFonts w:hint="default"/>
                <w:bCs/>
              </w:rPr>
              <w:t>(r</w:t>
            </w:r>
            <w:r>
              <w:rPr>
                <w:rFonts w:hint="default"/>
                <w:bCs/>
                <w:vertAlign w:val="subscript"/>
              </w:rPr>
              <w:t>0</w:t>
            </w:r>
            <w:r>
              <w:rPr>
                <w:rFonts w:hint="default"/>
                <w:bCs/>
              </w:rPr>
              <w:t xml:space="preserve">) </w:t>
            </w:r>
            <w:r>
              <w:rPr>
                <w:rFonts w:hint="default"/>
                <w:bCs/>
              </w:rPr>
              <w:sym w:font="Symbol" w:char="F0BE"/>
            </w:r>
            <w:r>
              <w:rPr>
                <w:rFonts w:hint="default"/>
                <w:bCs/>
              </w:rPr>
              <w:t xml:space="preserve"> 参考位置r</w:t>
            </w:r>
            <w:r>
              <w:rPr>
                <w:rFonts w:hint="default"/>
                <w:bCs/>
                <w:vertAlign w:val="subscript"/>
              </w:rPr>
              <w:t>0</w:t>
            </w:r>
            <w:r>
              <w:rPr>
                <w:rFonts w:hint="default"/>
                <w:bCs/>
              </w:rPr>
              <w:t>处的倍频带声压级，dB；</w:t>
            </w:r>
          </w:p>
          <w:p w14:paraId="5605CBC5">
            <w:pPr>
              <w:pStyle w:val="203"/>
              <w:keepNext w:val="0"/>
              <w:keepLines w:val="0"/>
              <w:suppressLineNumbers w:val="0"/>
              <w:spacing w:before="0" w:beforeAutospacing="0" w:after="0" w:afterAutospacing="0"/>
              <w:ind w:left="0" w:right="0"/>
              <w:rPr>
                <w:rFonts w:hint="default"/>
                <w:bCs/>
              </w:rPr>
            </w:pPr>
            <w:r>
              <w:rPr>
                <w:rFonts w:hint="default"/>
                <w:bCs/>
              </w:rPr>
              <w:t>r</w:t>
            </w:r>
            <w:r>
              <w:rPr>
                <w:rFonts w:hint="default"/>
                <w:bCs/>
              </w:rPr>
              <w:sym w:font="Symbol" w:char="F0BE"/>
            </w:r>
            <w:r>
              <w:rPr>
                <w:rFonts w:hint="default"/>
                <w:bCs/>
              </w:rPr>
              <w:t xml:space="preserve"> 预测点距声源的距离，m；</w:t>
            </w:r>
          </w:p>
          <w:p w14:paraId="7B537B01">
            <w:pPr>
              <w:pStyle w:val="203"/>
              <w:keepNext w:val="0"/>
              <w:keepLines w:val="0"/>
              <w:suppressLineNumbers w:val="0"/>
              <w:spacing w:before="0" w:beforeAutospacing="0" w:after="0" w:afterAutospacing="0"/>
              <w:ind w:left="0" w:right="0"/>
              <w:rPr>
                <w:rFonts w:hint="default"/>
                <w:bCs/>
              </w:rPr>
            </w:pPr>
            <w:r>
              <w:rPr>
                <w:rFonts w:hint="default"/>
                <w:bCs/>
              </w:rPr>
              <w:t>r</w:t>
            </w:r>
            <w:r>
              <w:rPr>
                <w:rFonts w:hint="default"/>
                <w:bCs/>
                <w:vertAlign w:val="subscript"/>
              </w:rPr>
              <w:t>0</w:t>
            </w:r>
            <w:r>
              <w:rPr>
                <w:rFonts w:hint="default"/>
                <w:bCs/>
              </w:rPr>
              <w:sym w:font="Symbol" w:char="F0BE"/>
            </w:r>
            <w:r>
              <w:rPr>
                <w:rFonts w:hint="default"/>
                <w:bCs/>
              </w:rPr>
              <w:t xml:space="preserve"> 参考位置距声源的距离，m；</w:t>
            </w:r>
          </w:p>
          <w:p w14:paraId="22AA3E3E">
            <w:pPr>
              <w:pStyle w:val="203"/>
              <w:keepNext w:val="0"/>
              <w:keepLines w:val="0"/>
              <w:suppressLineNumbers w:val="0"/>
              <w:spacing w:before="0" w:beforeAutospacing="0" w:after="0" w:afterAutospacing="0"/>
              <w:ind w:left="0" w:right="0"/>
              <w:rPr>
                <w:rFonts w:hint="default"/>
                <w:bCs/>
              </w:rPr>
            </w:pPr>
            <w:r>
              <w:rPr>
                <w:rFonts w:hint="default"/>
                <w:bCs/>
              </w:rPr>
              <w:sym w:font="Symbol" w:char="F044"/>
            </w:r>
            <w:r>
              <w:rPr>
                <w:rFonts w:hint="default"/>
                <w:bCs/>
              </w:rPr>
              <w:t xml:space="preserve">L </w:t>
            </w:r>
            <w:r>
              <w:rPr>
                <w:rFonts w:hint="default"/>
                <w:bCs/>
              </w:rPr>
              <w:sym w:font="Symbol" w:char="F0BE"/>
            </w:r>
            <w:r>
              <w:rPr>
                <w:rFonts w:hint="default"/>
                <w:bCs/>
              </w:rPr>
              <w:t xml:space="preserve"> </w:t>
            </w:r>
            <w:r>
              <w:rPr>
                <w:rFonts w:hint="eastAsia"/>
                <w:bCs/>
              </w:rPr>
              <w:t>除距离衰减外，其它因素引起的衰减量，dB（A）</w:t>
            </w:r>
            <w:r>
              <w:rPr>
                <w:rFonts w:hint="default"/>
                <w:bCs/>
              </w:rPr>
              <w:t>。</w:t>
            </w:r>
          </w:p>
          <w:p w14:paraId="36C1D926">
            <w:pPr>
              <w:keepNext w:val="0"/>
              <w:keepLines w:val="0"/>
              <w:suppressLineNumbers w:val="0"/>
              <w:adjustRightInd w:val="0"/>
              <w:snapToGrid w:val="0"/>
              <w:spacing w:before="0" w:beforeAutospacing="0" w:after="0" w:afterAutospacing="0" w:line="360" w:lineRule="auto"/>
              <w:ind w:left="0" w:right="0" w:firstLine="480" w:firstLineChars="200"/>
              <w:rPr>
                <w:rFonts w:hint="default"/>
                <w:bCs/>
                <w:sz w:val="24"/>
              </w:rPr>
            </w:pPr>
            <w:r>
              <w:rPr>
                <w:rFonts w:hint="eastAsia"/>
                <w:bCs/>
                <w:sz w:val="24"/>
              </w:rPr>
              <w:t>⑥对两个以上多个声源同时存在时，多点源叠加计算总强度，采用如下公式计：</w:t>
            </w:r>
          </w:p>
          <w:p w14:paraId="43D55024">
            <w:pPr>
              <w:keepNext w:val="0"/>
              <w:keepLines w:val="0"/>
              <w:suppressLineNumbers w:val="0"/>
              <w:adjustRightInd w:val="0"/>
              <w:snapToGrid w:val="0"/>
              <w:spacing w:before="0" w:beforeAutospacing="0" w:after="0" w:afterAutospacing="0" w:line="360" w:lineRule="auto"/>
              <w:ind w:left="0" w:right="0"/>
              <w:jc w:val="center"/>
              <w:rPr>
                <w:rFonts w:hint="default"/>
              </w:rPr>
            </w:pPr>
            <w:r>
              <w:rPr>
                <w:rFonts w:hint="default"/>
              </w:rPr>
              <w:drawing>
                <wp:inline distT="0" distB="0" distL="114300" distR="114300">
                  <wp:extent cx="1988820" cy="480060"/>
                  <wp:effectExtent l="0" t="0" r="5080" b="2540"/>
                  <wp:docPr id="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3"/>
                          <pic:cNvPicPr>
                            <a:picLocks noChangeAspect="1"/>
                          </pic:cNvPicPr>
                        </pic:nvPicPr>
                        <pic:blipFill>
                          <a:blip r:embed="rId31"/>
                          <a:stretch>
                            <a:fillRect/>
                          </a:stretch>
                        </pic:blipFill>
                        <pic:spPr>
                          <a:xfrm>
                            <a:off x="0" y="0"/>
                            <a:ext cx="1988820" cy="480060"/>
                          </a:xfrm>
                          <a:prstGeom prst="rect">
                            <a:avLst/>
                          </a:prstGeom>
                          <a:noFill/>
                          <a:ln>
                            <a:noFill/>
                          </a:ln>
                        </pic:spPr>
                      </pic:pic>
                    </a:graphicData>
                  </a:graphic>
                </wp:inline>
              </w:drawing>
            </w:r>
          </w:p>
          <w:p w14:paraId="6FBBDDB0">
            <w:pPr>
              <w:keepNext w:val="0"/>
              <w:keepLines w:val="0"/>
              <w:suppressLineNumbers w:val="0"/>
              <w:adjustRightInd w:val="0"/>
              <w:snapToGrid w:val="0"/>
              <w:spacing w:before="0" w:beforeAutospacing="0" w:after="0" w:afterAutospacing="0" w:line="360" w:lineRule="auto"/>
              <w:ind w:left="0" w:right="0" w:firstLine="480" w:firstLineChars="200"/>
              <w:jc w:val="left"/>
              <w:rPr>
                <w:rFonts w:hint="default"/>
                <w:sz w:val="24"/>
              </w:rPr>
            </w:pPr>
            <w:r>
              <w:rPr>
                <w:rFonts w:hint="default"/>
                <w:sz w:val="24"/>
              </w:rPr>
              <w:t>式中：Leqg——建设项目声源在预测点的等效声级贡献值，dB(A)；</w:t>
            </w:r>
          </w:p>
          <w:p w14:paraId="6DAEFADD">
            <w:pPr>
              <w:keepNext w:val="0"/>
              <w:keepLines w:val="0"/>
              <w:suppressLineNumbers w:val="0"/>
              <w:adjustRightInd w:val="0"/>
              <w:snapToGrid w:val="0"/>
              <w:spacing w:before="0" w:beforeAutospacing="0" w:after="0" w:afterAutospacing="0" w:line="360" w:lineRule="auto"/>
              <w:ind w:left="0" w:right="0" w:firstLine="480" w:firstLineChars="200"/>
              <w:jc w:val="left"/>
              <w:rPr>
                <w:rFonts w:hint="default"/>
                <w:b/>
                <w:bCs/>
                <w:sz w:val="24"/>
              </w:rPr>
            </w:pPr>
            <w:r>
              <w:rPr>
                <w:rFonts w:hint="default"/>
                <w:sz w:val="24"/>
              </w:rPr>
              <w:t>LAi——i声源在预测点产生的A声级，dB(A)；</w:t>
            </w:r>
          </w:p>
          <w:p w14:paraId="378A6996">
            <w:pPr>
              <w:pStyle w:val="51"/>
              <w:ind w:firstLine="480"/>
              <w:rPr>
                <w:rFonts w:hint="eastAsia"/>
                <w:sz w:val="24"/>
              </w:rPr>
            </w:pPr>
            <w:r>
              <w:rPr>
                <w:rFonts w:hint="eastAsia"/>
                <w:sz w:val="24"/>
              </w:rPr>
              <w:t>本项目计算声源时，所有室内源均按导则要求经过换算，等效于室外点源，并根据治理措施降噪后的声级值，再进行衰减的分布计算。由于企业实行</w:t>
            </w:r>
            <w:r>
              <w:rPr>
                <w:rFonts w:hint="eastAsia"/>
                <w:sz w:val="24"/>
                <w:lang w:val="en-US" w:eastAsia="zh-CN"/>
              </w:rPr>
              <w:t>两</w:t>
            </w:r>
            <w:r>
              <w:rPr>
                <w:rFonts w:hint="eastAsia"/>
                <w:sz w:val="24"/>
              </w:rPr>
              <w:t>班制生产工作制，每班工作时间8小时，故本报告对本项目昼</w:t>
            </w:r>
            <w:r>
              <w:rPr>
                <w:rFonts w:hint="eastAsia"/>
                <w:sz w:val="24"/>
                <w:lang w:val="en-US" w:eastAsia="zh-CN"/>
              </w:rPr>
              <w:t>夜</w:t>
            </w:r>
            <w:r>
              <w:rPr>
                <w:rFonts w:hint="eastAsia"/>
                <w:sz w:val="24"/>
              </w:rPr>
              <w:t>噪声影响进行预测。本项目实施后厂界噪声预测结果见表4-</w:t>
            </w:r>
            <w:r>
              <w:rPr>
                <w:rFonts w:hint="eastAsia"/>
                <w:sz w:val="24"/>
                <w:lang w:val="en-US" w:eastAsia="zh-CN"/>
              </w:rPr>
              <w:t>12</w:t>
            </w:r>
            <w:r>
              <w:rPr>
                <w:rFonts w:hint="eastAsia"/>
                <w:sz w:val="24"/>
              </w:rPr>
              <w:t>。</w:t>
            </w:r>
          </w:p>
          <w:p w14:paraId="30F48961">
            <w:pPr>
              <w:pStyle w:val="52"/>
            </w:pPr>
            <w:r>
              <w:rPr>
                <w:rFonts w:hint="eastAsia"/>
              </w:rPr>
              <w:t>表4</w:t>
            </w:r>
            <w:r>
              <w:t>-</w:t>
            </w:r>
            <w:r>
              <w:rPr>
                <w:rFonts w:hint="eastAsia"/>
                <w:lang w:val="en-US" w:eastAsia="zh-CN"/>
              </w:rPr>
              <w:t>12</w:t>
            </w:r>
            <w:r>
              <w:t xml:space="preserve">  </w:t>
            </w:r>
            <w:r>
              <w:rPr>
                <w:rFonts w:hint="eastAsia"/>
              </w:rPr>
              <w:t>噪声预测结果表</w:t>
            </w:r>
          </w:p>
          <w:tbl>
            <w:tblPr>
              <w:tblStyle w:val="23"/>
              <w:tblW w:w="49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1637"/>
              <w:gridCol w:w="1489"/>
              <w:gridCol w:w="1366"/>
              <w:gridCol w:w="1463"/>
              <w:gridCol w:w="1322"/>
            </w:tblGrid>
            <w:tr w14:paraId="36F1C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95"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47D63928">
                  <w:pPr>
                    <w:autoSpaceDE w:val="0"/>
                    <w:jc w:val="center"/>
                    <w:outlineLvl w:val="1"/>
                    <w:rPr>
                      <w:b/>
                      <w:bCs/>
                      <w:color w:val="auto"/>
                      <w:kern w:val="0"/>
                      <w:szCs w:val="21"/>
                    </w:rPr>
                  </w:pPr>
                  <w:r>
                    <w:rPr>
                      <w:rFonts w:hint="eastAsia"/>
                      <w:b/>
                      <w:bCs/>
                      <w:color w:val="auto"/>
                      <w:kern w:val="0"/>
                      <w:szCs w:val="21"/>
                    </w:rPr>
                    <w:t>序号</w:t>
                  </w:r>
                </w:p>
              </w:tc>
              <w:tc>
                <w:tcPr>
                  <w:tcW w:w="1013" w:type="pct"/>
                  <w:vMerge w:val="restart"/>
                  <w:tcBorders>
                    <w:top w:val="single" w:color="auto" w:sz="4" w:space="0"/>
                    <w:left w:val="nil"/>
                    <w:bottom w:val="single" w:color="auto" w:sz="4" w:space="0"/>
                    <w:right w:val="single" w:color="auto" w:sz="4" w:space="0"/>
                  </w:tcBorders>
                  <w:shd w:val="clear" w:color="auto" w:fill="auto"/>
                  <w:vAlign w:val="center"/>
                </w:tcPr>
                <w:p w14:paraId="005B8C7A">
                  <w:pPr>
                    <w:autoSpaceDE w:val="0"/>
                    <w:jc w:val="center"/>
                    <w:outlineLvl w:val="1"/>
                    <w:rPr>
                      <w:b/>
                      <w:bCs/>
                      <w:color w:val="auto"/>
                      <w:kern w:val="0"/>
                      <w:szCs w:val="21"/>
                    </w:rPr>
                  </w:pPr>
                  <w:r>
                    <w:rPr>
                      <w:rFonts w:hint="eastAsia"/>
                      <w:b/>
                      <w:bCs/>
                      <w:color w:val="auto"/>
                      <w:kern w:val="0"/>
                      <w:szCs w:val="21"/>
                    </w:rPr>
                    <w:t>预测点位</w:t>
                  </w:r>
                </w:p>
              </w:tc>
              <w:tc>
                <w:tcPr>
                  <w:tcW w:w="921" w:type="pct"/>
                  <w:vMerge w:val="restart"/>
                  <w:tcBorders>
                    <w:top w:val="single" w:color="auto" w:sz="4" w:space="0"/>
                    <w:left w:val="nil"/>
                    <w:bottom w:val="single" w:color="auto" w:sz="4" w:space="0"/>
                    <w:right w:val="single" w:color="auto" w:sz="4" w:space="0"/>
                  </w:tcBorders>
                  <w:shd w:val="clear" w:color="auto" w:fill="auto"/>
                  <w:vAlign w:val="center"/>
                </w:tcPr>
                <w:p w14:paraId="5328C8BC">
                  <w:pPr>
                    <w:autoSpaceDE w:val="0"/>
                    <w:jc w:val="center"/>
                    <w:outlineLvl w:val="1"/>
                    <w:rPr>
                      <w:b/>
                      <w:bCs/>
                      <w:color w:val="auto"/>
                      <w:kern w:val="0"/>
                      <w:szCs w:val="21"/>
                    </w:rPr>
                  </w:pPr>
                  <w:r>
                    <w:rPr>
                      <w:rFonts w:hint="eastAsia"/>
                      <w:b/>
                      <w:bCs/>
                      <w:color w:val="auto"/>
                      <w:kern w:val="0"/>
                      <w:szCs w:val="21"/>
                    </w:rPr>
                    <w:t>贡献值</w:t>
                  </w:r>
                </w:p>
              </w:tc>
              <w:tc>
                <w:tcPr>
                  <w:tcW w:w="1750" w:type="pct"/>
                  <w:gridSpan w:val="2"/>
                  <w:tcBorders>
                    <w:top w:val="single" w:color="auto" w:sz="4" w:space="0"/>
                    <w:left w:val="nil"/>
                    <w:bottom w:val="single" w:color="auto" w:sz="4" w:space="0"/>
                    <w:right w:val="single" w:color="auto" w:sz="4" w:space="0"/>
                  </w:tcBorders>
                  <w:shd w:val="clear" w:color="auto" w:fill="auto"/>
                  <w:vAlign w:val="center"/>
                </w:tcPr>
                <w:p w14:paraId="5EA9B8C7">
                  <w:pPr>
                    <w:autoSpaceDE w:val="0"/>
                    <w:jc w:val="center"/>
                    <w:outlineLvl w:val="1"/>
                    <w:rPr>
                      <w:b/>
                      <w:bCs/>
                      <w:color w:val="auto"/>
                      <w:kern w:val="0"/>
                      <w:szCs w:val="21"/>
                    </w:rPr>
                  </w:pPr>
                  <w:r>
                    <w:rPr>
                      <w:rFonts w:hint="eastAsia"/>
                      <w:b/>
                      <w:bCs/>
                      <w:color w:val="auto"/>
                      <w:kern w:val="0"/>
                      <w:szCs w:val="21"/>
                    </w:rPr>
                    <w:t>标准值</w:t>
                  </w:r>
                </w:p>
              </w:tc>
              <w:tc>
                <w:tcPr>
                  <w:tcW w:w="818" w:type="pct"/>
                  <w:vMerge w:val="restart"/>
                  <w:tcBorders>
                    <w:top w:val="single" w:color="auto" w:sz="4" w:space="0"/>
                    <w:left w:val="nil"/>
                    <w:bottom w:val="single" w:color="auto" w:sz="4" w:space="0"/>
                    <w:right w:val="single" w:color="auto" w:sz="4" w:space="0"/>
                  </w:tcBorders>
                  <w:shd w:val="clear" w:color="auto" w:fill="auto"/>
                  <w:vAlign w:val="center"/>
                </w:tcPr>
                <w:p w14:paraId="30228269">
                  <w:pPr>
                    <w:autoSpaceDE w:val="0"/>
                    <w:jc w:val="center"/>
                    <w:outlineLvl w:val="1"/>
                    <w:rPr>
                      <w:b/>
                      <w:bCs/>
                      <w:color w:val="auto"/>
                      <w:kern w:val="0"/>
                      <w:szCs w:val="21"/>
                    </w:rPr>
                  </w:pPr>
                  <w:r>
                    <w:rPr>
                      <w:rFonts w:hint="eastAsia"/>
                      <w:b/>
                      <w:bCs/>
                      <w:color w:val="auto"/>
                      <w:kern w:val="0"/>
                      <w:szCs w:val="21"/>
                    </w:rPr>
                    <w:t>是否达标</w:t>
                  </w:r>
                </w:p>
              </w:tc>
            </w:tr>
            <w:tr w14:paraId="28E97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95"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385E215">
                  <w:pPr>
                    <w:widowControl/>
                    <w:jc w:val="left"/>
                    <w:rPr>
                      <w:b/>
                      <w:bCs/>
                      <w:color w:val="auto"/>
                      <w:kern w:val="0"/>
                      <w:szCs w:val="21"/>
                    </w:rPr>
                  </w:pPr>
                </w:p>
              </w:tc>
              <w:tc>
                <w:tcPr>
                  <w:tcW w:w="1013" w:type="pct"/>
                  <w:vMerge w:val="continue"/>
                  <w:tcBorders>
                    <w:top w:val="single" w:color="auto" w:sz="4" w:space="0"/>
                    <w:left w:val="nil"/>
                    <w:bottom w:val="single" w:color="auto" w:sz="4" w:space="0"/>
                    <w:right w:val="single" w:color="auto" w:sz="4" w:space="0"/>
                  </w:tcBorders>
                  <w:shd w:val="clear" w:color="auto" w:fill="auto"/>
                  <w:vAlign w:val="center"/>
                </w:tcPr>
                <w:p w14:paraId="723F2B99">
                  <w:pPr>
                    <w:widowControl/>
                    <w:jc w:val="left"/>
                    <w:rPr>
                      <w:b/>
                      <w:bCs/>
                      <w:color w:val="auto"/>
                      <w:kern w:val="0"/>
                      <w:szCs w:val="21"/>
                    </w:rPr>
                  </w:pPr>
                </w:p>
              </w:tc>
              <w:tc>
                <w:tcPr>
                  <w:tcW w:w="921" w:type="pct"/>
                  <w:vMerge w:val="continue"/>
                  <w:tcBorders>
                    <w:top w:val="single" w:color="auto" w:sz="4" w:space="0"/>
                    <w:left w:val="nil"/>
                    <w:bottom w:val="single" w:color="auto" w:sz="4" w:space="0"/>
                    <w:right w:val="single" w:color="auto" w:sz="4" w:space="0"/>
                  </w:tcBorders>
                  <w:shd w:val="clear" w:color="auto" w:fill="auto"/>
                  <w:vAlign w:val="center"/>
                </w:tcPr>
                <w:p w14:paraId="7C78830A">
                  <w:pPr>
                    <w:widowControl/>
                    <w:jc w:val="left"/>
                    <w:rPr>
                      <w:b/>
                      <w:bCs/>
                      <w:color w:val="auto"/>
                      <w:kern w:val="0"/>
                      <w:szCs w:val="21"/>
                    </w:rPr>
                  </w:pPr>
                </w:p>
              </w:tc>
              <w:tc>
                <w:tcPr>
                  <w:tcW w:w="845" w:type="pct"/>
                  <w:tcBorders>
                    <w:top w:val="single" w:color="auto" w:sz="4" w:space="0"/>
                    <w:left w:val="nil"/>
                    <w:bottom w:val="single" w:color="auto" w:sz="4" w:space="0"/>
                    <w:right w:val="single" w:color="auto" w:sz="4" w:space="0"/>
                  </w:tcBorders>
                  <w:shd w:val="clear" w:color="auto" w:fill="auto"/>
                  <w:vAlign w:val="center"/>
                </w:tcPr>
                <w:p w14:paraId="36481D94">
                  <w:pPr>
                    <w:autoSpaceDE w:val="0"/>
                    <w:jc w:val="center"/>
                    <w:outlineLvl w:val="1"/>
                    <w:rPr>
                      <w:b/>
                      <w:bCs/>
                      <w:color w:val="auto"/>
                      <w:kern w:val="0"/>
                      <w:szCs w:val="21"/>
                    </w:rPr>
                  </w:pPr>
                  <w:r>
                    <w:rPr>
                      <w:rFonts w:hint="eastAsia"/>
                      <w:b/>
                      <w:bCs/>
                      <w:color w:val="auto"/>
                      <w:kern w:val="0"/>
                      <w:szCs w:val="21"/>
                    </w:rPr>
                    <w:t>昼间</w:t>
                  </w:r>
                </w:p>
              </w:tc>
              <w:tc>
                <w:tcPr>
                  <w:tcW w:w="904" w:type="pct"/>
                  <w:tcBorders>
                    <w:top w:val="single" w:color="auto" w:sz="4" w:space="0"/>
                    <w:left w:val="nil"/>
                    <w:bottom w:val="single" w:color="auto" w:sz="4" w:space="0"/>
                    <w:right w:val="single" w:color="auto" w:sz="4" w:space="0"/>
                  </w:tcBorders>
                  <w:shd w:val="clear" w:color="auto" w:fill="auto"/>
                  <w:vAlign w:val="center"/>
                </w:tcPr>
                <w:p w14:paraId="07A395DA">
                  <w:pPr>
                    <w:autoSpaceDE w:val="0"/>
                    <w:jc w:val="center"/>
                    <w:outlineLvl w:val="1"/>
                    <w:rPr>
                      <w:b/>
                      <w:bCs/>
                      <w:color w:val="auto"/>
                      <w:kern w:val="0"/>
                      <w:szCs w:val="21"/>
                    </w:rPr>
                  </w:pPr>
                  <w:r>
                    <w:rPr>
                      <w:rFonts w:hint="eastAsia"/>
                      <w:b/>
                      <w:bCs/>
                      <w:color w:val="auto"/>
                      <w:kern w:val="0"/>
                      <w:szCs w:val="21"/>
                    </w:rPr>
                    <w:t>夜间</w:t>
                  </w:r>
                </w:p>
              </w:tc>
              <w:tc>
                <w:tcPr>
                  <w:tcW w:w="818" w:type="pct"/>
                  <w:vMerge w:val="continue"/>
                  <w:tcBorders>
                    <w:top w:val="single" w:color="auto" w:sz="4" w:space="0"/>
                    <w:left w:val="nil"/>
                    <w:bottom w:val="single" w:color="auto" w:sz="4" w:space="0"/>
                    <w:right w:val="single" w:color="auto" w:sz="4" w:space="0"/>
                  </w:tcBorders>
                  <w:shd w:val="clear" w:color="auto" w:fill="auto"/>
                  <w:vAlign w:val="center"/>
                </w:tcPr>
                <w:p w14:paraId="29B892EE">
                  <w:pPr>
                    <w:widowControl/>
                    <w:jc w:val="left"/>
                    <w:rPr>
                      <w:color w:val="auto"/>
                      <w:kern w:val="0"/>
                      <w:szCs w:val="21"/>
                    </w:rPr>
                  </w:pPr>
                </w:p>
              </w:tc>
            </w:tr>
            <w:tr w14:paraId="42632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95" w:type="pct"/>
                  <w:tcBorders>
                    <w:top w:val="single" w:color="auto" w:sz="4" w:space="0"/>
                    <w:left w:val="single" w:color="auto" w:sz="4" w:space="0"/>
                    <w:bottom w:val="single" w:color="auto" w:sz="4" w:space="0"/>
                    <w:right w:val="single" w:color="auto" w:sz="4" w:space="0"/>
                  </w:tcBorders>
                  <w:shd w:val="clear" w:color="auto" w:fill="auto"/>
                  <w:vAlign w:val="center"/>
                </w:tcPr>
                <w:p w14:paraId="255B621F">
                  <w:pPr>
                    <w:autoSpaceDE w:val="0"/>
                    <w:jc w:val="center"/>
                    <w:outlineLvl w:val="1"/>
                    <w:rPr>
                      <w:rFonts w:hint="eastAsia" w:eastAsia="宋体"/>
                      <w:color w:val="auto"/>
                      <w:kern w:val="0"/>
                      <w:szCs w:val="21"/>
                      <w:lang w:eastAsia="zh-CN"/>
                    </w:rPr>
                  </w:pPr>
                  <w:r>
                    <w:rPr>
                      <w:rFonts w:hint="eastAsia"/>
                      <w:color w:val="auto"/>
                      <w:kern w:val="0"/>
                      <w:szCs w:val="21"/>
                      <w:lang w:val="en-US" w:eastAsia="zh-CN"/>
                    </w:rPr>
                    <w:t>1</w:t>
                  </w:r>
                </w:p>
              </w:tc>
              <w:tc>
                <w:tcPr>
                  <w:tcW w:w="1013" w:type="pct"/>
                  <w:tcBorders>
                    <w:top w:val="single" w:color="auto" w:sz="4" w:space="0"/>
                    <w:left w:val="nil"/>
                    <w:bottom w:val="single" w:color="auto" w:sz="4" w:space="0"/>
                    <w:right w:val="single" w:color="auto" w:sz="4" w:space="0"/>
                  </w:tcBorders>
                  <w:shd w:val="clear" w:color="auto" w:fill="auto"/>
                  <w:vAlign w:val="center"/>
                </w:tcPr>
                <w:p w14:paraId="3DCFFE47">
                  <w:pPr>
                    <w:autoSpaceDE w:val="0"/>
                    <w:jc w:val="center"/>
                    <w:outlineLvl w:val="1"/>
                    <w:rPr>
                      <w:color w:val="auto"/>
                      <w:kern w:val="0"/>
                      <w:szCs w:val="21"/>
                    </w:rPr>
                  </w:pPr>
                  <w:r>
                    <w:rPr>
                      <w:rFonts w:hint="eastAsia"/>
                      <w:color w:val="auto"/>
                      <w:kern w:val="0"/>
                      <w:szCs w:val="21"/>
                    </w:rPr>
                    <w:t>东厂界</w:t>
                  </w:r>
                </w:p>
              </w:tc>
              <w:tc>
                <w:tcPr>
                  <w:tcW w:w="921" w:type="pct"/>
                  <w:tcBorders>
                    <w:top w:val="single" w:color="auto" w:sz="4" w:space="0"/>
                    <w:left w:val="nil"/>
                    <w:bottom w:val="single" w:color="auto" w:sz="4" w:space="0"/>
                    <w:right w:val="single" w:color="auto" w:sz="4" w:space="0"/>
                  </w:tcBorders>
                  <w:shd w:val="clear" w:color="auto" w:fill="auto"/>
                  <w:vAlign w:val="center"/>
                </w:tcPr>
                <w:p w14:paraId="6F5ABA6A">
                  <w:pPr>
                    <w:autoSpaceDE w:val="0"/>
                    <w:jc w:val="center"/>
                    <w:outlineLvl w:val="1"/>
                    <w:rPr>
                      <w:rFonts w:hint="default" w:eastAsia="宋体"/>
                      <w:color w:val="auto"/>
                      <w:kern w:val="0"/>
                      <w:szCs w:val="21"/>
                      <w:lang w:val="en-US" w:eastAsia="zh-CN"/>
                    </w:rPr>
                  </w:pPr>
                  <w:r>
                    <w:rPr>
                      <w:rFonts w:hint="eastAsia"/>
                      <w:color w:val="auto"/>
                      <w:kern w:val="0"/>
                      <w:szCs w:val="21"/>
                      <w:lang w:val="en-US" w:eastAsia="zh-CN"/>
                    </w:rPr>
                    <w:t>46.8</w:t>
                  </w:r>
                </w:p>
              </w:tc>
              <w:tc>
                <w:tcPr>
                  <w:tcW w:w="845" w:type="pct"/>
                  <w:tcBorders>
                    <w:top w:val="single" w:color="auto" w:sz="4" w:space="0"/>
                    <w:left w:val="nil"/>
                    <w:bottom w:val="single" w:color="auto" w:sz="4" w:space="0"/>
                    <w:right w:val="single" w:color="auto" w:sz="4" w:space="0"/>
                  </w:tcBorders>
                  <w:shd w:val="clear" w:color="auto" w:fill="auto"/>
                  <w:vAlign w:val="center"/>
                </w:tcPr>
                <w:p w14:paraId="06AE5F6F">
                  <w:pPr>
                    <w:autoSpaceDE w:val="0"/>
                    <w:jc w:val="center"/>
                    <w:outlineLvl w:val="1"/>
                    <w:rPr>
                      <w:color w:val="auto"/>
                      <w:kern w:val="0"/>
                      <w:szCs w:val="21"/>
                    </w:rPr>
                  </w:pPr>
                  <w:r>
                    <w:rPr>
                      <w:rFonts w:hint="eastAsia"/>
                      <w:color w:val="auto"/>
                      <w:kern w:val="0"/>
                      <w:szCs w:val="21"/>
                    </w:rPr>
                    <w:t>65</w:t>
                  </w:r>
                </w:p>
              </w:tc>
              <w:tc>
                <w:tcPr>
                  <w:tcW w:w="904" w:type="pct"/>
                  <w:tcBorders>
                    <w:top w:val="single" w:color="auto" w:sz="4" w:space="0"/>
                    <w:left w:val="nil"/>
                    <w:bottom w:val="single" w:color="auto" w:sz="4" w:space="0"/>
                    <w:right w:val="single" w:color="auto" w:sz="4" w:space="0"/>
                  </w:tcBorders>
                  <w:shd w:val="clear" w:color="auto" w:fill="auto"/>
                  <w:vAlign w:val="center"/>
                </w:tcPr>
                <w:p w14:paraId="6A8FE097">
                  <w:pPr>
                    <w:autoSpaceDE w:val="0"/>
                    <w:jc w:val="center"/>
                    <w:outlineLvl w:val="1"/>
                    <w:rPr>
                      <w:color w:val="auto"/>
                      <w:kern w:val="0"/>
                      <w:szCs w:val="21"/>
                    </w:rPr>
                  </w:pPr>
                  <w:r>
                    <w:rPr>
                      <w:rFonts w:hint="eastAsia"/>
                      <w:color w:val="auto"/>
                      <w:kern w:val="0"/>
                      <w:szCs w:val="21"/>
                    </w:rPr>
                    <w:t>55</w:t>
                  </w:r>
                </w:p>
              </w:tc>
              <w:tc>
                <w:tcPr>
                  <w:tcW w:w="818" w:type="pct"/>
                  <w:tcBorders>
                    <w:top w:val="single" w:color="auto" w:sz="4" w:space="0"/>
                    <w:left w:val="nil"/>
                    <w:bottom w:val="single" w:color="auto" w:sz="4" w:space="0"/>
                    <w:right w:val="single" w:color="auto" w:sz="4" w:space="0"/>
                  </w:tcBorders>
                  <w:shd w:val="clear" w:color="auto" w:fill="auto"/>
                  <w:vAlign w:val="center"/>
                </w:tcPr>
                <w:p w14:paraId="2CA7F4B2">
                  <w:pPr>
                    <w:autoSpaceDE w:val="0"/>
                    <w:jc w:val="center"/>
                    <w:outlineLvl w:val="1"/>
                    <w:rPr>
                      <w:color w:val="auto"/>
                      <w:kern w:val="0"/>
                      <w:szCs w:val="21"/>
                    </w:rPr>
                  </w:pPr>
                  <w:r>
                    <w:rPr>
                      <w:rFonts w:hint="eastAsia"/>
                      <w:color w:val="auto"/>
                      <w:kern w:val="0"/>
                      <w:szCs w:val="21"/>
                    </w:rPr>
                    <w:t>达标</w:t>
                  </w:r>
                </w:p>
              </w:tc>
            </w:tr>
            <w:tr w14:paraId="231F8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95" w:type="pct"/>
                  <w:tcBorders>
                    <w:top w:val="single" w:color="auto" w:sz="4" w:space="0"/>
                    <w:left w:val="single" w:color="auto" w:sz="4" w:space="0"/>
                    <w:bottom w:val="single" w:color="auto" w:sz="4" w:space="0"/>
                    <w:right w:val="single" w:color="auto" w:sz="4" w:space="0"/>
                  </w:tcBorders>
                  <w:shd w:val="clear" w:color="auto" w:fill="auto"/>
                  <w:vAlign w:val="center"/>
                </w:tcPr>
                <w:p w14:paraId="705434B0">
                  <w:pPr>
                    <w:autoSpaceDE w:val="0"/>
                    <w:jc w:val="center"/>
                    <w:outlineLvl w:val="1"/>
                    <w:rPr>
                      <w:rFonts w:hint="eastAsia" w:eastAsia="宋体"/>
                      <w:color w:val="auto"/>
                      <w:kern w:val="0"/>
                      <w:szCs w:val="21"/>
                      <w:lang w:eastAsia="zh-CN"/>
                    </w:rPr>
                  </w:pPr>
                  <w:r>
                    <w:rPr>
                      <w:rFonts w:hint="eastAsia"/>
                      <w:color w:val="auto"/>
                      <w:kern w:val="0"/>
                      <w:szCs w:val="21"/>
                      <w:lang w:val="en-US" w:eastAsia="zh-CN"/>
                    </w:rPr>
                    <w:t>2</w:t>
                  </w:r>
                </w:p>
              </w:tc>
              <w:tc>
                <w:tcPr>
                  <w:tcW w:w="1013" w:type="pct"/>
                  <w:tcBorders>
                    <w:top w:val="single" w:color="auto" w:sz="4" w:space="0"/>
                    <w:left w:val="nil"/>
                    <w:bottom w:val="single" w:color="auto" w:sz="4" w:space="0"/>
                    <w:right w:val="single" w:color="auto" w:sz="4" w:space="0"/>
                  </w:tcBorders>
                  <w:shd w:val="clear" w:color="auto" w:fill="auto"/>
                  <w:vAlign w:val="center"/>
                </w:tcPr>
                <w:p w14:paraId="6976476F">
                  <w:pPr>
                    <w:autoSpaceDE w:val="0"/>
                    <w:jc w:val="center"/>
                    <w:outlineLvl w:val="1"/>
                    <w:rPr>
                      <w:color w:val="auto"/>
                      <w:kern w:val="0"/>
                      <w:szCs w:val="21"/>
                    </w:rPr>
                  </w:pPr>
                  <w:r>
                    <w:rPr>
                      <w:rFonts w:hint="eastAsia"/>
                      <w:color w:val="auto"/>
                      <w:kern w:val="0"/>
                      <w:szCs w:val="21"/>
                    </w:rPr>
                    <w:t>南厂界</w:t>
                  </w:r>
                </w:p>
              </w:tc>
              <w:tc>
                <w:tcPr>
                  <w:tcW w:w="921" w:type="pct"/>
                  <w:tcBorders>
                    <w:top w:val="single" w:color="auto" w:sz="4" w:space="0"/>
                    <w:left w:val="nil"/>
                    <w:bottom w:val="single" w:color="auto" w:sz="4" w:space="0"/>
                    <w:right w:val="single" w:color="auto" w:sz="4" w:space="0"/>
                  </w:tcBorders>
                  <w:shd w:val="clear" w:color="auto" w:fill="auto"/>
                  <w:vAlign w:val="center"/>
                </w:tcPr>
                <w:p w14:paraId="799F6522">
                  <w:pPr>
                    <w:autoSpaceDE w:val="0"/>
                    <w:jc w:val="center"/>
                    <w:outlineLvl w:val="1"/>
                    <w:rPr>
                      <w:rFonts w:hint="default" w:eastAsia="宋体"/>
                      <w:color w:val="auto"/>
                      <w:kern w:val="0"/>
                      <w:szCs w:val="21"/>
                      <w:lang w:val="en-US" w:eastAsia="zh-CN"/>
                    </w:rPr>
                  </w:pPr>
                  <w:r>
                    <w:rPr>
                      <w:rFonts w:hint="eastAsia"/>
                      <w:color w:val="auto"/>
                      <w:szCs w:val="21"/>
                      <w:lang w:val="en-US" w:eastAsia="zh-CN"/>
                    </w:rPr>
                    <w:t>39.8</w:t>
                  </w:r>
                </w:p>
              </w:tc>
              <w:tc>
                <w:tcPr>
                  <w:tcW w:w="845" w:type="pct"/>
                  <w:tcBorders>
                    <w:top w:val="single" w:color="auto" w:sz="4" w:space="0"/>
                    <w:left w:val="nil"/>
                    <w:bottom w:val="single" w:color="auto" w:sz="4" w:space="0"/>
                    <w:right w:val="single" w:color="auto" w:sz="4" w:space="0"/>
                  </w:tcBorders>
                  <w:shd w:val="clear" w:color="auto" w:fill="auto"/>
                  <w:vAlign w:val="center"/>
                </w:tcPr>
                <w:p w14:paraId="72F7B432">
                  <w:pPr>
                    <w:autoSpaceDE w:val="0"/>
                    <w:jc w:val="center"/>
                    <w:outlineLvl w:val="1"/>
                    <w:rPr>
                      <w:color w:val="auto"/>
                      <w:kern w:val="0"/>
                      <w:szCs w:val="21"/>
                    </w:rPr>
                  </w:pPr>
                  <w:r>
                    <w:rPr>
                      <w:rFonts w:hint="eastAsia"/>
                      <w:color w:val="auto"/>
                      <w:kern w:val="0"/>
                      <w:szCs w:val="21"/>
                    </w:rPr>
                    <w:t>65</w:t>
                  </w:r>
                </w:p>
              </w:tc>
              <w:tc>
                <w:tcPr>
                  <w:tcW w:w="904" w:type="pct"/>
                  <w:tcBorders>
                    <w:top w:val="single" w:color="auto" w:sz="4" w:space="0"/>
                    <w:left w:val="nil"/>
                    <w:bottom w:val="single" w:color="auto" w:sz="4" w:space="0"/>
                    <w:right w:val="single" w:color="auto" w:sz="4" w:space="0"/>
                  </w:tcBorders>
                  <w:shd w:val="clear" w:color="auto" w:fill="auto"/>
                  <w:vAlign w:val="center"/>
                </w:tcPr>
                <w:p w14:paraId="23C8E344">
                  <w:pPr>
                    <w:autoSpaceDE w:val="0"/>
                    <w:jc w:val="center"/>
                    <w:outlineLvl w:val="1"/>
                    <w:rPr>
                      <w:color w:val="auto"/>
                      <w:kern w:val="0"/>
                      <w:szCs w:val="21"/>
                    </w:rPr>
                  </w:pPr>
                  <w:r>
                    <w:rPr>
                      <w:rFonts w:hint="eastAsia"/>
                      <w:color w:val="auto"/>
                      <w:kern w:val="0"/>
                      <w:szCs w:val="21"/>
                    </w:rPr>
                    <w:t>55</w:t>
                  </w:r>
                </w:p>
              </w:tc>
              <w:tc>
                <w:tcPr>
                  <w:tcW w:w="818" w:type="pct"/>
                  <w:tcBorders>
                    <w:top w:val="single" w:color="auto" w:sz="4" w:space="0"/>
                    <w:left w:val="nil"/>
                    <w:bottom w:val="single" w:color="auto" w:sz="4" w:space="0"/>
                    <w:right w:val="single" w:color="auto" w:sz="4" w:space="0"/>
                  </w:tcBorders>
                  <w:shd w:val="clear" w:color="auto" w:fill="auto"/>
                  <w:vAlign w:val="center"/>
                </w:tcPr>
                <w:p w14:paraId="6CC38057">
                  <w:pPr>
                    <w:autoSpaceDE w:val="0"/>
                    <w:jc w:val="center"/>
                    <w:outlineLvl w:val="1"/>
                    <w:rPr>
                      <w:color w:val="auto"/>
                      <w:kern w:val="0"/>
                      <w:szCs w:val="21"/>
                    </w:rPr>
                  </w:pPr>
                  <w:r>
                    <w:rPr>
                      <w:rFonts w:hint="eastAsia"/>
                      <w:color w:val="auto"/>
                      <w:kern w:val="0"/>
                      <w:szCs w:val="21"/>
                    </w:rPr>
                    <w:t>达标</w:t>
                  </w:r>
                </w:p>
              </w:tc>
            </w:tr>
            <w:tr w14:paraId="18FD8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495" w:type="pct"/>
                  <w:tcBorders>
                    <w:top w:val="single" w:color="auto" w:sz="4" w:space="0"/>
                    <w:left w:val="single" w:color="auto" w:sz="4" w:space="0"/>
                    <w:bottom w:val="single" w:color="auto" w:sz="4" w:space="0"/>
                    <w:right w:val="single" w:color="auto" w:sz="4" w:space="0"/>
                  </w:tcBorders>
                  <w:shd w:val="clear" w:color="auto" w:fill="auto"/>
                  <w:vAlign w:val="center"/>
                </w:tcPr>
                <w:p w14:paraId="0B4743EA">
                  <w:pPr>
                    <w:autoSpaceDE w:val="0"/>
                    <w:jc w:val="center"/>
                    <w:outlineLvl w:val="1"/>
                    <w:rPr>
                      <w:rFonts w:hint="eastAsia" w:eastAsia="宋体"/>
                      <w:color w:val="auto"/>
                      <w:kern w:val="0"/>
                      <w:szCs w:val="21"/>
                      <w:lang w:eastAsia="zh-CN"/>
                    </w:rPr>
                  </w:pPr>
                  <w:r>
                    <w:rPr>
                      <w:rFonts w:hint="eastAsia"/>
                      <w:color w:val="auto"/>
                      <w:kern w:val="0"/>
                      <w:szCs w:val="21"/>
                      <w:lang w:val="en-US" w:eastAsia="zh-CN"/>
                    </w:rPr>
                    <w:t>3</w:t>
                  </w:r>
                </w:p>
              </w:tc>
              <w:tc>
                <w:tcPr>
                  <w:tcW w:w="1013" w:type="pct"/>
                  <w:tcBorders>
                    <w:top w:val="single" w:color="auto" w:sz="4" w:space="0"/>
                    <w:left w:val="nil"/>
                    <w:bottom w:val="single" w:color="auto" w:sz="4" w:space="0"/>
                    <w:right w:val="single" w:color="auto" w:sz="4" w:space="0"/>
                  </w:tcBorders>
                  <w:shd w:val="clear" w:color="auto" w:fill="auto"/>
                  <w:vAlign w:val="center"/>
                </w:tcPr>
                <w:p w14:paraId="480517D0">
                  <w:pPr>
                    <w:autoSpaceDE w:val="0"/>
                    <w:jc w:val="center"/>
                    <w:outlineLvl w:val="1"/>
                    <w:rPr>
                      <w:color w:val="auto"/>
                      <w:kern w:val="0"/>
                      <w:szCs w:val="21"/>
                    </w:rPr>
                  </w:pPr>
                  <w:r>
                    <w:rPr>
                      <w:rFonts w:hint="eastAsia"/>
                      <w:color w:val="auto"/>
                      <w:kern w:val="0"/>
                      <w:szCs w:val="21"/>
                    </w:rPr>
                    <w:t>西厂界</w:t>
                  </w:r>
                </w:p>
              </w:tc>
              <w:tc>
                <w:tcPr>
                  <w:tcW w:w="921" w:type="pct"/>
                  <w:tcBorders>
                    <w:top w:val="single" w:color="auto" w:sz="4" w:space="0"/>
                    <w:left w:val="nil"/>
                    <w:bottom w:val="single" w:color="auto" w:sz="4" w:space="0"/>
                    <w:right w:val="single" w:color="auto" w:sz="4" w:space="0"/>
                  </w:tcBorders>
                  <w:shd w:val="clear" w:color="auto" w:fill="auto"/>
                  <w:vAlign w:val="center"/>
                </w:tcPr>
                <w:p w14:paraId="066F5C0F">
                  <w:pPr>
                    <w:autoSpaceDE w:val="0"/>
                    <w:jc w:val="center"/>
                    <w:outlineLvl w:val="1"/>
                    <w:rPr>
                      <w:rFonts w:hint="default" w:eastAsia="宋体"/>
                      <w:color w:val="auto"/>
                      <w:kern w:val="0"/>
                      <w:szCs w:val="21"/>
                      <w:lang w:val="en-US" w:eastAsia="zh-CN"/>
                    </w:rPr>
                  </w:pPr>
                  <w:r>
                    <w:rPr>
                      <w:rFonts w:hint="eastAsia"/>
                      <w:color w:val="auto"/>
                      <w:kern w:val="0"/>
                      <w:szCs w:val="21"/>
                      <w:lang w:val="en-US" w:eastAsia="zh-CN"/>
                    </w:rPr>
                    <w:t>41.5</w:t>
                  </w:r>
                </w:p>
              </w:tc>
              <w:tc>
                <w:tcPr>
                  <w:tcW w:w="845" w:type="pct"/>
                  <w:tcBorders>
                    <w:top w:val="single" w:color="auto" w:sz="4" w:space="0"/>
                    <w:left w:val="nil"/>
                    <w:bottom w:val="single" w:color="auto" w:sz="4" w:space="0"/>
                    <w:right w:val="single" w:color="auto" w:sz="4" w:space="0"/>
                  </w:tcBorders>
                  <w:shd w:val="clear" w:color="auto" w:fill="auto"/>
                  <w:vAlign w:val="center"/>
                </w:tcPr>
                <w:p w14:paraId="792B6896">
                  <w:pPr>
                    <w:autoSpaceDE w:val="0"/>
                    <w:jc w:val="center"/>
                    <w:outlineLvl w:val="1"/>
                    <w:rPr>
                      <w:color w:val="auto"/>
                      <w:kern w:val="0"/>
                      <w:szCs w:val="21"/>
                    </w:rPr>
                  </w:pPr>
                  <w:r>
                    <w:rPr>
                      <w:rFonts w:hint="eastAsia"/>
                      <w:color w:val="auto"/>
                      <w:kern w:val="0"/>
                      <w:szCs w:val="21"/>
                    </w:rPr>
                    <w:t>65</w:t>
                  </w:r>
                </w:p>
              </w:tc>
              <w:tc>
                <w:tcPr>
                  <w:tcW w:w="904" w:type="pct"/>
                  <w:tcBorders>
                    <w:top w:val="single" w:color="auto" w:sz="4" w:space="0"/>
                    <w:left w:val="nil"/>
                    <w:bottom w:val="single" w:color="auto" w:sz="4" w:space="0"/>
                    <w:right w:val="single" w:color="auto" w:sz="4" w:space="0"/>
                  </w:tcBorders>
                  <w:shd w:val="clear" w:color="auto" w:fill="auto"/>
                  <w:vAlign w:val="center"/>
                </w:tcPr>
                <w:p w14:paraId="11584B17">
                  <w:pPr>
                    <w:autoSpaceDE w:val="0"/>
                    <w:jc w:val="center"/>
                    <w:outlineLvl w:val="1"/>
                    <w:rPr>
                      <w:color w:val="auto"/>
                      <w:kern w:val="0"/>
                      <w:szCs w:val="21"/>
                    </w:rPr>
                  </w:pPr>
                  <w:r>
                    <w:rPr>
                      <w:rFonts w:hint="eastAsia"/>
                      <w:color w:val="auto"/>
                      <w:kern w:val="0"/>
                      <w:szCs w:val="21"/>
                    </w:rPr>
                    <w:t>55</w:t>
                  </w:r>
                </w:p>
              </w:tc>
              <w:tc>
                <w:tcPr>
                  <w:tcW w:w="818" w:type="pct"/>
                  <w:tcBorders>
                    <w:top w:val="single" w:color="auto" w:sz="4" w:space="0"/>
                    <w:left w:val="nil"/>
                    <w:bottom w:val="single" w:color="auto" w:sz="4" w:space="0"/>
                    <w:right w:val="single" w:color="auto" w:sz="4" w:space="0"/>
                  </w:tcBorders>
                  <w:shd w:val="clear" w:color="auto" w:fill="auto"/>
                  <w:vAlign w:val="center"/>
                </w:tcPr>
                <w:p w14:paraId="034569EE">
                  <w:pPr>
                    <w:autoSpaceDE w:val="0"/>
                    <w:jc w:val="center"/>
                    <w:outlineLvl w:val="1"/>
                    <w:rPr>
                      <w:color w:val="auto"/>
                      <w:kern w:val="0"/>
                      <w:szCs w:val="21"/>
                    </w:rPr>
                  </w:pPr>
                  <w:r>
                    <w:rPr>
                      <w:rFonts w:hint="eastAsia"/>
                      <w:color w:val="auto"/>
                      <w:kern w:val="0"/>
                      <w:szCs w:val="21"/>
                    </w:rPr>
                    <w:t>达标</w:t>
                  </w:r>
                </w:p>
              </w:tc>
            </w:tr>
            <w:tr w14:paraId="585ED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495" w:type="pct"/>
                  <w:tcBorders>
                    <w:top w:val="single" w:color="auto" w:sz="4" w:space="0"/>
                    <w:left w:val="single" w:color="auto" w:sz="4" w:space="0"/>
                    <w:bottom w:val="single" w:color="auto" w:sz="4" w:space="0"/>
                    <w:right w:val="single" w:color="auto" w:sz="4" w:space="0"/>
                  </w:tcBorders>
                  <w:shd w:val="clear" w:color="auto" w:fill="auto"/>
                  <w:vAlign w:val="center"/>
                </w:tcPr>
                <w:p w14:paraId="6C2D62E6">
                  <w:pPr>
                    <w:autoSpaceDE w:val="0"/>
                    <w:jc w:val="center"/>
                    <w:outlineLvl w:val="1"/>
                    <w:rPr>
                      <w:rFonts w:hint="eastAsia" w:eastAsia="宋体"/>
                      <w:color w:val="auto"/>
                      <w:kern w:val="0"/>
                      <w:szCs w:val="21"/>
                      <w:lang w:eastAsia="zh-CN"/>
                    </w:rPr>
                  </w:pPr>
                  <w:r>
                    <w:rPr>
                      <w:rFonts w:hint="eastAsia"/>
                      <w:color w:val="auto"/>
                      <w:kern w:val="0"/>
                      <w:szCs w:val="21"/>
                      <w:lang w:val="en-US" w:eastAsia="zh-CN"/>
                    </w:rPr>
                    <w:t>4</w:t>
                  </w:r>
                </w:p>
              </w:tc>
              <w:tc>
                <w:tcPr>
                  <w:tcW w:w="1013" w:type="pct"/>
                  <w:tcBorders>
                    <w:top w:val="single" w:color="auto" w:sz="4" w:space="0"/>
                    <w:left w:val="nil"/>
                    <w:bottom w:val="single" w:color="auto" w:sz="4" w:space="0"/>
                    <w:right w:val="single" w:color="auto" w:sz="4" w:space="0"/>
                  </w:tcBorders>
                  <w:shd w:val="clear" w:color="auto" w:fill="auto"/>
                  <w:vAlign w:val="center"/>
                </w:tcPr>
                <w:p w14:paraId="2437F5A9">
                  <w:pPr>
                    <w:autoSpaceDE w:val="0"/>
                    <w:jc w:val="center"/>
                    <w:outlineLvl w:val="1"/>
                    <w:rPr>
                      <w:color w:val="auto"/>
                      <w:kern w:val="0"/>
                      <w:szCs w:val="21"/>
                    </w:rPr>
                  </w:pPr>
                  <w:r>
                    <w:rPr>
                      <w:rFonts w:hint="eastAsia"/>
                      <w:color w:val="auto"/>
                      <w:kern w:val="0"/>
                      <w:szCs w:val="21"/>
                    </w:rPr>
                    <w:t>北厂界</w:t>
                  </w:r>
                </w:p>
              </w:tc>
              <w:tc>
                <w:tcPr>
                  <w:tcW w:w="921" w:type="pct"/>
                  <w:tcBorders>
                    <w:top w:val="single" w:color="auto" w:sz="4" w:space="0"/>
                    <w:left w:val="nil"/>
                    <w:bottom w:val="single" w:color="auto" w:sz="4" w:space="0"/>
                    <w:right w:val="single" w:color="auto" w:sz="4" w:space="0"/>
                  </w:tcBorders>
                  <w:shd w:val="clear" w:color="auto" w:fill="auto"/>
                  <w:vAlign w:val="center"/>
                </w:tcPr>
                <w:p w14:paraId="11D821A6">
                  <w:pPr>
                    <w:autoSpaceDE w:val="0"/>
                    <w:jc w:val="center"/>
                    <w:outlineLvl w:val="1"/>
                    <w:rPr>
                      <w:rFonts w:hint="default" w:eastAsia="宋体"/>
                      <w:color w:val="auto"/>
                      <w:szCs w:val="21"/>
                      <w:lang w:val="en-US" w:eastAsia="zh-CN"/>
                    </w:rPr>
                  </w:pPr>
                  <w:r>
                    <w:rPr>
                      <w:rFonts w:hint="eastAsia"/>
                      <w:color w:val="auto"/>
                      <w:szCs w:val="21"/>
                      <w:lang w:val="en-US" w:eastAsia="zh-CN"/>
                    </w:rPr>
                    <w:t>40.2</w:t>
                  </w:r>
                </w:p>
              </w:tc>
              <w:tc>
                <w:tcPr>
                  <w:tcW w:w="845" w:type="pct"/>
                  <w:tcBorders>
                    <w:top w:val="single" w:color="auto" w:sz="4" w:space="0"/>
                    <w:left w:val="nil"/>
                    <w:bottom w:val="single" w:color="auto" w:sz="4" w:space="0"/>
                    <w:right w:val="single" w:color="auto" w:sz="4" w:space="0"/>
                  </w:tcBorders>
                  <w:shd w:val="clear" w:color="auto" w:fill="auto"/>
                  <w:vAlign w:val="center"/>
                </w:tcPr>
                <w:p w14:paraId="2B8F9B32">
                  <w:pPr>
                    <w:autoSpaceDE w:val="0"/>
                    <w:jc w:val="center"/>
                    <w:outlineLvl w:val="1"/>
                    <w:rPr>
                      <w:color w:val="auto"/>
                      <w:kern w:val="0"/>
                      <w:szCs w:val="21"/>
                    </w:rPr>
                  </w:pPr>
                  <w:r>
                    <w:rPr>
                      <w:rFonts w:hint="eastAsia"/>
                      <w:color w:val="auto"/>
                      <w:kern w:val="0"/>
                      <w:szCs w:val="21"/>
                    </w:rPr>
                    <w:t>65</w:t>
                  </w:r>
                </w:p>
              </w:tc>
              <w:tc>
                <w:tcPr>
                  <w:tcW w:w="904" w:type="pct"/>
                  <w:tcBorders>
                    <w:top w:val="single" w:color="auto" w:sz="4" w:space="0"/>
                    <w:left w:val="nil"/>
                    <w:bottom w:val="single" w:color="auto" w:sz="4" w:space="0"/>
                    <w:right w:val="single" w:color="auto" w:sz="4" w:space="0"/>
                  </w:tcBorders>
                  <w:shd w:val="clear" w:color="auto" w:fill="auto"/>
                  <w:vAlign w:val="center"/>
                </w:tcPr>
                <w:p w14:paraId="3F41A85A">
                  <w:pPr>
                    <w:autoSpaceDE w:val="0"/>
                    <w:jc w:val="center"/>
                    <w:outlineLvl w:val="1"/>
                    <w:rPr>
                      <w:color w:val="auto"/>
                      <w:kern w:val="0"/>
                      <w:szCs w:val="21"/>
                    </w:rPr>
                  </w:pPr>
                  <w:r>
                    <w:rPr>
                      <w:rFonts w:hint="eastAsia"/>
                      <w:color w:val="auto"/>
                      <w:kern w:val="0"/>
                      <w:szCs w:val="21"/>
                    </w:rPr>
                    <w:t>55</w:t>
                  </w:r>
                </w:p>
              </w:tc>
              <w:tc>
                <w:tcPr>
                  <w:tcW w:w="818" w:type="pct"/>
                  <w:tcBorders>
                    <w:top w:val="single" w:color="auto" w:sz="4" w:space="0"/>
                    <w:left w:val="nil"/>
                    <w:bottom w:val="single" w:color="auto" w:sz="4" w:space="0"/>
                    <w:right w:val="single" w:color="auto" w:sz="4" w:space="0"/>
                  </w:tcBorders>
                  <w:shd w:val="clear" w:color="auto" w:fill="auto"/>
                  <w:vAlign w:val="center"/>
                </w:tcPr>
                <w:p w14:paraId="54E460B5">
                  <w:pPr>
                    <w:autoSpaceDE w:val="0"/>
                    <w:jc w:val="center"/>
                    <w:outlineLvl w:val="1"/>
                    <w:rPr>
                      <w:color w:val="auto"/>
                      <w:kern w:val="0"/>
                      <w:szCs w:val="21"/>
                    </w:rPr>
                  </w:pPr>
                  <w:r>
                    <w:rPr>
                      <w:rFonts w:hint="eastAsia"/>
                      <w:color w:val="auto"/>
                      <w:kern w:val="0"/>
                      <w:szCs w:val="21"/>
                    </w:rPr>
                    <w:t>达标</w:t>
                  </w:r>
                </w:p>
              </w:tc>
            </w:tr>
          </w:tbl>
          <w:p w14:paraId="18C7A8B0">
            <w:pPr>
              <w:pStyle w:val="51"/>
              <w:ind w:firstLine="480"/>
            </w:pPr>
            <w:r>
              <w:rPr>
                <w:rFonts w:hint="eastAsia"/>
              </w:rPr>
              <w:t>由上表可知，本项目各噪声源采取减振、隔声等治理措施后，各边界昼、夜噪声贡献值均可达《工业企业厂界环境噪声排放标准》(GB12348-2008)中的3类功能区标准的要求。</w:t>
            </w:r>
          </w:p>
          <w:p w14:paraId="329A860A">
            <w:pPr>
              <w:pStyle w:val="51"/>
              <w:ind w:firstLine="482"/>
              <w:rPr>
                <w:b/>
                <w:bCs/>
              </w:rPr>
            </w:pPr>
            <w:r>
              <w:rPr>
                <w:rFonts w:hint="eastAsia"/>
                <w:b/>
                <w:bCs/>
              </w:rPr>
              <w:t>3</w:t>
            </w:r>
            <w:r>
              <w:rPr>
                <w:b/>
                <w:bCs/>
              </w:rPr>
              <w:t>.</w:t>
            </w:r>
            <w:r>
              <w:rPr>
                <w:rFonts w:hint="eastAsia"/>
                <w:b/>
                <w:bCs/>
                <w:lang w:val="en-US" w:eastAsia="zh-CN"/>
              </w:rPr>
              <w:t xml:space="preserve">3 </w:t>
            </w:r>
            <w:r>
              <w:rPr>
                <w:rFonts w:hint="eastAsia"/>
                <w:b/>
                <w:bCs/>
              </w:rPr>
              <w:t>噪声污染防治措施</w:t>
            </w:r>
          </w:p>
          <w:p w14:paraId="0EEBD577">
            <w:pPr>
              <w:pStyle w:val="51"/>
              <w:ind w:firstLine="480"/>
            </w:pPr>
            <w:r>
              <w:rPr>
                <w:rFonts w:hint="eastAsia"/>
              </w:rPr>
              <w:t>为尽可能降低噪声对周围环境的影响，建议采取如下防治措施：</w:t>
            </w:r>
          </w:p>
          <w:p w14:paraId="0868EBF5">
            <w:pPr>
              <w:pStyle w:val="51"/>
              <w:ind w:firstLine="480"/>
            </w:pPr>
            <w:r>
              <w:rPr>
                <w:rFonts w:hint="eastAsia"/>
              </w:rPr>
              <w:t>（1）从声源上降低噪声是最积极的措施，设备选型考虑尽可能采用低噪声设备，高噪声设备底部应安装减振基础；</w:t>
            </w:r>
          </w:p>
          <w:p w14:paraId="3C30D28C">
            <w:pPr>
              <w:pStyle w:val="51"/>
              <w:ind w:firstLine="480"/>
            </w:pPr>
            <w:r>
              <w:rPr>
                <w:rFonts w:hint="eastAsia"/>
              </w:rPr>
              <w:t>（2）定期检查、维修设备，使设备处于良好的运行状态，防止机械噪声的升高；</w:t>
            </w:r>
          </w:p>
          <w:p w14:paraId="380A15B5">
            <w:pPr>
              <w:pStyle w:val="51"/>
              <w:ind w:firstLine="480"/>
            </w:pPr>
            <w:r>
              <w:rPr>
                <w:rFonts w:hint="eastAsia"/>
              </w:rPr>
              <w:t>（3）合理布局，高噪声的生产设备均置于生产车间内，远离厂界，减少噪声对外界环境的影响。</w:t>
            </w:r>
          </w:p>
          <w:p w14:paraId="75EF9A37">
            <w:pPr>
              <w:pStyle w:val="51"/>
              <w:ind w:firstLine="480"/>
            </w:pPr>
            <w:r>
              <w:rPr>
                <w:rFonts w:hint="eastAsia"/>
              </w:rPr>
              <w:t>（4）加强设备维护，确保设备处于良好运转状态，杜绝因设备不正常运转时产生的高噪声现象。</w:t>
            </w:r>
          </w:p>
          <w:p w14:paraId="6C6A65E8">
            <w:pPr>
              <w:pStyle w:val="51"/>
              <w:ind w:firstLine="480"/>
              <w:rPr>
                <w:color w:val="FF0000"/>
              </w:rPr>
            </w:pPr>
            <w:r>
              <w:rPr>
                <w:rFonts w:hint="eastAsia"/>
                <w:color w:val="FF0000"/>
              </w:rPr>
              <w:t>（</w:t>
            </w:r>
            <w:r>
              <w:rPr>
                <w:color w:val="FF0000"/>
              </w:rPr>
              <w:t>5</w:t>
            </w:r>
            <w:r>
              <w:rPr>
                <w:rFonts w:hint="eastAsia"/>
                <w:color w:val="FF0000"/>
              </w:rPr>
              <w:t>）室外风机采取隔声、吸声、消声等措施进行降噪。具体措施如下：</w:t>
            </w:r>
          </w:p>
          <w:p w14:paraId="48D4551D">
            <w:pPr>
              <w:pStyle w:val="51"/>
              <w:ind w:firstLine="480"/>
              <w:rPr>
                <w:color w:val="FF0000"/>
              </w:rPr>
            </w:pPr>
            <w:r>
              <w:rPr>
                <w:rFonts w:hint="eastAsia"/>
                <w:color w:val="FF0000"/>
              </w:rPr>
              <w:t>①在风机四周用方钢体立柱，用角钢在现场焊接成安装框架，对于风机柜本体，通常使用弹簧减振器，隔断风机与基础结构的刚性连接。</w:t>
            </w:r>
          </w:p>
          <w:p w14:paraId="14D21FAA">
            <w:pPr>
              <w:pStyle w:val="51"/>
              <w:ind w:firstLine="480"/>
              <w:rPr>
                <w:color w:val="FF0000"/>
              </w:rPr>
            </w:pPr>
            <w:r>
              <w:rPr>
                <w:rFonts w:hint="eastAsia"/>
                <w:color w:val="FF0000"/>
              </w:rPr>
              <w:t>②隔声房外层为避免共振采用不同厚度的双层镀锌钢板，内夹阻尼层采用约束阻尼层结构，使用C型钢龙骨做骨架，框架作支撑，内填充超细超高容重隔音吸音玻璃棉，最内层用金属穿孔吸音板作保护吸声层。隔声板外层厚度为80mm（面板为2mm不锈钢板，中为吸声材料，内层护面为穿孔板，而板内层作阻尼处理）；内层消音隔声板为50mm厚，（面板为1mm镀钢板，中为吸声材料，内层护面为穿孔板，面板内作阻尼处理）。</w:t>
            </w:r>
          </w:p>
          <w:p w14:paraId="5C158656">
            <w:pPr>
              <w:pStyle w:val="51"/>
              <w:ind w:firstLine="480"/>
              <w:rPr>
                <w:color w:val="FF0000"/>
              </w:rPr>
            </w:pPr>
            <w:r>
              <w:rPr>
                <w:rFonts w:hint="eastAsia"/>
                <w:color w:val="FF0000"/>
              </w:rPr>
              <w:t>③安装隔声房后，风机处在一个密闭的环境中，风机电动机工作时常产生一定的温度，如不加以解决，将会影响到风机的正常工作，为此分别在隔声板上安装2组进风消声器，以解决整个风机组因封闭后无新风进入的问题。</w:t>
            </w:r>
          </w:p>
          <w:p w14:paraId="40CF7951">
            <w:pPr>
              <w:pStyle w:val="51"/>
              <w:ind w:firstLine="480"/>
              <w:rPr>
                <w:color w:val="FF0000"/>
              </w:rPr>
            </w:pPr>
            <w:r>
              <w:rPr>
                <w:rFonts w:hint="eastAsia"/>
                <w:color w:val="FF0000"/>
              </w:rPr>
              <w:t>④风机排风口上方如有排气噪音应安装出风消声器，解决排风口气流噪声问题。进出口消声器综合消声量在原有基础上降低10-15dB（A）风机接入和接触的风管，风管与风机之前，必须使用帆布软连接，降低振动。</w:t>
            </w:r>
          </w:p>
          <w:p w14:paraId="2AF97FEF">
            <w:pPr>
              <w:pStyle w:val="51"/>
              <w:ind w:firstLine="480"/>
              <w:rPr>
                <w:rFonts w:hint="eastAsia"/>
                <w:color w:val="FF0000"/>
              </w:rPr>
            </w:pPr>
            <w:r>
              <w:rPr>
                <w:rFonts w:hint="eastAsia"/>
                <w:color w:val="FF0000"/>
              </w:rPr>
              <w:t>⑤风机在安装中如有管道与外相连应加安管道消声装置。风机安装基础如未作减振处理，而振动又超出设计要求，需在基座上安装减振器。</w:t>
            </w:r>
          </w:p>
          <w:p w14:paraId="40BEA6B1">
            <w:pPr>
              <w:pStyle w:val="51"/>
              <w:ind w:firstLine="480"/>
              <w:rPr>
                <w:rFonts w:hint="eastAsia" w:eastAsia="宋体"/>
                <w:color w:val="FF0000"/>
                <w:lang w:eastAsia="zh-CN"/>
              </w:rPr>
            </w:pPr>
            <w:r>
              <w:rPr>
                <w:rFonts w:hint="eastAsia"/>
                <w:color w:val="FF0000"/>
              </w:rPr>
              <w:t>（</w:t>
            </w:r>
            <w:r>
              <w:rPr>
                <w:rFonts w:hint="eastAsia"/>
                <w:color w:val="FF0000"/>
                <w:lang w:val="en-US" w:eastAsia="zh-CN"/>
              </w:rPr>
              <w:t>6</w:t>
            </w:r>
            <w:r>
              <w:rPr>
                <w:rFonts w:hint="eastAsia"/>
                <w:color w:val="FF0000"/>
              </w:rPr>
              <w:t>）</w:t>
            </w:r>
            <w:r>
              <w:rPr>
                <w:rFonts w:hint="eastAsia"/>
                <w:color w:val="FF0000"/>
                <w:lang w:val="en-US" w:eastAsia="zh-CN"/>
              </w:rPr>
              <w:t>空压机房</w:t>
            </w:r>
            <w:r>
              <w:rPr>
                <w:rFonts w:hint="eastAsia"/>
                <w:color w:val="FF0000"/>
              </w:rPr>
              <w:t>选用高效低噪声设备，安装减振基础，空压机进口装消声器，空压机位于隔声间内</w:t>
            </w:r>
            <w:r>
              <w:rPr>
                <w:rFonts w:hint="eastAsia"/>
                <w:color w:val="FF0000"/>
                <w:lang w:eastAsia="zh-CN"/>
              </w:rPr>
              <w:t>。</w:t>
            </w:r>
          </w:p>
          <w:p w14:paraId="2F876C5E">
            <w:pPr>
              <w:pStyle w:val="68"/>
              <w:ind w:firstLine="482"/>
              <w:rPr>
                <w:color w:val="auto"/>
              </w:rPr>
            </w:pPr>
            <w:r>
              <w:rPr>
                <w:rFonts w:hint="eastAsia"/>
                <w:b/>
                <w:bCs w:val="0"/>
                <w:color w:val="auto"/>
              </w:rPr>
              <w:t>3</w:t>
            </w:r>
            <w:r>
              <w:rPr>
                <w:b/>
                <w:bCs w:val="0"/>
                <w:color w:val="auto"/>
              </w:rPr>
              <w:t>.4</w:t>
            </w:r>
            <w:r>
              <w:rPr>
                <w:rFonts w:hint="eastAsia"/>
                <w:b/>
                <w:bCs w:val="0"/>
                <w:color w:val="auto"/>
                <w:lang w:val="en-US" w:eastAsia="zh-CN"/>
              </w:rPr>
              <w:t xml:space="preserve"> </w:t>
            </w:r>
            <w:r>
              <w:rPr>
                <w:rFonts w:hint="eastAsia"/>
                <w:b/>
                <w:bCs w:val="0"/>
                <w:color w:val="auto"/>
              </w:rPr>
              <w:t>监测要求</w:t>
            </w:r>
          </w:p>
          <w:p w14:paraId="7955120F">
            <w:pPr>
              <w:pStyle w:val="68"/>
              <w:rPr>
                <w:color w:val="auto"/>
              </w:rPr>
            </w:pPr>
            <w:r>
              <w:rPr>
                <w:rFonts w:hint="eastAsia"/>
                <w:color w:val="auto"/>
              </w:rPr>
              <w:t>根据《排污单位自行监测技术指南 电子工业》（HJ1253-2022）提出的自行监测要求，本项目实施后生产运行阶段的噪声污染源监测计划如表4-</w:t>
            </w:r>
            <w:r>
              <w:rPr>
                <w:rFonts w:hint="eastAsia"/>
                <w:color w:val="auto"/>
                <w:lang w:val="en-US" w:eastAsia="zh-CN"/>
              </w:rPr>
              <w:t>1</w:t>
            </w:r>
            <w:r>
              <w:rPr>
                <w:rFonts w:hint="eastAsia"/>
                <w:color w:val="auto"/>
                <w:lang w:val="en-US"/>
              </w:rPr>
              <w:t>3</w:t>
            </w:r>
            <w:r>
              <w:rPr>
                <w:rFonts w:hint="eastAsia"/>
                <w:color w:val="auto"/>
              </w:rPr>
              <w:t>。</w:t>
            </w:r>
          </w:p>
          <w:p w14:paraId="4FA2C754">
            <w:pPr>
              <w:pStyle w:val="52"/>
              <w:rPr>
                <w:color w:val="auto"/>
              </w:rPr>
            </w:pPr>
            <w:r>
              <w:rPr>
                <w:rFonts w:hint="eastAsia"/>
                <w:color w:val="auto"/>
              </w:rPr>
              <w:t>表4</w:t>
            </w:r>
            <w:r>
              <w:rPr>
                <w:color w:val="auto"/>
              </w:rPr>
              <w:t>-</w:t>
            </w:r>
            <w:r>
              <w:rPr>
                <w:rFonts w:hint="eastAsia"/>
                <w:color w:val="auto"/>
                <w:lang w:val="en-US" w:eastAsia="zh-CN"/>
              </w:rPr>
              <w:t>13</w:t>
            </w:r>
            <w:r>
              <w:rPr>
                <w:color w:val="auto"/>
              </w:rPr>
              <w:t xml:space="preserve">  </w:t>
            </w:r>
            <w:r>
              <w:rPr>
                <w:rFonts w:hint="eastAsia"/>
                <w:color w:val="auto"/>
              </w:rPr>
              <w:t>噪声监测要求</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0"/>
              <w:gridCol w:w="1667"/>
              <w:gridCol w:w="1073"/>
              <w:gridCol w:w="3338"/>
            </w:tblGrid>
            <w:tr w14:paraId="55472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52" w:type="pct"/>
                  <w:tcBorders>
                    <w:top w:val="single" w:color="auto" w:sz="4" w:space="0"/>
                    <w:left w:val="single" w:color="auto" w:sz="4" w:space="0"/>
                    <w:bottom w:val="single" w:color="auto" w:sz="4" w:space="0"/>
                    <w:right w:val="single" w:color="auto" w:sz="4" w:space="0"/>
                  </w:tcBorders>
                  <w:shd w:val="clear" w:color="auto" w:fill="auto"/>
                  <w:vAlign w:val="center"/>
                </w:tcPr>
                <w:p w14:paraId="32C5C15A">
                  <w:pPr>
                    <w:autoSpaceDE w:val="0"/>
                    <w:jc w:val="center"/>
                    <w:rPr>
                      <w:b/>
                      <w:bCs/>
                      <w:color w:val="auto"/>
                      <w:szCs w:val="21"/>
                    </w:rPr>
                  </w:pPr>
                  <w:r>
                    <w:rPr>
                      <w:rFonts w:hint="eastAsia"/>
                      <w:b/>
                      <w:bCs/>
                      <w:color w:val="auto"/>
                    </w:rPr>
                    <w:t>监测点位</w:t>
                  </w:r>
                </w:p>
              </w:tc>
              <w:tc>
                <w:tcPr>
                  <w:tcW w:w="1028" w:type="pct"/>
                  <w:tcBorders>
                    <w:top w:val="single" w:color="auto" w:sz="4" w:space="0"/>
                    <w:left w:val="nil"/>
                    <w:bottom w:val="single" w:color="auto" w:sz="4" w:space="0"/>
                    <w:right w:val="single" w:color="auto" w:sz="4" w:space="0"/>
                  </w:tcBorders>
                  <w:shd w:val="clear" w:color="auto" w:fill="auto"/>
                  <w:vAlign w:val="center"/>
                </w:tcPr>
                <w:p w14:paraId="67975962">
                  <w:pPr>
                    <w:autoSpaceDE w:val="0"/>
                    <w:jc w:val="center"/>
                    <w:rPr>
                      <w:b/>
                      <w:bCs/>
                      <w:color w:val="auto"/>
                    </w:rPr>
                  </w:pPr>
                  <w:r>
                    <w:rPr>
                      <w:rFonts w:hint="eastAsia"/>
                      <w:b/>
                      <w:bCs/>
                      <w:color w:val="auto"/>
                    </w:rPr>
                    <w:t>监测因子</w:t>
                  </w:r>
                </w:p>
              </w:tc>
              <w:tc>
                <w:tcPr>
                  <w:tcW w:w="662" w:type="pct"/>
                  <w:tcBorders>
                    <w:top w:val="single" w:color="auto" w:sz="4" w:space="0"/>
                    <w:left w:val="nil"/>
                    <w:bottom w:val="single" w:color="auto" w:sz="4" w:space="0"/>
                    <w:right w:val="single" w:color="auto" w:sz="4" w:space="0"/>
                  </w:tcBorders>
                  <w:shd w:val="clear" w:color="auto" w:fill="auto"/>
                  <w:vAlign w:val="center"/>
                </w:tcPr>
                <w:p w14:paraId="344CED94">
                  <w:pPr>
                    <w:autoSpaceDE w:val="0"/>
                    <w:jc w:val="center"/>
                    <w:rPr>
                      <w:b/>
                      <w:bCs/>
                      <w:color w:val="auto"/>
                    </w:rPr>
                  </w:pPr>
                  <w:r>
                    <w:rPr>
                      <w:rFonts w:hint="eastAsia"/>
                      <w:b/>
                      <w:bCs/>
                      <w:color w:val="auto"/>
                    </w:rPr>
                    <w:t>监测频次</w:t>
                  </w:r>
                </w:p>
              </w:tc>
              <w:tc>
                <w:tcPr>
                  <w:tcW w:w="2059" w:type="pct"/>
                  <w:tcBorders>
                    <w:top w:val="single" w:color="auto" w:sz="4" w:space="0"/>
                    <w:left w:val="nil"/>
                    <w:bottom w:val="single" w:color="auto" w:sz="4" w:space="0"/>
                    <w:right w:val="single" w:color="auto" w:sz="4" w:space="0"/>
                  </w:tcBorders>
                  <w:shd w:val="clear" w:color="auto" w:fill="auto"/>
                  <w:vAlign w:val="center"/>
                </w:tcPr>
                <w:p w14:paraId="06430C9A">
                  <w:pPr>
                    <w:autoSpaceDE w:val="0"/>
                    <w:jc w:val="center"/>
                    <w:rPr>
                      <w:b/>
                      <w:bCs/>
                      <w:color w:val="auto"/>
                    </w:rPr>
                  </w:pPr>
                  <w:r>
                    <w:rPr>
                      <w:rFonts w:hint="eastAsia"/>
                      <w:b/>
                      <w:bCs/>
                      <w:color w:val="auto"/>
                    </w:rPr>
                    <w:t>监测标准</w:t>
                  </w:r>
                </w:p>
              </w:tc>
            </w:tr>
            <w:tr w14:paraId="68C1B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252" w:type="pct"/>
                  <w:tcBorders>
                    <w:top w:val="single" w:color="auto" w:sz="4" w:space="0"/>
                    <w:left w:val="single" w:color="auto" w:sz="4" w:space="0"/>
                    <w:bottom w:val="single" w:color="auto" w:sz="4" w:space="0"/>
                    <w:right w:val="single" w:color="auto" w:sz="4" w:space="0"/>
                  </w:tcBorders>
                  <w:shd w:val="clear" w:color="auto" w:fill="auto"/>
                  <w:vAlign w:val="center"/>
                </w:tcPr>
                <w:p w14:paraId="26D024C5">
                  <w:pPr>
                    <w:autoSpaceDE w:val="0"/>
                    <w:jc w:val="center"/>
                    <w:rPr>
                      <w:color w:val="auto"/>
                    </w:rPr>
                  </w:pPr>
                  <w:r>
                    <w:rPr>
                      <w:rFonts w:hint="eastAsia"/>
                      <w:color w:val="auto"/>
                    </w:rPr>
                    <w:t>东、南、西、北4</w:t>
                  </w:r>
                  <w:r>
                    <w:rPr>
                      <w:rFonts w:hint="eastAsia" w:ascii="宋体" w:hAnsi="宋体"/>
                      <w:color w:val="auto"/>
                    </w:rPr>
                    <w:t>个厂界</w:t>
                  </w:r>
                </w:p>
              </w:tc>
              <w:tc>
                <w:tcPr>
                  <w:tcW w:w="1028" w:type="pct"/>
                  <w:tcBorders>
                    <w:top w:val="single" w:color="auto" w:sz="4" w:space="0"/>
                    <w:left w:val="nil"/>
                    <w:bottom w:val="single" w:color="auto" w:sz="4" w:space="0"/>
                    <w:right w:val="single" w:color="auto" w:sz="4" w:space="0"/>
                  </w:tcBorders>
                  <w:shd w:val="clear" w:color="auto" w:fill="auto"/>
                  <w:vAlign w:val="center"/>
                </w:tcPr>
                <w:p w14:paraId="1A1F507E">
                  <w:pPr>
                    <w:autoSpaceDE w:val="0"/>
                    <w:jc w:val="center"/>
                    <w:rPr>
                      <w:color w:val="auto"/>
                    </w:rPr>
                  </w:pPr>
                  <w:r>
                    <w:rPr>
                      <w:rFonts w:hint="eastAsia"/>
                      <w:color w:val="auto"/>
                    </w:rPr>
                    <w:t>连续等效A</w:t>
                  </w:r>
                  <w:r>
                    <w:rPr>
                      <w:rFonts w:hint="eastAsia" w:ascii="宋体" w:hAnsi="宋体"/>
                      <w:color w:val="auto"/>
                    </w:rPr>
                    <w:t>声级</w:t>
                  </w:r>
                </w:p>
              </w:tc>
              <w:tc>
                <w:tcPr>
                  <w:tcW w:w="662" w:type="pct"/>
                  <w:tcBorders>
                    <w:top w:val="single" w:color="auto" w:sz="4" w:space="0"/>
                    <w:left w:val="nil"/>
                    <w:bottom w:val="single" w:color="auto" w:sz="4" w:space="0"/>
                    <w:right w:val="single" w:color="auto" w:sz="4" w:space="0"/>
                  </w:tcBorders>
                  <w:shd w:val="clear" w:color="auto" w:fill="auto"/>
                  <w:vAlign w:val="center"/>
                </w:tcPr>
                <w:p w14:paraId="3E5FAAB8">
                  <w:pPr>
                    <w:autoSpaceDE w:val="0"/>
                    <w:jc w:val="center"/>
                    <w:rPr>
                      <w:color w:val="auto"/>
                    </w:rPr>
                  </w:pPr>
                  <w:r>
                    <w:rPr>
                      <w:rFonts w:hint="eastAsia"/>
                      <w:color w:val="auto"/>
                    </w:rPr>
                    <w:t>1</w:t>
                  </w:r>
                  <w:r>
                    <w:rPr>
                      <w:rFonts w:hint="eastAsia" w:ascii="宋体" w:hAnsi="宋体"/>
                      <w:color w:val="auto"/>
                    </w:rPr>
                    <w:t>次</w:t>
                  </w:r>
                  <w:r>
                    <w:rPr>
                      <w:rFonts w:hint="eastAsia"/>
                      <w:color w:val="auto"/>
                    </w:rPr>
                    <w:t>/</w:t>
                  </w:r>
                  <w:r>
                    <w:rPr>
                      <w:rFonts w:hint="eastAsia" w:ascii="宋体" w:hAnsi="宋体"/>
                      <w:color w:val="auto"/>
                    </w:rPr>
                    <w:t>季度</w:t>
                  </w:r>
                </w:p>
              </w:tc>
              <w:tc>
                <w:tcPr>
                  <w:tcW w:w="2059" w:type="pct"/>
                  <w:tcBorders>
                    <w:top w:val="single" w:color="auto" w:sz="4" w:space="0"/>
                    <w:left w:val="nil"/>
                    <w:bottom w:val="single" w:color="auto" w:sz="4" w:space="0"/>
                    <w:right w:val="single" w:color="auto" w:sz="4" w:space="0"/>
                  </w:tcBorders>
                  <w:shd w:val="clear" w:color="auto" w:fill="auto"/>
                  <w:vAlign w:val="center"/>
                </w:tcPr>
                <w:p w14:paraId="7725307A">
                  <w:pPr>
                    <w:autoSpaceDE w:val="0"/>
                    <w:jc w:val="center"/>
                    <w:rPr>
                      <w:color w:val="auto"/>
                    </w:rPr>
                  </w:pPr>
                  <w:r>
                    <w:rPr>
                      <w:rFonts w:hint="eastAsia"/>
                      <w:color w:val="auto"/>
                    </w:rPr>
                    <w:t>《工业企业厂界环境噪声排放标准》(GB12348-2008)</w:t>
                  </w:r>
                  <w:r>
                    <w:rPr>
                      <w:rFonts w:hint="eastAsia" w:ascii="宋体" w:hAnsi="宋体"/>
                      <w:color w:val="auto"/>
                    </w:rPr>
                    <w:t>中的</w:t>
                  </w:r>
                  <w:r>
                    <w:rPr>
                      <w:rFonts w:hint="eastAsia"/>
                      <w:color w:val="auto"/>
                    </w:rPr>
                    <w:t>3类</w:t>
                  </w:r>
                  <w:r>
                    <w:rPr>
                      <w:rFonts w:hint="eastAsia" w:ascii="宋体" w:hAnsi="宋体"/>
                      <w:color w:val="auto"/>
                    </w:rPr>
                    <w:t>标准</w:t>
                  </w:r>
                </w:p>
              </w:tc>
            </w:tr>
          </w:tbl>
          <w:p w14:paraId="7DC0C036">
            <w:pPr>
              <w:pStyle w:val="51"/>
              <w:keepNext w:val="0"/>
              <w:keepLines w:val="0"/>
              <w:pageBreakBefore w:val="0"/>
              <w:widowControl w:val="0"/>
              <w:kinsoku/>
              <w:wordWrap/>
              <w:overflowPunct/>
              <w:topLinePunct w:val="0"/>
              <w:autoSpaceDE/>
              <w:autoSpaceDN/>
              <w:bidi w:val="0"/>
              <w:adjustRightInd w:val="0"/>
              <w:snapToGrid w:val="0"/>
              <w:spacing w:before="157" w:beforeLines="50"/>
              <w:ind w:firstLine="482"/>
              <w:textAlignment w:val="auto"/>
              <w:rPr>
                <w:b/>
                <w:bCs/>
              </w:rPr>
            </w:pPr>
            <w:r>
              <w:rPr>
                <w:rFonts w:hint="eastAsia"/>
                <w:b/>
                <w:bCs/>
              </w:rPr>
              <w:t>4、固体废物环境影响和保护措施</w:t>
            </w:r>
          </w:p>
          <w:p w14:paraId="789A3DEC">
            <w:pPr>
              <w:pStyle w:val="51"/>
              <w:keepNext w:val="0"/>
              <w:keepLines w:val="0"/>
              <w:suppressLineNumbers w:val="0"/>
              <w:spacing w:before="0" w:beforeAutospacing="0" w:after="0" w:afterAutospacing="0"/>
              <w:ind w:left="0" w:right="0"/>
              <w:rPr>
                <w:rFonts w:hint="default"/>
              </w:rPr>
            </w:pPr>
            <w:r>
              <w:rPr>
                <w:rFonts w:hint="eastAsia"/>
              </w:rPr>
              <w:t>本项目生产过程固体废物主要包括一般工业固体废物、危险废物，以及员工生活产生的生活垃圾。</w:t>
            </w:r>
          </w:p>
          <w:p w14:paraId="07849DB2">
            <w:pPr>
              <w:pStyle w:val="51"/>
              <w:keepNext w:val="0"/>
              <w:keepLines w:val="0"/>
              <w:suppressLineNumbers w:val="0"/>
              <w:spacing w:before="0" w:beforeAutospacing="0" w:after="0" w:afterAutospacing="0"/>
              <w:ind w:left="0" w:right="0"/>
              <w:rPr>
                <w:rFonts w:hint="default"/>
              </w:rPr>
            </w:pPr>
            <w:r>
              <w:rPr>
                <w:rFonts w:hint="eastAsia"/>
              </w:rPr>
              <w:t>营运期产生的一般工业固废主要有：废纸箱塑料</w:t>
            </w:r>
            <w:r>
              <w:rPr>
                <w:rFonts w:hint="eastAsia"/>
                <w:lang w:eastAsia="zh-CN"/>
              </w:rPr>
              <w:t>、</w:t>
            </w:r>
            <w:r>
              <w:rPr>
                <w:rFonts w:hint="eastAsia"/>
                <w:color w:val="auto"/>
                <w:lang w:val="en-US" w:eastAsia="zh-CN"/>
              </w:rPr>
              <w:t>焊渣、废胶布纸、不合格品</w:t>
            </w:r>
            <w:r>
              <w:rPr>
                <w:rFonts w:hint="eastAsia"/>
              </w:rPr>
              <w:t>；</w:t>
            </w:r>
          </w:p>
          <w:p w14:paraId="677A70F1">
            <w:pPr>
              <w:pStyle w:val="51"/>
              <w:ind w:firstLine="480"/>
            </w:pPr>
            <w:r>
              <w:rPr>
                <w:rFonts w:hint="eastAsia"/>
              </w:rPr>
              <w:t>项目营运期产生的危险废物有：</w:t>
            </w:r>
            <w:r>
              <w:rPr>
                <w:rFonts w:hint="eastAsia"/>
                <w:color w:val="FF0000"/>
              </w:rPr>
              <w:t>废锡膏罐、废酒精桶、废硅胶桶、</w:t>
            </w:r>
            <w:r>
              <w:rPr>
                <w:rFonts w:hint="eastAsia"/>
              </w:rPr>
              <w:t>废擦拭</w:t>
            </w:r>
            <w:r>
              <w:rPr>
                <w:rFonts w:hint="eastAsia"/>
                <w:lang w:val="en-US" w:eastAsia="zh-CN"/>
              </w:rPr>
              <w:t>纸</w:t>
            </w:r>
            <w:r>
              <w:rPr>
                <w:rFonts w:hint="eastAsia"/>
              </w:rPr>
              <w:t>、废活性炭、废机油及废油桶、废过滤棉。</w:t>
            </w:r>
          </w:p>
          <w:p w14:paraId="36F20F0F">
            <w:pPr>
              <w:pStyle w:val="51"/>
              <w:ind w:firstLine="482"/>
            </w:pPr>
            <w:r>
              <w:rPr>
                <w:rFonts w:hint="eastAsia"/>
                <w:b/>
                <w:bCs/>
              </w:rPr>
              <w:t>4</w:t>
            </w:r>
            <w:r>
              <w:rPr>
                <w:b/>
                <w:bCs/>
              </w:rPr>
              <w:t>.1</w:t>
            </w:r>
            <w:r>
              <w:rPr>
                <w:rFonts w:hint="eastAsia"/>
                <w:b/>
                <w:bCs/>
              </w:rPr>
              <w:t>一般工业固废</w:t>
            </w:r>
          </w:p>
          <w:p w14:paraId="6C6ADCE7">
            <w:pPr>
              <w:pStyle w:val="51"/>
              <w:ind w:firstLine="480"/>
              <w:rPr>
                <w:rFonts w:hint="default" w:eastAsia="宋体"/>
                <w:lang w:val="en-US" w:eastAsia="zh-CN"/>
              </w:rPr>
            </w:pPr>
            <w:r>
              <w:rPr>
                <w:rFonts w:hint="eastAsia"/>
              </w:rPr>
              <w:t>（1）</w:t>
            </w:r>
            <w:r>
              <w:rPr>
                <w:rFonts w:hint="eastAsia"/>
                <w:lang w:val="en-US" w:eastAsia="zh-CN"/>
              </w:rPr>
              <w:t>废包装物（纸箱、塑料等）</w:t>
            </w:r>
          </w:p>
          <w:p w14:paraId="344D02A2">
            <w:pPr>
              <w:pStyle w:val="51"/>
              <w:ind w:firstLine="480"/>
            </w:pPr>
            <w:r>
              <w:rPr>
                <w:rFonts w:hint="eastAsia"/>
              </w:rPr>
              <w:t>原辅料使用及产品包装过程产生</w:t>
            </w:r>
            <w:r>
              <w:rPr>
                <w:rFonts w:hint="eastAsia"/>
                <w:lang w:eastAsia="zh-CN"/>
              </w:rPr>
              <w:t>废包装物（纸箱、塑料等）</w:t>
            </w:r>
            <w:r>
              <w:rPr>
                <w:rFonts w:hint="eastAsia"/>
              </w:rPr>
              <w:t>等，产生量约为</w:t>
            </w:r>
            <w:r>
              <w:rPr>
                <w:rFonts w:hint="eastAsia"/>
                <w:lang w:val="en-US" w:eastAsia="zh-CN"/>
              </w:rPr>
              <w:t>5</w:t>
            </w:r>
            <w:r>
              <w:rPr>
                <w:rFonts w:hint="eastAsia"/>
              </w:rPr>
              <w:t>t/a。经集中收集后外售综合利用。</w:t>
            </w:r>
          </w:p>
          <w:p w14:paraId="4EEC4894">
            <w:pPr>
              <w:spacing w:line="360" w:lineRule="auto"/>
              <w:ind w:firstLine="480" w:firstLineChars="200"/>
              <w:jc w:val="left"/>
              <w:rPr>
                <w:sz w:val="24"/>
              </w:rPr>
            </w:pPr>
            <w:r>
              <w:rPr>
                <w:sz w:val="24"/>
              </w:rPr>
              <w:t>（2）</w:t>
            </w:r>
            <w:r>
              <w:rPr>
                <w:rFonts w:hint="eastAsia"/>
                <w:sz w:val="24"/>
                <w:lang w:val="en-US" w:eastAsia="zh-CN"/>
              </w:rPr>
              <w:t>焊</w:t>
            </w:r>
            <w:r>
              <w:rPr>
                <w:sz w:val="24"/>
              </w:rPr>
              <w:t>渣</w:t>
            </w:r>
          </w:p>
          <w:p w14:paraId="59A92497">
            <w:pPr>
              <w:spacing w:line="360" w:lineRule="auto"/>
              <w:ind w:firstLine="480" w:firstLineChars="200"/>
              <w:jc w:val="left"/>
              <w:rPr>
                <w:sz w:val="24"/>
              </w:rPr>
            </w:pPr>
            <w:r>
              <w:rPr>
                <w:rFonts w:hint="eastAsia"/>
                <w:sz w:val="24"/>
              </w:rPr>
              <w:t>生产过程中回流焊、手工焊工序产生锡渣，锡渣产生量按原料使用量的1%计算，无铅锡膏总用量为</w:t>
            </w:r>
            <w:r>
              <w:rPr>
                <w:rFonts w:hint="eastAsia"/>
                <w:sz w:val="24"/>
                <w:lang w:val="en-US" w:eastAsia="zh-CN"/>
              </w:rPr>
              <w:t>13.8</w:t>
            </w:r>
            <w:r>
              <w:rPr>
                <w:rFonts w:hint="eastAsia"/>
                <w:sz w:val="24"/>
              </w:rPr>
              <w:t>t/a，无铅锡丝总用量为0.</w:t>
            </w:r>
            <w:r>
              <w:rPr>
                <w:rFonts w:hint="eastAsia"/>
                <w:sz w:val="24"/>
                <w:lang w:val="en-US" w:eastAsia="zh-CN"/>
              </w:rPr>
              <w:t>2</w:t>
            </w:r>
            <w:r>
              <w:rPr>
                <w:rFonts w:hint="eastAsia"/>
                <w:sz w:val="24"/>
              </w:rPr>
              <w:t>t/a，则焊渣产生量为0.</w:t>
            </w:r>
            <w:r>
              <w:rPr>
                <w:rFonts w:hint="eastAsia"/>
                <w:sz w:val="24"/>
                <w:lang w:val="en-US" w:eastAsia="zh-CN"/>
              </w:rPr>
              <w:t>14</w:t>
            </w:r>
            <w:r>
              <w:rPr>
                <w:rFonts w:hint="eastAsia"/>
                <w:sz w:val="24"/>
              </w:rPr>
              <w:t>t/a。本项目焊接锡渣含</w:t>
            </w:r>
            <w:r>
              <w:rPr>
                <w:rFonts w:hint="eastAsia"/>
                <w:sz w:val="24"/>
                <w:lang w:val="en-US" w:eastAsia="zh-CN"/>
              </w:rPr>
              <w:t>固化的</w:t>
            </w:r>
            <w:r>
              <w:rPr>
                <w:rFonts w:hint="eastAsia"/>
                <w:sz w:val="24"/>
              </w:rPr>
              <w:t>锡、银、铜，属于一般固废，集中收集后外售综合利用。</w:t>
            </w:r>
          </w:p>
          <w:p w14:paraId="48ED91FE">
            <w:pPr>
              <w:spacing w:line="360" w:lineRule="auto"/>
              <w:ind w:firstLine="480" w:firstLineChars="200"/>
              <w:jc w:val="left"/>
              <w:rPr>
                <w:rFonts w:hint="default" w:eastAsia="宋体"/>
                <w:sz w:val="24"/>
                <w:lang w:val="en-US" w:eastAsia="zh-CN"/>
              </w:rPr>
            </w:pPr>
            <w:r>
              <w:rPr>
                <w:sz w:val="24"/>
              </w:rPr>
              <w:t>（3）</w:t>
            </w:r>
            <w:r>
              <w:rPr>
                <w:rFonts w:hint="eastAsia"/>
                <w:sz w:val="24"/>
              </w:rPr>
              <w:t>废</w:t>
            </w:r>
            <w:r>
              <w:rPr>
                <w:rFonts w:hint="eastAsia"/>
                <w:sz w:val="24"/>
                <w:lang w:val="en-US" w:eastAsia="zh-CN"/>
              </w:rPr>
              <w:t>胶布纸</w:t>
            </w:r>
          </w:p>
          <w:p w14:paraId="1ED6927C">
            <w:pPr>
              <w:spacing w:line="360" w:lineRule="auto"/>
              <w:ind w:firstLine="480" w:firstLineChars="200"/>
              <w:jc w:val="left"/>
              <w:rPr>
                <w:rFonts w:hint="eastAsia"/>
                <w:sz w:val="24"/>
              </w:rPr>
            </w:pPr>
            <w:r>
              <w:rPr>
                <w:rFonts w:hint="eastAsia"/>
                <w:sz w:val="24"/>
              </w:rPr>
              <w:t>本项目分板过程同时贴背胶，背胶使用过程产生</w:t>
            </w:r>
            <w:r>
              <w:rPr>
                <w:rFonts w:hint="eastAsia"/>
                <w:sz w:val="24"/>
                <w:lang w:eastAsia="zh-CN"/>
              </w:rPr>
              <w:t>废胶布纸</w:t>
            </w:r>
            <w:r>
              <w:rPr>
                <w:rFonts w:hint="eastAsia"/>
                <w:sz w:val="24"/>
              </w:rPr>
              <w:t>，背胶使用量为</w:t>
            </w:r>
            <w:r>
              <w:rPr>
                <w:rFonts w:hint="eastAsia"/>
                <w:sz w:val="24"/>
                <w:lang w:val="en-US" w:eastAsia="zh-CN"/>
              </w:rPr>
              <w:t>4000</w:t>
            </w:r>
            <w:r>
              <w:rPr>
                <w:rFonts w:hint="eastAsia"/>
                <w:sz w:val="24"/>
              </w:rPr>
              <w:t>万米</w:t>
            </w:r>
            <w:r>
              <w:rPr>
                <w:rFonts w:hint="eastAsia"/>
                <w:sz w:val="24"/>
                <w:lang w:eastAsia="zh-CN"/>
              </w:rPr>
              <w:t>，</w:t>
            </w:r>
            <w:r>
              <w:rPr>
                <w:rFonts w:hint="eastAsia"/>
                <w:sz w:val="24"/>
              </w:rPr>
              <w:t>废胶布纸产生量约为0.1t/a，建设单位收集后外售物资回收单位。</w:t>
            </w:r>
          </w:p>
          <w:p w14:paraId="3FB0FCBA">
            <w:pPr>
              <w:spacing w:line="360" w:lineRule="auto"/>
              <w:ind w:firstLine="480" w:firstLineChars="200"/>
              <w:jc w:val="left"/>
              <w:rPr>
                <w:rFonts w:hint="default" w:eastAsia="宋体"/>
                <w:sz w:val="24"/>
                <w:lang w:val="en-US" w:eastAsia="zh-CN"/>
              </w:rPr>
            </w:pPr>
            <w:r>
              <w:rPr>
                <w:rFonts w:hint="eastAsia"/>
                <w:sz w:val="24"/>
                <w:lang w:eastAsia="zh-CN"/>
              </w:rPr>
              <w:t>（</w:t>
            </w:r>
            <w:r>
              <w:rPr>
                <w:rFonts w:hint="eastAsia"/>
                <w:sz w:val="24"/>
                <w:lang w:val="en-US" w:eastAsia="zh-CN"/>
              </w:rPr>
              <w:t>4</w:t>
            </w:r>
            <w:r>
              <w:rPr>
                <w:rFonts w:hint="eastAsia"/>
                <w:sz w:val="24"/>
                <w:lang w:eastAsia="zh-CN"/>
              </w:rPr>
              <w:t>）</w:t>
            </w:r>
            <w:r>
              <w:rPr>
                <w:rFonts w:hint="eastAsia"/>
                <w:sz w:val="24"/>
                <w:lang w:val="en-US" w:eastAsia="zh-CN"/>
              </w:rPr>
              <w:t>不合格品</w:t>
            </w:r>
          </w:p>
          <w:p w14:paraId="0836ACC6">
            <w:pPr>
              <w:spacing w:line="360" w:lineRule="auto"/>
              <w:ind w:firstLine="480" w:firstLineChars="200"/>
              <w:jc w:val="left"/>
              <w:rPr>
                <w:rFonts w:hint="eastAsia"/>
                <w:sz w:val="24"/>
              </w:rPr>
            </w:pPr>
            <w:r>
              <w:rPr>
                <w:rFonts w:hint="eastAsia"/>
                <w:sz w:val="24"/>
              </w:rPr>
              <w:t>项目检测过程产生不合格品，不合格品产生量约为0.2吨，建设单位收集后外售物资回收单位。</w:t>
            </w:r>
          </w:p>
          <w:p w14:paraId="1257545D">
            <w:pPr>
              <w:pStyle w:val="51"/>
              <w:ind w:firstLine="482"/>
              <w:rPr>
                <w:b/>
                <w:bCs/>
              </w:rPr>
            </w:pPr>
            <w:r>
              <w:rPr>
                <w:rFonts w:hint="eastAsia"/>
                <w:b/>
                <w:bCs/>
              </w:rPr>
              <w:t>4</w:t>
            </w:r>
            <w:r>
              <w:rPr>
                <w:b/>
                <w:bCs/>
              </w:rPr>
              <w:t>.2</w:t>
            </w:r>
            <w:r>
              <w:rPr>
                <w:rFonts w:hint="eastAsia"/>
                <w:b/>
                <w:bCs/>
              </w:rPr>
              <w:t>危险废物</w:t>
            </w:r>
          </w:p>
          <w:p w14:paraId="32F37970">
            <w:pPr>
              <w:pStyle w:val="51"/>
              <w:ind w:firstLine="480"/>
              <w:rPr>
                <w:rFonts w:hint="default" w:eastAsia="宋体"/>
                <w:color w:val="FF0000"/>
                <w:lang w:val="en-US" w:eastAsia="zh-CN"/>
              </w:rPr>
            </w:pPr>
            <w:r>
              <w:rPr>
                <w:rFonts w:hint="eastAsia"/>
                <w:color w:val="FF0000"/>
              </w:rPr>
              <w:t>（1）废</w:t>
            </w:r>
            <w:r>
              <w:rPr>
                <w:rFonts w:hint="eastAsia"/>
                <w:color w:val="FF0000"/>
                <w:lang w:val="en-US" w:eastAsia="zh-CN"/>
              </w:rPr>
              <w:t>锡膏罐、废酒精桶、废硅胶桶</w:t>
            </w:r>
          </w:p>
          <w:p w14:paraId="59F34655">
            <w:pPr>
              <w:pStyle w:val="51"/>
              <w:keepNext w:val="0"/>
              <w:keepLines w:val="0"/>
              <w:suppressLineNumbers w:val="0"/>
              <w:spacing w:before="0" w:beforeAutospacing="0" w:after="0" w:afterAutospacing="0"/>
              <w:ind w:left="0" w:right="0"/>
              <w:rPr>
                <w:rFonts w:hint="default"/>
              </w:rPr>
            </w:pPr>
            <w:r>
              <w:rPr>
                <w:rFonts w:hint="eastAsia"/>
              </w:rPr>
              <w:t>本项目外购的</w:t>
            </w:r>
            <w:r>
              <w:rPr>
                <w:rFonts w:hint="eastAsia"/>
                <w:lang w:val="en-US" w:eastAsia="zh-CN"/>
              </w:rPr>
              <w:t>锡膏</w:t>
            </w:r>
            <w:r>
              <w:rPr>
                <w:rFonts w:hint="eastAsia"/>
              </w:rPr>
              <w:t>、</w:t>
            </w:r>
            <w:r>
              <w:rPr>
                <w:rFonts w:hint="eastAsia"/>
                <w:lang w:val="en-US" w:eastAsia="zh-CN"/>
              </w:rPr>
              <w:t>酒精、硅胶</w:t>
            </w:r>
            <w:r>
              <w:rPr>
                <w:rFonts w:hint="eastAsia"/>
                <w:color w:val="auto"/>
              </w:rPr>
              <w:t>在使用过程中会产生沾染少量有毒有害物质的废包装材料。根据企业原辅材料包装规格及消耗情况，</w:t>
            </w:r>
            <w:r>
              <w:rPr>
                <w:rFonts w:hint="eastAsia"/>
                <w:color w:val="FF0000"/>
              </w:rPr>
              <w:t>本项目废</w:t>
            </w:r>
            <w:r>
              <w:rPr>
                <w:rFonts w:hint="eastAsia"/>
                <w:color w:val="FF0000"/>
                <w:lang w:val="en-US" w:eastAsia="zh-CN"/>
              </w:rPr>
              <w:t>锡膏罐</w:t>
            </w:r>
            <w:r>
              <w:rPr>
                <w:rFonts w:hint="eastAsia"/>
                <w:color w:val="FF0000"/>
              </w:rPr>
              <w:t>产生量约为</w:t>
            </w:r>
            <w:r>
              <w:rPr>
                <w:rFonts w:hint="eastAsia"/>
                <w:color w:val="FF0000"/>
                <w:lang w:val="en-US" w:eastAsia="zh-CN"/>
              </w:rPr>
              <w:t>1.722</w:t>
            </w:r>
            <w:r>
              <w:rPr>
                <w:rFonts w:hint="eastAsia"/>
                <w:color w:val="FF0000"/>
              </w:rPr>
              <w:t>t/a</w:t>
            </w:r>
            <w:r>
              <w:rPr>
                <w:rFonts w:hint="eastAsia"/>
                <w:color w:val="FF0000"/>
                <w:lang w:eastAsia="zh-CN"/>
              </w:rPr>
              <w:t>，</w:t>
            </w:r>
            <w:r>
              <w:rPr>
                <w:rFonts w:hint="eastAsia"/>
                <w:color w:val="FF0000"/>
                <w:lang w:val="en-US" w:eastAsia="zh-CN"/>
              </w:rPr>
              <w:t>废酒精桶约为0.025</w:t>
            </w:r>
            <w:r>
              <w:rPr>
                <w:rFonts w:hint="eastAsia"/>
                <w:color w:val="FF0000"/>
              </w:rPr>
              <w:t>t/a</w:t>
            </w:r>
            <w:r>
              <w:rPr>
                <w:rFonts w:hint="eastAsia"/>
                <w:color w:val="FF0000"/>
                <w:lang w:eastAsia="zh-CN"/>
              </w:rPr>
              <w:t>，</w:t>
            </w:r>
            <w:r>
              <w:rPr>
                <w:rFonts w:hint="eastAsia"/>
                <w:color w:val="FF0000"/>
                <w:lang w:val="en-US" w:eastAsia="zh-CN"/>
              </w:rPr>
              <w:t>废硅胶桶约为3t/a</w:t>
            </w:r>
            <w:r>
              <w:rPr>
                <w:rFonts w:hint="eastAsia"/>
                <w:color w:val="FF0000"/>
              </w:rPr>
              <w:t>。</w:t>
            </w:r>
            <w:r>
              <w:rPr>
                <w:rFonts w:hint="eastAsia"/>
              </w:rPr>
              <w:t>根据《国家危险废物名录》（2025年版），属于HW49（其他废物）类危废，代</w:t>
            </w:r>
            <w:bookmarkStart w:id="9" w:name="固废"/>
            <w:bookmarkEnd w:id="9"/>
            <w:r>
              <w:rPr>
                <w:rFonts w:hint="eastAsia"/>
              </w:rPr>
              <w:t>码为900-041-49（含有或沾染毒性、感染性危险废物的废弃包装物、容器、过滤吸附介质）。</w:t>
            </w:r>
            <w:r>
              <w:rPr>
                <w:rFonts w:hint="eastAsia"/>
                <w:bCs/>
                <w:lang w:bidi="ar"/>
              </w:rPr>
              <w:t>收集后在厂区危废暂存间暂存，委托有资质单位处理</w:t>
            </w:r>
            <w:r>
              <w:rPr>
                <w:rFonts w:hint="eastAsia"/>
              </w:rPr>
              <w:t>。</w:t>
            </w:r>
          </w:p>
          <w:p w14:paraId="315540CD">
            <w:pPr>
              <w:pStyle w:val="52"/>
              <w:keepNext w:val="0"/>
              <w:keepLines w:val="0"/>
              <w:suppressLineNumbers w:val="0"/>
              <w:spacing w:before="0" w:beforeLines="0" w:beforeAutospacing="0" w:after="0" w:afterAutospacing="0"/>
              <w:ind w:left="0" w:right="0"/>
              <w:rPr>
                <w:rFonts w:hint="default"/>
              </w:rPr>
            </w:pPr>
            <w:r>
              <w:rPr>
                <w:rFonts w:hint="eastAsia"/>
              </w:rPr>
              <w:t>表4</w:t>
            </w:r>
            <w:r>
              <w:rPr>
                <w:rFonts w:hint="default"/>
              </w:rPr>
              <w:t>-</w:t>
            </w:r>
            <w:r>
              <w:rPr>
                <w:rFonts w:hint="eastAsia"/>
              </w:rPr>
              <w:t>1</w:t>
            </w:r>
            <w:r>
              <w:rPr>
                <w:rFonts w:hint="eastAsia"/>
                <w:lang w:val="en-US" w:eastAsia="zh-CN"/>
              </w:rPr>
              <w:t>4</w:t>
            </w:r>
            <w:r>
              <w:rPr>
                <w:rFonts w:hint="default"/>
              </w:rPr>
              <w:t xml:space="preserve">  </w:t>
            </w:r>
            <w:r>
              <w:rPr>
                <w:rFonts w:hint="eastAsia"/>
              </w:rPr>
              <w:t>本项目危废包装材料年生产情况</w:t>
            </w:r>
          </w:p>
          <w:tbl>
            <w:tblPr>
              <w:tblStyle w:val="23"/>
              <w:tblW w:w="82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1"/>
              <w:gridCol w:w="1590"/>
              <w:gridCol w:w="1370"/>
              <w:gridCol w:w="1378"/>
              <w:gridCol w:w="1378"/>
              <w:gridCol w:w="1384"/>
            </w:tblGrid>
            <w:tr w14:paraId="55F95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0" w:hRule="atLeast"/>
                <w:jc w:val="center"/>
              </w:trPr>
              <w:tc>
                <w:tcPr>
                  <w:tcW w:w="1151" w:type="dxa"/>
                  <w:shd w:val="clear" w:color="auto" w:fill="auto"/>
                  <w:vAlign w:val="center"/>
                </w:tcPr>
                <w:p w14:paraId="7EB90CE7">
                  <w:pPr>
                    <w:keepNext w:val="0"/>
                    <w:keepLines w:val="0"/>
                    <w:suppressLineNumbers w:val="0"/>
                    <w:autoSpaceDE w:val="0"/>
                    <w:spacing w:before="0" w:beforeAutospacing="0" w:after="0" w:afterAutospacing="0"/>
                    <w:ind w:left="0" w:right="0"/>
                    <w:jc w:val="center"/>
                    <w:outlineLvl w:val="1"/>
                    <w:rPr>
                      <w:rFonts w:hint="default"/>
                      <w:b/>
                      <w:bCs/>
                      <w:color w:val="auto"/>
                      <w:kern w:val="0"/>
                      <w:szCs w:val="21"/>
                    </w:rPr>
                  </w:pPr>
                  <w:r>
                    <w:rPr>
                      <w:rFonts w:hint="eastAsia"/>
                      <w:b/>
                      <w:bCs/>
                      <w:color w:val="auto"/>
                      <w:kern w:val="0"/>
                    </w:rPr>
                    <w:t>原料</w:t>
                  </w:r>
                </w:p>
              </w:tc>
              <w:tc>
                <w:tcPr>
                  <w:tcW w:w="1590" w:type="dxa"/>
                  <w:shd w:val="clear" w:color="auto" w:fill="auto"/>
                  <w:vAlign w:val="center"/>
                </w:tcPr>
                <w:p w14:paraId="6FEDAB54">
                  <w:pPr>
                    <w:keepNext w:val="0"/>
                    <w:keepLines w:val="0"/>
                    <w:suppressLineNumbers w:val="0"/>
                    <w:autoSpaceDE w:val="0"/>
                    <w:spacing w:before="0" w:beforeAutospacing="0" w:after="0" w:afterAutospacing="0"/>
                    <w:ind w:left="0" w:right="0"/>
                    <w:jc w:val="center"/>
                    <w:outlineLvl w:val="1"/>
                    <w:rPr>
                      <w:rFonts w:hint="default"/>
                      <w:b/>
                      <w:bCs/>
                      <w:color w:val="auto"/>
                      <w:kern w:val="0"/>
                    </w:rPr>
                  </w:pPr>
                  <w:r>
                    <w:rPr>
                      <w:rFonts w:hint="eastAsia"/>
                      <w:b/>
                      <w:bCs/>
                      <w:color w:val="auto"/>
                      <w:kern w:val="0"/>
                    </w:rPr>
                    <w:t>年消耗量（t/a）</w:t>
                  </w:r>
                </w:p>
              </w:tc>
              <w:tc>
                <w:tcPr>
                  <w:tcW w:w="1370" w:type="dxa"/>
                  <w:shd w:val="clear" w:color="auto" w:fill="auto"/>
                  <w:vAlign w:val="center"/>
                </w:tcPr>
                <w:p w14:paraId="29402922">
                  <w:pPr>
                    <w:keepNext w:val="0"/>
                    <w:keepLines w:val="0"/>
                    <w:suppressLineNumbers w:val="0"/>
                    <w:autoSpaceDE w:val="0"/>
                    <w:spacing w:before="0" w:beforeAutospacing="0" w:after="0" w:afterAutospacing="0"/>
                    <w:ind w:left="0" w:right="0"/>
                    <w:jc w:val="center"/>
                    <w:outlineLvl w:val="1"/>
                    <w:rPr>
                      <w:rFonts w:hint="default"/>
                      <w:b/>
                      <w:bCs/>
                      <w:color w:val="auto"/>
                      <w:kern w:val="0"/>
                    </w:rPr>
                  </w:pPr>
                  <w:r>
                    <w:rPr>
                      <w:rFonts w:hint="eastAsia"/>
                      <w:b/>
                      <w:bCs/>
                      <w:color w:val="auto"/>
                      <w:kern w:val="0"/>
                    </w:rPr>
                    <w:t>包装规格</w:t>
                  </w:r>
                </w:p>
              </w:tc>
              <w:tc>
                <w:tcPr>
                  <w:tcW w:w="1378" w:type="dxa"/>
                  <w:vAlign w:val="center"/>
                </w:tcPr>
                <w:p w14:paraId="2A0A79B9">
                  <w:pPr>
                    <w:keepNext w:val="0"/>
                    <w:keepLines w:val="0"/>
                    <w:suppressLineNumbers w:val="0"/>
                    <w:autoSpaceDE w:val="0"/>
                    <w:spacing w:before="0" w:beforeAutospacing="0" w:after="0" w:afterAutospacing="0"/>
                    <w:ind w:left="0" w:right="0"/>
                    <w:jc w:val="center"/>
                    <w:outlineLvl w:val="1"/>
                    <w:rPr>
                      <w:rFonts w:hint="default"/>
                      <w:b/>
                      <w:bCs/>
                      <w:color w:val="auto"/>
                      <w:kern w:val="0"/>
                    </w:rPr>
                  </w:pPr>
                  <w:r>
                    <w:rPr>
                      <w:rFonts w:hint="eastAsia"/>
                      <w:b/>
                      <w:bCs/>
                      <w:color w:val="auto"/>
                      <w:kern w:val="0"/>
                    </w:rPr>
                    <w:t>单个包装物重量（kg）</w:t>
                  </w:r>
                </w:p>
              </w:tc>
              <w:tc>
                <w:tcPr>
                  <w:tcW w:w="1378" w:type="dxa"/>
                  <w:shd w:val="clear" w:color="auto" w:fill="auto"/>
                  <w:vAlign w:val="center"/>
                </w:tcPr>
                <w:p w14:paraId="67F668A3">
                  <w:pPr>
                    <w:keepNext w:val="0"/>
                    <w:keepLines w:val="0"/>
                    <w:suppressLineNumbers w:val="0"/>
                    <w:autoSpaceDE w:val="0"/>
                    <w:spacing w:before="0" w:beforeAutospacing="0" w:after="0" w:afterAutospacing="0"/>
                    <w:ind w:left="0" w:right="0"/>
                    <w:jc w:val="center"/>
                    <w:outlineLvl w:val="1"/>
                    <w:rPr>
                      <w:rFonts w:hint="default"/>
                      <w:b/>
                      <w:bCs/>
                      <w:color w:val="auto"/>
                      <w:kern w:val="0"/>
                    </w:rPr>
                  </w:pPr>
                  <w:r>
                    <w:rPr>
                      <w:rFonts w:hint="eastAsia"/>
                      <w:b/>
                      <w:bCs/>
                      <w:color w:val="auto"/>
                      <w:kern w:val="0"/>
                    </w:rPr>
                    <w:t>废包装物年产生数量（个）</w:t>
                  </w:r>
                </w:p>
              </w:tc>
              <w:tc>
                <w:tcPr>
                  <w:tcW w:w="1384" w:type="dxa"/>
                  <w:shd w:val="clear" w:color="auto" w:fill="auto"/>
                  <w:vAlign w:val="center"/>
                </w:tcPr>
                <w:p w14:paraId="1B2C0A2D">
                  <w:pPr>
                    <w:keepNext w:val="0"/>
                    <w:keepLines w:val="0"/>
                    <w:suppressLineNumbers w:val="0"/>
                    <w:autoSpaceDE w:val="0"/>
                    <w:spacing w:before="0" w:beforeAutospacing="0" w:after="0" w:afterAutospacing="0"/>
                    <w:ind w:left="0" w:right="0"/>
                    <w:jc w:val="center"/>
                    <w:outlineLvl w:val="1"/>
                    <w:rPr>
                      <w:rFonts w:hint="default"/>
                      <w:b/>
                      <w:bCs/>
                      <w:color w:val="auto"/>
                      <w:kern w:val="0"/>
                    </w:rPr>
                  </w:pPr>
                  <w:r>
                    <w:rPr>
                      <w:rFonts w:hint="eastAsia"/>
                      <w:b/>
                      <w:bCs/>
                      <w:color w:val="auto"/>
                      <w:kern w:val="0"/>
                    </w:rPr>
                    <w:t>产生量（t）</w:t>
                  </w:r>
                </w:p>
              </w:tc>
            </w:tr>
            <w:tr w14:paraId="40AE6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51" w:type="dxa"/>
                  <w:shd w:val="clear" w:color="auto" w:fill="auto"/>
                  <w:vAlign w:val="center"/>
                </w:tcPr>
                <w:p w14:paraId="6F5AACB0">
                  <w:pPr>
                    <w:keepNext w:val="0"/>
                    <w:keepLines w:val="0"/>
                    <w:suppressLineNumbers w:val="0"/>
                    <w:autoSpaceDE w:val="0"/>
                    <w:spacing w:before="0" w:beforeAutospacing="0" w:after="0" w:afterAutospacing="0"/>
                    <w:ind w:left="0" w:right="0"/>
                    <w:jc w:val="center"/>
                    <w:outlineLvl w:val="1"/>
                    <w:rPr>
                      <w:rFonts w:hint="default" w:eastAsia="宋体"/>
                      <w:color w:val="auto"/>
                      <w:kern w:val="0"/>
                      <w:lang w:val="en-US" w:eastAsia="zh-CN"/>
                    </w:rPr>
                  </w:pPr>
                  <w:r>
                    <w:rPr>
                      <w:rFonts w:hint="eastAsia"/>
                      <w:color w:val="auto"/>
                      <w:kern w:val="0"/>
                      <w:lang w:val="en-US" w:eastAsia="zh-CN"/>
                    </w:rPr>
                    <w:t>锡膏</w:t>
                  </w:r>
                </w:p>
              </w:tc>
              <w:tc>
                <w:tcPr>
                  <w:tcW w:w="1590" w:type="dxa"/>
                  <w:shd w:val="clear" w:color="auto" w:fill="auto"/>
                  <w:vAlign w:val="center"/>
                </w:tcPr>
                <w:p w14:paraId="3C80ABC1">
                  <w:pPr>
                    <w:keepNext w:val="0"/>
                    <w:keepLines w:val="0"/>
                    <w:suppressLineNumbers w:val="0"/>
                    <w:autoSpaceDE w:val="0"/>
                    <w:spacing w:before="0" w:beforeAutospacing="0" w:after="0" w:afterAutospacing="0"/>
                    <w:ind w:left="0" w:right="0"/>
                    <w:jc w:val="center"/>
                    <w:outlineLvl w:val="1"/>
                    <w:rPr>
                      <w:rFonts w:hint="default" w:eastAsia="宋体"/>
                      <w:color w:val="FF0000"/>
                      <w:kern w:val="0"/>
                      <w:lang w:val="en-US" w:eastAsia="zh-CN"/>
                    </w:rPr>
                  </w:pPr>
                  <w:r>
                    <w:rPr>
                      <w:rFonts w:hint="eastAsia"/>
                      <w:color w:val="FF0000"/>
                      <w:kern w:val="0"/>
                      <w:lang w:val="en-US" w:eastAsia="zh-CN"/>
                    </w:rPr>
                    <w:t>43.056</w:t>
                  </w:r>
                </w:p>
              </w:tc>
              <w:tc>
                <w:tcPr>
                  <w:tcW w:w="1370" w:type="dxa"/>
                  <w:shd w:val="clear" w:color="auto" w:fill="auto"/>
                  <w:vAlign w:val="center"/>
                </w:tcPr>
                <w:p w14:paraId="2486450F">
                  <w:pPr>
                    <w:keepNext w:val="0"/>
                    <w:keepLines w:val="0"/>
                    <w:suppressLineNumbers w:val="0"/>
                    <w:autoSpaceDE w:val="0"/>
                    <w:spacing w:before="0" w:beforeAutospacing="0" w:after="0" w:afterAutospacing="0"/>
                    <w:ind w:left="0" w:right="0"/>
                    <w:jc w:val="center"/>
                    <w:outlineLvl w:val="1"/>
                    <w:rPr>
                      <w:rFonts w:hint="eastAsia" w:eastAsia="宋体"/>
                      <w:color w:val="auto"/>
                      <w:kern w:val="0"/>
                      <w:lang w:eastAsia="zh-CN"/>
                    </w:rPr>
                  </w:pPr>
                  <w:r>
                    <w:rPr>
                      <w:rFonts w:hint="eastAsia"/>
                      <w:color w:val="auto"/>
                      <w:szCs w:val="21"/>
                      <w:lang w:val="en-US" w:eastAsia="zh-CN"/>
                    </w:rPr>
                    <w:t>500g</w:t>
                  </w:r>
                  <w:r>
                    <w:rPr>
                      <w:rFonts w:hint="eastAsia"/>
                      <w:color w:val="auto"/>
                      <w:szCs w:val="21"/>
                    </w:rPr>
                    <w:t>/</w:t>
                  </w:r>
                  <w:r>
                    <w:rPr>
                      <w:rFonts w:hint="eastAsia"/>
                      <w:color w:val="auto"/>
                      <w:szCs w:val="21"/>
                      <w:lang w:val="en-US" w:eastAsia="zh-CN"/>
                    </w:rPr>
                    <w:t>罐</w:t>
                  </w:r>
                </w:p>
              </w:tc>
              <w:tc>
                <w:tcPr>
                  <w:tcW w:w="1378" w:type="dxa"/>
                  <w:vAlign w:val="center"/>
                </w:tcPr>
                <w:p w14:paraId="13148E94">
                  <w:pPr>
                    <w:keepNext w:val="0"/>
                    <w:keepLines w:val="0"/>
                    <w:suppressLineNumbers w:val="0"/>
                    <w:autoSpaceDE w:val="0"/>
                    <w:spacing w:before="0" w:beforeAutospacing="0" w:after="0" w:afterAutospacing="0"/>
                    <w:ind w:left="0" w:right="0"/>
                    <w:jc w:val="center"/>
                    <w:outlineLvl w:val="1"/>
                    <w:rPr>
                      <w:rFonts w:hint="default" w:eastAsia="宋体"/>
                      <w:color w:val="auto"/>
                      <w:kern w:val="0"/>
                      <w:lang w:val="en-US" w:eastAsia="zh-CN"/>
                    </w:rPr>
                  </w:pPr>
                  <w:r>
                    <w:rPr>
                      <w:rFonts w:hint="eastAsia"/>
                      <w:color w:val="auto"/>
                      <w:kern w:val="0"/>
                    </w:rPr>
                    <w:t>0.</w:t>
                  </w:r>
                  <w:r>
                    <w:rPr>
                      <w:rFonts w:hint="eastAsia"/>
                      <w:color w:val="auto"/>
                      <w:kern w:val="0"/>
                      <w:lang w:val="en-US" w:eastAsia="zh-CN"/>
                    </w:rPr>
                    <w:t>02</w:t>
                  </w:r>
                </w:p>
              </w:tc>
              <w:tc>
                <w:tcPr>
                  <w:tcW w:w="1378" w:type="dxa"/>
                  <w:shd w:val="clear" w:color="auto" w:fill="auto"/>
                  <w:vAlign w:val="center"/>
                </w:tcPr>
                <w:p w14:paraId="10BC69AE">
                  <w:pPr>
                    <w:keepNext w:val="0"/>
                    <w:keepLines w:val="0"/>
                    <w:suppressLineNumbers w:val="0"/>
                    <w:autoSpaceDE w:val="0"/>
                    <w:spacing w:before="0" w:beforeAutospacing="0" w:after="0" w:afterAutospacing="0"/>
                    <w:ind w:left="0" w:right="0"/>
                    <w:jc w:val="center"/>
                    <w:outlineLvl w:val="1"/>
                    <w:rPr>
                      <w:rFonts w:hint="default" w:eastAsia="宋体"/>
                      <w:color w:val="FF0000"/>
                      <w:kern w:val="0"/>
                      <w:lang w:val="en-US" w:eastAsia="zh-CN"/>
                    </w:rPr>
                  </w:pPr>
                  <w:r>
                    <w:rPr>
                      <w:rFonts w:hint="eastAsia"/>
                      <w:color w:val="FF0000"/>
                      <w:kern w:val="0"/>
                      <w:lang w:val="en-US" w:eastAsia="zh-CN"/>
                    </w:rPr>
                    <w:t>86112</w:t>
                  </w:r>
                </w:p>
              </w:tc>
              <w:tc>
                <w:tcPr>
                  <w:tcW w:w="1384" w:type="dxa"/>
                  <w:shd w:val="clear" w:color="auto" w:fill="auto"/>
                  <w:vAlign w:val="center"/>
                </w:tcPr>
                <w:p w14:paraId="6FE5FCF9">
                  <w:pPr>
                    <w:keepNext w:val="0"/>
                    <w:keepLines w:val="0"/>
                    <w:suppressLineNumbers w:val="0"/>
                    <w:autoSpaceDE w:val="0"/>
                    <w:spacing w:before="0" w:beforeAutospacing="0" w:after="0" w:afterAutospacing="0"/>
                    <w:ind w:left="0" w:right="0"/>
                    <w:jc w:val="center"/>
                    <w:outlineLvl w:val="1"/>
                    <w:rPr>
                      <w:rFonts w:hint="default" w:eastAsia="宋体"/>
                      <w:color w:val="FF0000"/>
                      <w:kern w:val="0"/>
                      <w:lang w:val="en-US" w:eastAsia="zh-CN"/>
                    </w:rPr>
                  </w:pPr>
                  <w:r>
                    <w:rPr>
                      <w:rFonts w:hint="eastAsia"/>
                      <w:color w:val="FF0000"/>
                      <w:kern w:val="0"/>
                      <w:lang w:val="en-US" w:eastAsia="zh-CN"/>
                    </w:rPr>
                    <w:t>1.722</w:t>
                  </w:r>
                </w:p>
              </w:tc>
            </w:tr>
            <w:tr w14:paraId="0C8C1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51" w:type="dxa"/>
                  <w:shd w:val="clear" w:color="auto" w:fill="auto"/>
                  <w:vAlign w:val="center"/>
                </w:tcPr>
                <w:p w14:paraId="7333C884">
                  <w:pPr>
                    <w:keepNext w:val="0"/>
                    <w:keepLines w:val="0"/>
                    <w:suppressLineNumbers w:val="0"/>
                    <w:autoSpaceDE w:val="0"/>
                    <w:spacing w:before="0" w:beforeAutospacing="0" w:after="0" w:afterAutospacing="0"/>
                    <w:ind w:left="0" w:right="0"/>
                    <w:jc w:val="center"/>
                    <w:outlineLvl w:val="1"/>
                    <w:rPr>
                      <w:rFonts w:hint="default"/>
                      <w:color w:val="auto"/>
                    </w:rPr>
                  </w:pPr>
                  <w:r>
                    <w:rPr>
                      <w:rFonts w:hint="eastAsia"/>
                      <w:color w:val="auto"/>
                    </w:rPr>
                    <w:t>无水乙醇</w:t>
                  </w:r>
                </w:p>
              </w:tc>
              <w:tc>
                <w:tcPr>
                  <w:tcW w:w="1590" w:type="dxa"/>
                  <w:shd w:val="clear" w:color="auto" w:fill="auto"/>
                  <w:vAlign w:val="center"/>
                </w:tcPr>
                <w:p w14:paraId="483A2D1C">
                  <w:pPr>
                    <w:keepNext w:val="0"/>
                    <w:keepLines w:val="0"/>
                    <w:suppressLineNumbers w:val="0"/>
                    <w:autoSpaceDE w:val="0"/>
                    <w:spacing w:before="0" w:beforeAutospacing="0" w:after="0" w:afterAutospacing="0"/>
                    <w:ind w:left="0" w:right="0"/>
                    <w:jc w:val="center"/>
                    <w:outlineLvl w:val="1"/>
                    <w:rPr>
                      <w:rFonts w:hint="default" w:eastAsia="宋体"/>
                      <w:color w:val="FF0000"/>
                      <w:kern w:val="0"/>
                      <w:lang w:val="en-US" w:eastAsia="zh-CN"/>
                    </w:rPr>
                  </w:pPr>
                  <w:r>
                    <w:rPr>
                      <w:rFonts w:hint="eastAsia"/>
                      <w:color w:val="FF0000"/>
                      <w:kern w:val="0"/>
                      <w:lang w:val="en-US" w:eastAsia="zh-CN"/>
                    </w:rPr>
                    <w:t>0.5</w:t>
                  </w:r>
                </w:p>
              </w:tc>
              <w:tc>
                <w:tcPr>
                  <w:tcW w:w="1370" w:type="dxa"/>
                  <w:shd w:val="clear" w:color="auto" w:fill="auto"/>
                  <w:vAlign w:val="center"/>
                </w:tcPr>
                <w:p w14:paraId="263444FD">
                  <w:pPr>
                    <w:keepNext w:val="0"/>
                    <w:keepLines w:val="0"/>
                    <w:suppressLineNumbers w:val="0"/>
                    <w:autoSpaceDE w:val="0"/>
                    <w:spacing w:before="0" w:beforeAutospacing="0" w:after="0" w:afterAutospacing="0"/>
                    <w:ind w:left="0" w:right="0"/>
                    <w:jc w:val="center"/>
                    <w:outlineLvl w:val="1"/>
                    <w:rPr>
                      <w:rFonts w:hint="default"/>
                      <w:color w:val="auto"/>
                      <w:szCs w:val="21"/>
                    </w:rPr>
                  </w:pPr>
                  <w:r>
                    <w:rPr>
                      <w:rFonts w:hint="eastAsia"/>
                      <w:color w:val="auto"/>
                      <w:szCs w:val="21"/>
                    </w:rPr>
                    <w:t>10kg/桶</w:t>
                  </w:r>
                </w:p>
              </w:tc>
              <w:tc>
                <w:tcPr>
                  <w:tcW w:w="1378" w:type="dxa"/>
                  <w:vAlign w:val="center"/>
                </w:tcPr>
                <w:p w14:paraId="4455E849">
                  <w:pPr>
                    <w:keepNext w:val="0"/>
                    <w:keepLines w:val="0"/>
                    <w:suppressLineNumbers w:val="0"/>
                    <w:autoSpaceDE w:val="0"/>
                    <w:spacing w:before="0" w:beforeAutospacing="0" w:after="0" w:afterAutospacing="0"/>
                    <w:ind w:left="0" w:right="0"/>
                    <w:jc w:val="center"/>
                    <w:outlineLvl w:val="1"/>
                    <w:rPr>
                      <w:rFonts w:hint="default"/>
                      <w:color w:val="auto"/>
                      <w:kern w:val="0"/>
                    </w:rPr>
                  </w:pPr>
                  <w:r>
                    <w:rPr>
                      <w:rFonts w:hint="eastAsia"/>
                      <w:color w:val="auto"/>
                      <w:kern w:val="0"/>
                    </w:rPr>
                    <w:t>0.5</w:t>
                  </w:r>
                </w:p>
              </w:tc>
              <w:tc>
                <w:tcPr>
                  <w:tcW w:w="1378" w:type="dxa"/>
                  <w:shd w:val="clear" w:color="auto" w:fill="auto"/>
                  <w:vAlign w:val="center"/>
                </w:tcPr>
                <w:p w14:paraId="20EF54BB">
                  <w:pPr>
                    <w:keepNext w:val="0"/>
                    <w:keepLines w:val="0"/>
                    <w:suppressLineNumbers w:val="0"/>
                    <w:autoSpaceDE w:val="0"/>
                    <w:spacing w:before="0" w:beforeAutospacing="0" w:after="0" w:afterAutospacing="0"/>
                    <w:ind w:left="0" w:right="0"/>
                    <w:jc w:val="center"/>
                    <w:outlineLvl w:val="1"/>
                    <w:rPr>
                      <w:rFonts w:hint="default" w:eastAsia="宋体"/>
                      <w:color w:val="FF0000"/>
                      <w:kern w:val="0"/>
                      <w:lang w:val="en-US" w:eastAsia="zh-CN"/>
                    </w:rPr>
                  </w:pPr>
                  <w:r>
                    <w:rPr>
                      <w:rFonts w:hint="eastAsia"/>
                      <w:color w:val="FF0000"/>
                      <w:kern w:val="0"/>
                      <w:lang w:val="en-US" w:eastAsia="zh-CN"/>
                    </w:rPr>
                    <w:t>50</w:t>
                  </w:r>
                </w:p>
              </w:tc>
              <w:tc>
                <w:tcPr>
                  <w:tcW w:w="1384" w:type="dxa"/>
                  <w:shd w:val="clear" w:color="auto" w:fill="auto"/>
                  <w:vAlign w:val="center"/>
                </w:tcPr>
                <w:p w14:paraId="4C42E159">
                  <w:pPr>
                    <w:keepNext w:val="0"/>
                    <w:keepLines w:val="0"/>
                    <w:suppressLineNumbers w:val="0"/>
                    <w:autoSpaceDE w:val="0"/>
                    <w:spacing w:before="0" w:beforeAutospacing="0" w:after="0" w:afterAutospacing="0"/>
                    <w:ind w:left="0" w:right="0"/>
                    <w:jc w:val="center"/>
                    <w:outlineLvl w:val="1"/>
                    <w:rPr>
                      <w:rFonts w:hint="default" w:eastAsia="宋体"/>
                      <w:color w:val="FF0000"/>
                      <w:kern w:val="0"/>
                      <w:lang w:val="en-US" w:eastAsia="zh-CN"/>
                    </w:rPr>
                  </w:pPr>
                  <w:r>
                    <w:rPr>
                      <w:rFonts w:hint="eastAsia"/>
                      <w:color w:val="FF0000"/>
                      <w:kern w:val="0"/>
                      <w:lang w:val="en-US" w:eastAsia="zh-CN"/>
                    </w:rPr>
                    <w:t>0.025</w:t>
                  </w:r>
                </w:p>
              </w:tc>
            </w:tr>
            <w:tr w14:paraId="616B0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151" w:type="dxa"/>
                  <w:shd w:val="clear" w:color="auto" w:fill="auto"/>
                  <w:vAlign w:val="center"/>
                </w:tcPr>
                <w:p w14:paraId="48333E04">
                  <w:pPr>
                    <w:keepNext w:val="0"/>
                    <w:keepLines w:val="0"/>
                    <w:suppressLineNumbers w:val="0"/>
                    <w:autoSpaceDE w:val="0"/>
                    <w:spacing w:before="0" w:beforeAutospacing="0" w:after="0" w:afterAutospacing="0"/>
                    <w:ind w:left="0" w:right="0"/>
                    <w:jc w:val="center"/>
                    <w:outlineLvl w:val="1"/>
                    <w:rPr>
                      <w:rFonts w:hint="eastAsia" w:eastAsia="宋体"/>
                      <w:color w:val="FF0000"/>
                      <w:lang w:val="en-US" w:eastAsia="zh-CN"/>
                    </w:rPr>
                  </w:pPr>
                  <w:r>
                    <w:rPr>
                      <w:rFonts w:hint="eastAsia"/>
                      <w:color w:val="FF0000"/>
                      <w:lang w:val="en-US" w:eastAsia="zh-CN"/>
                    </w:rPr>
                    <w:t>硅胶</w:t>
                  </w:r>
                </w:p>
              </w:tc>
              <w:tc>
                <w:tcPr>
                  <w:tcW w:w="1590" w:type="dxa"/>
                  <w:shd w:val="clear" w:color="auto" w:fill="auto"/>
                  <w:vAlign w:val="center"/>
                </w:tcPr>
                <w:p w14:paraId="04A84499">
                  <w:pPr>
                    <w:keepNext w:val="0"/>
                    <w:keepLines w:val="0"/>
                    <w:suppressLineNumbers w:val="0"/>
                    <w:autoSpaceDE w:val="0"/>
                    <w:spacing w:before="0" w:beforeAutospacing="0" w:after="0" w:afterAutospacing="0"/>
                    <w:ind w:left="0" w:right="0"/>
                    <w:jc w:val="center"/>
                    <w:outlineLvl w:val="1"/>
                    <w:rPr>
                      <w:rFonts w:hint="default"/>
                      <w:color w:val="FF0000"/>
                      <w:kern w:val="0"/>
                      <w:lang w:val="en-US" w:eastAsia="zh-CN"/>
                    </w:rPr>
                  </w:pPr>
                  <w:r>
                    <w:rPr>
                      <w:rFonts w:hint="eastAsia"/>
                      <w:color w:val="FF0000"/>
                      <w:kern w:val="0"/>
                      <w:lang w:val="en-US" w:eastAsia="zh-CN"/>
                    </w:rPr>
                    <w:t>300</w:t>
                  </w:r>
                </w:p>
              </w:tc>
              <w:tc>
                <w:tcPr>
                  <w:tcW w:w="1370" w:type="dxa"/>
                  <w:shd w:val="clear" w:color="auto" w:fill="auto"/>
                  <w:vAlign w:val="center"/>
                </w:tcPr>
                <w:p w14:paraId="3D24F1D6">
                  <w:pPr>
                    <w:keepNext w:val="0"/>
                    <w:keepLines w:val="0"/>
                    <w:suppressLineNumbers w:val="0"/>
                    <w:autoSpaceDE w:val="0"/>
                    <w:spacing w:before="0" w:beforeAutospacing="0" w:after="0" w:afterAutospacing="0"/>
                    <w:ind w:left="0" w:right="0"/>
                    <w:jc w:val="center"/>
                    <w:outlineLvl w:val="1"/>
                    <w:rPr>
                      <w:rFonts w:hint="default" w:eastAsia="宋体"/>
                      <w:color w:val="FF0000"/>
                      <w:szCs w:val="21"/>
                      <w:lang w:val="en-US" w:eastAsia="zh-CN"/>
                    </w:rPr>
                  </w:pPr>
                  <w:r>
                    <w:rPr>
                      <w:rFonts w:hint="eastAsia"/>
                      <w:color w:val="FF0000"/>
                      <w:szCs w:val="21"/>
                      <w:lang w:val="en-US" w:eastAsia="zh-CN"/>
                    </w:rPr>
                    <w:t>20kg/桶</w:t>
                  </w:r>
                </w:p>
              </w:tc>
              <w:tc>
                <w:tcPr>
                  <w:tcW w:w="1378" w:type="dxa"/>
                  <w:vAlign w:val="center"/>
                </w:tcPr>
                <w:p w14:paraId="1D71D0D0">
                  <w:pPr>
                    <w:keepNext w:val="0"/>
                    <w:keepLines w:val="0"/>
                    <w:suppressLineNumbers w:val="0"/>
                    <w:autoSpaceDE w:val="0"/>
                    <w:spacing w:before="0" w:beforeAutospacing="0" w:after="0" w:afterAutospacing="0"/>
                    <w:ind w:left="0" w:right="0"/>
                    <w:jc w:val="center"/>
                    <w:outlineLvl w:val="1"/>
                    <w:rPr>
                      <w:rFonts w:hint="default" w:eastAsia="宋体"/>
                      <w:color w:val="FF0000"/>
                      <w:kern w:val="0"/>
                      <w:lang w:val="en-US" w:eastAsia="zh-CN"/>
                    </w:rPr>
                  </w:pPr>
                  <w:r>
                    <w:rPr>
                      <w:rFonts w:hint="eastAsia"/>
                      <w:color w:val="FF0000"/>
                      <w:kern w:val="0"/>
                      <w:lang w:val="en-US" w:eastAsia="zh-CN"/>
                    </w:rPr>
                    <w:t>0.2</w:t>
                  </w:r>
                </w:p>
              </w:tc>
              <w:tc>
                <w:tcPr>
                  <w:tcW w:w="1378" w:type="dxa"/>
                  <w:shd w:val="clear" w:color="auto" w:fill="auto"/>
                  <w:vAlign w:val="center"/>
                </w:tcPr>
                <w:p w14:paraId="1BAFA53A">
                  <w:pPr>
                    <w:keepNext w:val="0"/>
                    <w:keepLines w:val="0"/>
                    <w:suppressLineNumbers w:val="0"/>
                    <w:autoSpaceDE w:val="0"/>
                    <w:spacing w:before="0" w:beforeAutospacing="0" w:after="0" w:afterAutospacing="0"/>
                    <w:ind w:left="0" w:right="0"/>
                    <w:jc w:val="center"/>
                    <w:outlineLvl w:val="1"/>
                    <w:rPr>
                      <w:rFonts w:hint="default"/>
                      <w:color w:val="FF0000"/>
                      <w:kern w:val="0"/>
                      <w:lang w:val="en-US" w:eastAsia="zh-CN"/>
                    </w:rPr>
                  </w:pPr>
                  <w:r>
                    <w:rPr>
                      <w:rFonts w:hint="eastAsia"/>
                      <w:color w:val="FF0000"/>
                      <w:kern w:val="0"/>
                      <w:lang w:val="en-US" w:eastAsia="zh-CN"/>
                    </w:rPr>
                    <w:t>15000</w:t>
                  </w:r>
                </w:p>
              </w:tc>
              <w:tc>
                <w:tcPr>
                  <w:tcW w:w="1384" w:type="dxa"/>
                  <w:shd w:val="clear" w:color="auto" w:fill="auto"/>
                  <w:vAlign w:val="center"/>
                </w:tcPr>
                <w:p w14:paraId="2FE562A9">
                  <w:pPr>
                    <w:keepNext w:val="0"/>
                    <w:keepLines w:val="0"/>
                    <w:suppressLineNumbers w:val="0"/>
                    <w:autoSpaceDE w:val="0"/>
                    <w:spacing w:before="0" w:beforeAutospacing="0" w:after="0" w:afterAutospacing="0"/>
                    <w:ind w:left="0" w:right="0"/>
                    <w:jc w:val="center"/>
                    <w:outlineLvl w:val="1"/>
                    <w:rPr>
                      <w:rFonts w:hint="default"/>
                      <w:color w:val="FF0000"/>
                      <w:kern w:val="0"/>
                      <w:lang w:val="en-US" w:eastAsia="zh-CN"/>
                    </w:rPr>
                  </w:pPr>
                  <w:r>
                    <w:rPr>
                      <w:rFonts w:hint="eastAsia"/>
                      <w:color w:val="FF0000"/>
                      <w:kern w:val="0"/>
                      <w:lang w:val="en-US" w:eastAsia="zh-CN"/>
                    </w:rPr>
                    <w:t>3</w:t>
                  </w:r>
                </w:p>
              </w:tc>
            </w:tr>
          </w:tbl>
          <w:p w14:paraId="3380AE97">
            <w:pPr>
              <w:pStyle w:val="51"/>
              <w:ind w:firstLine="480"/>
              <w:rPr>
                <w:rFonts w:hint="default" w:eastAsia="宋体"/>
                <w:lang w:val="en-US" w:eastAsia="zh-CN"/>
              </w:rPr>
            </w:pPr>
            <w:r>
              <w:rPr>
                <w:rFonts w:hint="eastAsia"/>
                <w:lang w:eastAsia="zh-CN"/>
              </w:rPr>
              <w:t>（</w:t>
            </w:r>
            <w:r>
              <w:rPr>
                <w:rFonts w:hint="eastAsia"/>
                <w:lang w:val="en-US" w:eastAsia="zh-CN"/>
              </w:rPr>
              <w:t>2</w:t>
            </w:r>
            <w:r>
              <w:rPr>
                <w:rFonts w:hint="eastAsia"/>
                <w:lang w:eastAsia="zh-CN"/>
              </w:rPr>
              <w:t>）</w:t>
            </w:r>
            <w:r>
              <w:rPr>
                <w:rFonts w:hint="eastAsia"/>
                <w:lang w:val="en-US" w:eastAsia="zh-CN"/>
              </w:rPr>
              <w:t>废擦拭纸</w:t>
            </w:r>
          </w:p>
          <w:p w14:paraId="5BDEA32F">
            <w:pPr>
              <w:pStyle w:val="51"/>
              <w:ind w:firstLine="480"/>
            </w:pPr>
            <w:r>
              <w:rPr>
                <w:rFonts w:hint="eastAsia"/>
              </w:rPr>
              <w:t>项目</w:t>
            </w:r>
            <w:r>
              <w:rPr>
                <w:rFonts w:hint="eastAsia"/>
                <w:lang w:val="en-US" w:eastAsia="zh-CN"/>
              </w:rPr>
              <w:t>锡膏涂覆</w:t>
            </w:r>
            <w:r>
              <w:rPr>
                <w:rFonts w:hint="eastAsia"/>
              </w:rPr>
              <w:t>网版需要使用</w:t>
            </w:r>
            <w:r>
              <w:rPr>
                <w:rFonts w:hint="eastAsia"/>
                <w:lang w:val="en-US" w:eastAsia="zh-CN"/>
              </w:rPr>
              <w:t>酒精（98%）</w:t>
            </w:r>
            <w:r>
              <w:rPr>
                <w:rFonts w:hint="eastAsia"/>
              </w:rPr>
              <w:t>进行擦拭，该过程产生废擦拭纸，据企业提供资料，年产生废擦拭纸量约为0.01t。根据《国家危险废物名录》（2025年版），属于HW49（其他废物）类危废，代码为900-041-49（含有或沾染毒性、感染性危险废物的废弃包装物、容器、过滤吸附介质）。</w:t>
            </w:r>
          </w:p>
          <w:p w14:paraId="1B6FC775">
            <w:pPr>
              <w:pStyle w:val="51"/>
              <w:ind w:firstLine="480"/>
              <w:rPr>
                <w:rFonts w:hint="default" w:eastAsia="宋体"/>
                <w:lang w:val="en-US" w:eastAsia="zh-CN"/>
              </w:rPr>
            </w:pPr>
            <w:r>
              <w:rPr>
                <w:rFonts w:hint="eastAsia"/>
                <w:lang w:eastAsia="zh-CN"/>
              </w:rPr>
              <w:t>（</w:t>
            </w:r>
            <w:r>
              <w:rPr>
                <w:rFonts w:hint="eastAsia"/>
                <w:lang w:val="en-US" w:eastAsia="zh-CN"/>
              </w:rPr>
              <w:t>3</w:t>
            </w:r>
            <w:r>
              <w:rPr>
                <w:rFonts w:hint="eastAsia"/>
                <w:lang w:eastAsia="zh-CN"/>
              </w:rPr>
              <w:t>）</w:t>
            </w:r>
            <w:r>
              <w:rPr>
                <w:rFonts w:hint="eastAsia"/>
                <w:lang w:val="en-US" w:eastAsia="zh-CN"/>
              </w:rPr>
              <w:t>废活性炭</w:t>
            </w:r>
          </w:p>
          <w:p w14:paraId="3C070FA9">
            <w:pPr>
              <w:pStyle w:val="51"/>
              <w:ind w:firstLine="480"/>
            </w:pPr>
            <w:r>
              <w:rPr>
                <w:rFonts w:hint="eastAsia"/>
              </w:rPr>
              <w:t>本项目有机废气采用两级活性炭吸附。活性炭对有机废气的饱和吸附容量以1kg活性炭吸附0.3kg有机废气计算，根据污染源强核算，二级活性炭吸附有机废气量约</w:t>
            </w:r>
            <w:r>
              <w:rPr>
                <w:rFonts w:hint="eastAsia"/>
                <w:color w:val="FF0000"/>
                <w:lang w:val="en-US" w:eastAsia="zh-CN"/>
              </w:rPr>
              <w:t>3.4</w:t>
            </w:r>
            <w:r>
              <w:rPr>
                <w:rFonts w:hint="eastAsia"/>
              </w:rPr>
              <w:t>t/a，则处理有机废气的活性炭需要</w:t>
            </w:r>
            <w:r>
              <w:rPr>
                <w:rFonts w:hint="eastAsia"/>
                <w:color w:val="FF0000"/>
                <w:lang w:val="en-US" w:eastAsia="zh-CN"/>
              </w:rPr>
              <w:t>11.333</w:t>
            </w:r>
            <w:r>
              <w:rPr>
                <w:rFonts w:hint="eastAsia"/>
              </w:rPr>
              <w:t>t/a，活性炭一次填充量以</w:t>
            </w:r>
            <w:r>
              <w:rPr>
                <w:rFonts w:hint="eastAsia"/>
                <w:color w:val="FF0000"/>
              </w:rPr>
              <w:t>0.</w:t>
            </w:r>
            <w:r>
              <w:rPr>
                <w:rFonts w:hint="eastAsia"/>
                <w:color w:val="FF0000"/>
                <w:lang w:val="en-US" w:eastAsia="zh-CN"/>
              </w:rPr>
              <w:t>99</w:t>
            </w:r>
            <w:r>
              <w:rPr>
                <w:rFonts w:hint="eastAsia"/>
                <w:color w:val="FF0000"/>
              </w:rPr>
              <w:t>t×2</w:t>
            </w:r>
            <w:r>
              <w:rPr>
                <w:rFonts w:hint="eastAsia"/>
              </w:rPr>
              <w:t>计，活性炭</w:t>
            </w:r>
            <w:r>
              <w:rPr>
                <w:rFonts w:hint="eastAsia"/>
                <w:lang w:val="en-US" w:eastAsia="zh-CN"/>
              </w:rPr>
              <w:t>2</w:t>
            </w:r>
            <w:r>
              <w:rPr>
                <w:rFonts w:hint="eastAsia"/>
              </w:rPr>
              <w:t>个月更换一次，则废活性炭产生量约为</w:t>
            </w:r>
            <w:r>
              <w:rPr>
                <w:rFonts w:hint="eastAsia"/>
                <w:color w:val="FF0000"/>
                <w:highlight w:val="none"/>
                <w:lang w:val="en-US" w:eastAsia="zh-CN"/>
              </w:rPr>
              <w:t>15.28</w:t>
            </w:r>
            <w:r>
              <w:rPr>
                <w:rFonts w:hint="eastAsia"/>
                <w:highlight w:val="none"/>
              </w:rPr>
              <w:t>t/a</w:t>
            </w:r>
            <w:r>
              <w:rPr>
                <w:rFonts w:hint="eastAsia"/>
              </w:rPr>
              <w:t>。废活性炭属危险废物，危废编号HW49（900-039-49），在危险废物暂存间暂存后，委托有资质的单位处置。</w:t>
            </w:r>
          </w:p>
          <w:p w14:paraId="0354A5A3">
            <w:pPr>
              <w:pStyle w:val="51"/>
              <w:ind w:firstLine="480"/>
              <w:rPr>
                <w:rFonts w:hint="default" w:eastAsia="宋体"/>
                <w:lang w:val="en-US" w:eastAsia="zh-CN"/>
              </w:rPr>
            </w:pPr>
            <w:r>
              <w:rPr>
                <w:rFonts w:hint="eastAsia"/>
                <w:lang w:eastAsia="zh-CN"/>
              </w:rPr>
              <w:t>（</w:t>
            </w:r>
            <w:r>
              <w:rPr>
                <w:rFonts w:hint="eastAsia"/>
                <w:lang w:val="en-US" w:eastAsia="zh-CN"/>
              </w:rPr>
              <w:t>4</w:t>
            </w:r>
            <w:r>
              <w:rPr>
                <w:rFonts w:hint="eastAsia"/>
                <w:lang w:eastAsia="zh-CN"/>
              </w:rPr>
              <w:t>）</w:t>
            </w:r>
            <w:r>
              <w:rPr>
                <w:rFonts w:hint="eastAsia"/>
                <w:lang w:val="en-US" w:eastAsia="zh-CN"/>
              </w:rPr>
              <w:t>废过滤棉</w:t>
            </w:r>
          </w:p>
          <w:p w14:paraId="2ABFC565">
            <w:pPr>
              <w:pStyle w:val="51"/>
              <w:ind w:firstLine="480"/>
            </w:pPr>
            <w:r>
              <w:rPr>
                <w:rFonts w:hint="eastAsia"/>
              </w:rPr>
              <w:t>过滤棉定期更换，项目过滤棉年用量约0.01t，年处理颗粒物的总量为0.0</w:t>
            </w:r>
            <w:r>
              <w:rPr>
                <w:rFonts w:hint="eastAsia"/>
                <w:lang w:val="en-US" w:eastAsia="zh-CN"/>
              </w:rPr>
              <w:t>04t</w:t>
            </w:r>
            <w:r>
              <w:rPr>
                <w:rFonts w:hint="eastAsia"/>
              </w:rPr>
              <w:t>/a，则产生的废过滤棉为0.01</w:t>
            </w:r>
            <w:r>
              <w:rPr>
                <w:rFonts w:hint="eastAsia"/>
                <w:lang w:val="en-US" w:eastAsia="zh-CN"/>
              </w:rPr>
              <w:t>4</w:t>
            </w:r>
            <w:r>
              <w:rPr>
                <w:rFonts w:hint="eastAsia"/>
              </w:rPr>
              <w:t>t/a。过滤棉需定期更换，更换后的废过滤棉沾有有机废气，属于危险废物，危险废物编号为HW49，代码为900-041-49，暂存危废暂存间后，定期交由资质单位处置。</w:t>
            </w:r>
          </w:p>
          <w:p w14:paraId="6F6CEB67">
            <w:pPr>
              <w:pStyle w:val="51"/>
              <w:rPr>
                <w:bCs/>
                <w:color w:val="auto"/>
                <w:szCs w:val="22"/>
              </w:rPr>
            </w:pPr>
            <w:r>
              <w:rPr>
                <w:rFonts w:hint="eastAsia"/>
                <w:bCs/>
                <w:color w:val="auto"/>
                <w:szCs w:val="22"/>
              </w:rPr>
              <w:t>（</w:t>
            </w:r>
            <w:r>
              <w:rPr>
                <w:rFonts w:hint="eastAsia"/>
                <w:bCs/>
                <w:color w:val="auto"/>
                <w:szCs w:val="22"/>
                <w:lang w:val="en-US" w:eastAsia="zh-CN"/>
              </w:rPr>
              <w:t>5</w:t>
            </w:r>
            <w:r>
              <w:rPr>
                <w:rFonts w:hint="eastAsia"/>
                <w:bCs/>
                <w:color w:val="auto"/>
                <w:szCs w:val="22"/>
              </w:rPr>
              <w:t>）废机油</w:t>
            </w:r>
            <w:r>
              <w:rPr>
                <w:rFonts w:hint="eastAsia"/>
                <w:color w:val="auto"/>
              </w:rPr>
              <w:t>及废油桶</w:t>
            </w:r>
          </w:p>
          <w:p w14:paraId="7F4EA57D">
            <w:pPr>
              <w:pStyle w:val="51"/>
              <w:ind w:firstLine="480"/>
            </w:pPr>
            <w:r>
              <w:rPr>
                <w:bCs/>
                <w:color w:val="auto"/>
                <w:szCs w:val="22"/>
              </w:rPr>
              <w:t>本项目主要生产设备需定期添加机油进行设备维护，过程中会产生废机油。本项目机油年用量为0.</w:t>
            </w:r>
            <w:r>
              <w:rPr>
                <w:rFonts w:hint="eastAsia"/>
                <w:bCs/>
                <w:color w:val="auto"/>
                <w:szCs w:val="22"/>
              </w:rPr>
              <w:t>1</w:t>
            </w:r>
            <w:r>
              <w:rPr>
                <w:bCs/>
                <w:color w:val="auto"/>
                <w:szCs w:val="22"/>
              </w:rPr>
              <w:t>t/a，则更换产生的废机油产生量约为0.</w:t>
            </w:r>
            <w:r>
              <w:rPr>
                <w:rFonts w:hint="eastAsia"/>
                <w:bCs/>
                <w:color w:val="auto"/>
                <w:szCs w:val="22"/>
              </w:rPr>
              <w:t>1</w:t>
            </w:r>
            <w:r>
              <w:rPr>
                <w:bCs/>
                <w:color w:val="auto"/>
                <w:szCs w:val="22"/>
              </w:rPr>
              <w:t>t/a。机油原料使用过程会产生沾染少量油类物质的废包装桶，</w:t>
            </w:r>
            <w:r>
              <w:rPr>
                <w:rFonts w:hint="eastAsia"/>
                <w:bCs/>
                <w:color w:val="auto"/>
                <w:szCs w:val="22"/>
              </w:rPr>
              <w:t>含油包装桶包装规格约为25kg/桶，则含油包装桶产生数量约为4个，</w:t>
            </w:r>
            <w:r>
              <w:rPr>
                <w:bCs/>
                <w:color w:val="auto"/>
                <w:szCs w:val="22"/>
              </w:rPr>
              <w:t>年产生量</w:t>
            </w:r>
            <w:r>
              <w:rPr>
                <w:rFonts w:hint="eastAsia"/>
                <w:bCs/>
                <w:color w:val="auto"/>
                <w:szCs w:val="22"/>
              </w:rPr>
              <w:t>约</w:t>
            </w:r>
            <w:r>
              <w:rPr>
                <w:bCs/>
                <w:color w:val="auto"/>
                <w:szCs w:val="22"/>
              </w:rPr>
              <w:t>0.0</w:t>
            </w:r>
            <w:r>
              <w:rPr>
                <w:rFonts w:hint="eastAsia"/>
                <w:bCs/>
                <w:color w:val="auto"/>
                <w:szCs w:val="22"/>
              </w:rPr>
              <w:t>08</w:t>
            </w:r>
            <w:r>
              <w:rPr>
                <w:bCs/>
                <w:color w:val="auto"/>
                <w:szCs w:val="22"/>
              </w:rPr>
              <w:t>t/a</w:t>
            </w:r>
            <w:r>
              <w:rPr>
                <w:rFonts w:hint="eastAsia"/>
                <w:bCs/>
                <w:color w:val="auto"/>
                <w:szCs w:val="22"/>
              </w:rPr>
              <w:t>。</w:t>
            </w:r>
          </w:p>
          <w:p w14:paraId="0FC43222">
            <w:pPr>
              <w:pStyle w:val="51"/>
              <w:ind w:firstLine="482"/>
              <w:rPr>
                <w:b/>
                <w:bCs/>
              </w:rPr>
            </w:pPr>
            <w:r>
              <w:rPr>
                <w:rFonts w:hint="eastAsia"/>
                <w:b/>
                <w:bCs/>
              </w:rPr>
              <w:t>4</w:t>
            </w:r>
            <w:r>
              <w:rPr>
                <w:b/>
                <w:bCs/>
              </w:rPr>
              <w:t>.3</w:t>
            </w:r>
            <w:r>
              <w:rPr>
                <w:rFonts w:hint="eastAsia"/>
                <w:b/>
                <w:bCs/>
              </w:rPr>
              <w:t>生活垃圾</w:t>
            </w:r>
          </w:p>
          <w:p w14:paraId="3257985A">
            <w:pPr>
              <w:pStyle w:val="51"/>
              <w:ind w:firstLine="480"/>
            </w:pPr>
            <w:r>
              <w:t>本项目劳动定人员为50人</w:t>
            </w:r>
            <w:r>
              <w:rPr>
                <w:rFonts w:hint="eastAsia"/>
              </w:rPr>
              <w:t>，人员</w:t>
            </w:r>
            <w:r>
              <w:t>产生的生活垃圾按照0.5kg/人·d，则本项目产生的生活垃圾为</w:t>
            </w:r>
            <w:r>
              <w:rPr>
                <w:rFonts w:hint="eastAsia"/>
                <w:lang w:val="en-US" w:eastAsia="zh-CN"/>
              </w:rPr>
              <w:t>7.5</w:t>
            </w:r>
            <w:r>
              <w:t>t/a。</w:t>
            </w:r>
            <w:r>
              <w:rPr>
                <w:rFonts w:hint="eastAsia"/>
              </w:rPr>
              <w:t>委托环卫部门清运处置。</w:t>
            </w:r>
          </w:p>
          <w:p w14:paraId="514703DE">
            <w:pPr>
              <w:pStyle w:val="51"/>
              <w:ind w:firstLine="480"/>
            </w:pPr>
            <w:r>
              <w:rPr>
                <w:rFonts w:hint="eastAsia"/>
              </w:rPr>
              <w:t>本项目固废产生量汇总如下所示：</w:t>
            </w:r>
          </w:p>
          <w:p w14:paraId="7F30CD87">
            <w:pPr>
              <w:pStyle w:val="52"/>
            </w:pPr>
            <w:r>
              <w:rPr>
                <w:rFonts w:hint="eastAsia"/>
              </w:rPr>
              <w:t>表4</w:t>
            </w:r>
            <w:r>
              <w:t>-</w:t>
            </w:r>
            <w:r>
              <w:rPr>
                <w:rFonts w:hint="eastAsia"/>
                <w:lang w:val="en-US" w:eastAsia="zh-CN"/>
              </w:rPr>
              <w:t>15</w:t>
            </w:r>
            <w:r>
              <w:t xml:space="preserve">  </w:t>
            </w:r>
            <w:r>
              <w:rPr>
                <w:rFonts w:hint="eastAsia"/>
              </w:rPr>
              <w:t>拟建项目固体废物汇总表</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1152"/>
              <w:gridCol w:w="2024"/>
              <w:gridCol w:w="1038"/>
              <w:gridCol w:w="1354"/>
              <w:gridCol w:w="1992"/>
            </w:tblGrid>
            <w:tr w14:paraId="11957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6" w:type="pct"/>
                  <w:vAlign w:val="center"/>
                </w:tcPr>
                <w:p w14:paraId="72FC805E">
                  <w:pPr>
                    <w:keepNext w:val="0"/>
                    <w:keepLines w:val="0"/>
                    <w:suppressLineNumbers w:val="0"/>
                    <w:adjustRightInd w:val="0"/>
                    <w:snapToGrid w:val="0"/>
                    <w:spacing w:before="0" w:beforeAutospacing="0" w:after="0" w:afterAutospacing="0"/>
                    <w:ind w:left="0" w:right="0"/>
                    <w:jc w:val="center"/>
                    <w:rPr>
                      <w:rFonts w:hint="default"/>
                      <w:b/>
                      <w:bCs/>
                      <w:color w:val="auto"/>
                      <w:szCs w:val="21"/>
                    </w:rPr>
                  </w:pPr>
                  <w:r>
                    <w:rPr>
                      <w:rFonts w:hint="default"/>
                      <w:b/>
                      <w:bCs/>
                      <w:color w:val="auto"/>
                      <w:szCs w:val="21"/>
                    </w:rPr>
                    <w:t>序号</w:t>
                  </w:r>
                </w:p>
              </w:tc>
              <w:tc>
                <w:tcPr>
                  <w:tcW w:w="710" w:type="pct"/>
                  <w:vAlign w:val="center"/>
                </w:tcPr>
                <w:p w14:paraId="47F7D1A0">
                  <w:pPr>
                    <w:keepNext w:val="0"/>
                    <w:keepLines w:val="0"/>
                    <w:suppressLineNumbers w:val="0"/>
                    <w:adjustRightInd w:val="0"/>
                    <w:snapToGrid w:val="0"/>
                    <w:spacing w:before="0" w:beforeAutospacing="0" w:after="0" w:afterAutospacing="0"/>
                    <w:ind w:left="0" w:right="0"/>
                    <w:jc w:val="center"/>
                    <w:rPr>
                      <w:rFonts w:hint="default"/>
                      <w:b/>
                      <w:bCs/>
                      <w:color w:val="auto"/>
                      <w:szCs w:val="21"/>
                    </w:rPr>
                  </w:pPr>
                  <w:r>
                    <w:rPr>
                      <w:rFonts w:hint="eastAsia"/>
                      <w:b/>
                      <w:bCs/>
                      <w:color w:val="auto"/>
                      <w:szCs w:val="21"/>
                    </w:rPr>
                    <w:t>废物类别</w:t>
                  </w:r>
                </w:p>
              </w:tc>
              <w:tc>
                <w:tcPr>
                  <w:tcW w:w="1248" w:type="pct"/>
                  <w:vAlign w:val="center"/>
                </w:tcPr>
                <w:p w14:paraId="7479BE11">
                  <w:pPr>
                    <w:keepNext w:val="0"/>
                    <w:keepLines w:val="0"/>
                    <w:suppressLineNumbers w:val="0"/>
                    <w:adjustRightInd w:val="0"/>
                    <w:snapToGrid w:val="0"/>
                    <w:spacing w:before="0" w:beforeAutospacing="0" w:after="0" w:afterAutospacing="0"/>
                    <w:ind w:left="0" w:right="0"/>
                    <w:jc w:val="center"/>
                    <w:rPr>
                      <w:rFonts w:hint="default"/>
                      <w:b/>
                      <w:bCs/>
                      <w:color w:val="auto"/>
                      <w:szCs w:val="21"/>
                    </w:rPr>
                  </w:pPr>
                  <w:r>
                    <w:rPr>
                      <w:rFonts w:hint="eastAsia"/>
                      <w:b/>
                      <w:bCs/>
                      <w:color w:val="auto"/>
                      <w:szCs w:val="21"/>
                    </w:rPr>
                    <w:t>固废</w:t>
                  </w:r>
                  <w:r>
                    <w:rPr>
                      <w:rFonts w:hint="default"/>
                      <w:b/>
                      <w:bCs/>
                      <w:color w:val="auto"/>
                      <w:szCs w:val="21"/>
                    </w:rPr>
                    <w:t>名称</w:t>
                  </w:r>
                </w:p>
              </w:tc>
              <w:tc>
                <w:tcPr>
                  <w:tcW w:w="640" w:type="pct"/>
                  <w:vAlign w:val="center"/>
                </w:tcPr>
                <w:p w14:paraId="677EDC6C">
                  <w:pPr>
                    <w:keepNext w:val="0"/>
                    <w:keepLines w:val="0"/>
                    <w:suppressLineNumbers w:val="0"/>
                    <w:adjustRightInd w:val="0"/>
                    <w:snapToGrid w:val="0"/>
                    <w:spacing w:before="0" w:beforeAutospacing="0" w:after="0" w:afterAutospacing="0"/>
                    <w:ind w:left="0" w:right="0"/>
                    <w:jc w:val="center"/>
                    <w:rPr>
                      <w:rFonts w:hint="default"/>
                      <w:b/>
                      <w:bCs/>
                      <w:color w:val="auto"/>
                      <w:szCs w:val="21"/>
                    </w:rPr>
                  </w:pPr>
                  <w:r>
                    <w:rPr>
                      <w:rFonts w:hint="default"/>
                      <w:b/>
                      <w:bCs/>
                      <w:color w:val="auto"/>
                      <w:szCs w:val="21"/>
                    </w:rPr>
                    <w:t>性状</w:t>
                  </w:r>
                </w:p>
              </w:tc>
              <w:tc>
                <w:tcPr>
                  <w:tcW w:w="835" w:type="pct"/>
                  <w:vAlign w:val="center"/>
                </w:tcPr>
                <w:p w14:paraId="66590F84">
                  <w:pPr>
                    <w:keepNext w:val="0"/>
                    <w:keepLines w:val="0"/>
                    <w:suppressLineNumbers w:val="0"/>
                    <w:adjustRightInd w:val="0"/>
                    <w:snapToGrid w:val="0"/>
                    <w:spacing w:before="0" w:beforeAutospacing="0" w:after="0" w:afterAutospacing="0"/>
                    <w:ind w:left="0" w:right="0"/>
                    <w:jc w:val="center"/>
                    <w:rPr>
                      <w:rFonts w:hint="default"/>
                      <w:b/>
                      <w:bCs/>
                      <w:color w:val="auto"/>
                      <w:szCs w:val="21"/>
                    </w:rPr>
                  </w:pPr>
                  <w:r>
                    <w:rPr>
                      <w:rFonts w:hint="default"/>
                      <w:b/>
                      <w:bCs/>
                      <w:color w:val="auto"/>
                      <w:szCs w:val="21"/>
                    </w:rPr>
                    <w:t>产生量（t/a）</w:t>
                  </w:r>
                </w:p>
              </w:tc>
              <w:tc>
                <w:tcPr>
                  <w:tcW w:w="1228" w:type="pct"/>
                  <w:vAlign w:val="center"/>
                </w:tcPr>
                <w:p w14:paraId="7824A542">
                  <w:pPr>
                    <w:keepNext w:val="0"/>
                    <w:keepLines w:val="0"/>
                    <w:suppressLineNumbers w:val="0"/>
                    <w:adjustRightInd w:val="0"/>
                    <w:snapToGrid w:val="0"/>
                    <w:spacing w:before="0" w:beforeAutospacing="0" w:after="0" w:afterAutospacing="0"/>
                    <w:ind w:left="0" w:right="0"/>
                    <w:jc w:val="center"/>
                    <w:rPr>
                      <w:rFonts w:hint="default"/>
                      <w:b/>
                      <w:bCs/>
                      <w:color w:val="auto"/>
                      <w:szCs w:val="21"/>
                    </w:rPr>
                  </w:pPr>
                  <w:r>
                    <w:rPr>
                      <w:rFonts w:hint="default"/>
                      <w:b/>
                      <w:bCs/>
                      <w:color w:val="auto"/>
                      <w:szCs w:val="21"/>
                    </w:rPr>
                    <w:t>处理或处置方式</w:t>
                  </w:r>
                </w:p>
              </w:tc>
            </w:tr>
            <w:tr w14:paraId="36372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36" w:type="pct"/>
                  <w:vAlign w:val="center"/>
                </w:tcPr>
                <w:p w14:paraId="101672DF">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default"/>
                      <w:color w:val="auto"/>
                      <w:szCs w:val="21"/>
                    </w:rPr>
                    <w:t>1</w:t>
                  </w:r>
                </w:p>
              </w:tc>
              <w:tc>
                <w:tcPr>
                  <w:tcW w:w="710" w:type="pct"/>
                  <w:vAlign w:val="center"/>
                </w:tcPr>
                <w:p w14:paraId="060A839C">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eastAsia"/>
                      <w:color w:val="auto"/>
                      <w:szCs w:val="21"/>
                    </w:rPr>
                    <w:t>生活垃圾</w:t>
                  </w:r>
                </w:p>
              </w:tc>
              <w:tc>
                <w:tcPr>
                  <w:tcW w:w="1248" w:type="pct"/>
                  <w:vAlign w:val="center"/>
                </w:tcPr>
                <w:p w14:paraId="53C9FAE4">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eastAsia"/>
                      <w:color w:val="auto"/>
                    </w:rPr>
                    <w:t>生活垃圾</w:t>
                  </w:r>
                </w:p>
              </w:tc>
              <w:tc>
                <w:tcPr>
                  <w:tcW w:w="640" w:type="pct"/>
                  <w:vAlign w:val="center"/>
                </w:tcPr>
                <w:p w14:paraId="2738E604">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default"/>
                      <w:color w:val="auto"/>
                      <w:szCs w:val="21"/>
                    </w:rPr>
                    <w:t>固态</w:t>
                  </w:r>
                </w:p>
              </w:tc>
              <w:tc>
                <w:tcPr>
                  <w:tcW w:w="835" w:type="pct"/>
                  <w:vAlign w:val="center"/>
                </w:tcPr>
                <w:p w14:paraId="17FA812F">
                  <w:pPr>
                    <w:keepNext w:val="0"/>
                    <w:keepLines w:val="0"/>
                    <w:suppressLineNumbers w:val="0"/>
                    <w:adjustRightInd w:val="0"/>
                    <w:snapToGrid w:val="0"/>
                    <w:spacing w:before="0" w:beforeAutospacing="0" w:after="0" w:afterAutospacing="0"/>
                    <w:ind w:left="0" w:right="0"/>
                    <w:jc w:val="center"/>
                    <w:rPr>
                      <w:rFonts w:hint="default" w:eastAsia="宋体"/>
                      <w:color w:val="auto"/>
                      <w:szCs w:val="21"/>
                      <w:lang w:val="en-US" w:eastAsia="zh-CN"/>
                    </w:rPr>
                  </w:pPr>
                  <w:r>
                    <w:rPr>
                      <w:rFonts w:hint="eastAsia"/>
                      <w:color w:val="auto"/>
                      <w:szCs w:val="21"/>
                      <w:lang w:val="en-US" w:eastAsia="zh-CN"/>
                    </w:rPr>
                    <w:t>7.5</w:t>
                  </w:r>
                </w:p>
              </w:tc>
              <w:tc>
                <w:tcPr>
                  <w:tcW w:w="1228" w:type="pct"/>
                  <w:vAlign w:val="center"/>
                </w:tcPr>
                <w:p w14:paraId="67742FC6">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default"/>
                      <w:color w:val="auto"/>
                      <w:szCs w:val="21"/>
                    </w:rPr>
                    <w:t>环卫部门清运</w:t>
                  </w:r>
                  <w:r>
                    <w:rPr>
                      <w:rFonts w:hint="eastAsia"/>
                      <w:color w:val="auto"/>
                      <w:szCs w:val="21"/>
                    </w:rPr>
                    <w:t>处理</w:t>
                  </w:r>
                </w:p>
              </w:tc>
            </w:tr>
            <w:tr w14:paraId="15BD1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jc w:val="center"/>
              </w:trPr>
              <w:tc>
                <w:tcPr>
                  <w:tcW w:w="336" w:type="pct"/>
                  <w:vAlign w:val="center"/>
                </w:tcPr>
                <w:p w14:paraId="1EE3824B">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default"/>
                      <w:color w:val="auto"/>
                      <w:szCs w:val="21"/>
                    </w:rPr>
                    <w:t>2</w:t>
                  </w:r>
                </w:p>
              </w:tc>
              <w:tc>
                <w:tcPr>
                  <w:tcW w:w="710" w:type="pct"/>
                  <w:vMerge w:val="restart"/>
                  <w:vAlign w:val="center"/>
                </w:tcPr>
                <w:p w14:paraId="0DE8F158">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eastAsia"/>
                      <w:color w:val="auto"/>
                      <w:szCs w:val="21"/>
                    </w:rPr>
                    <w:t>一般固废</w:t>
                  </w:r>
                </w:p>
              </w:tc>
              <w:tc>
                <w:tcPr>
                  <w:tcW w:w="1248" w:type="pct"/>
                  <w:vAlign w:val="center"/>
                </w:tcPr>
                <w:p w14:paraId="0DDFC7A6">
                  <w:pPr>
                    <w:keepNext w:val="0"/>
                    <w:keepLines w:val="0"/>
                    <w:suppressLineNumbers w:val="0"/>
                    <w:adjustRightInd w:val="0"/>
                    <w:snapToGrid w:val="0"/>
                    <w:spacing w:before="0" w:beforeAutospacing="0" w:after="0" w:afterAutospacing="0"/>
                    <w:ind w:left="0" w:right="0"/>
                    <w:jc w:val="center"/>
                    <w:rPr>
                      <w:rFonts w:hint="eastAsia" w:eastAsia="宋体"/>
                      <w:color w:val="auto"/>
                      <w:szCs w:val="21"/>
                      <w:lang w:eastAsia="zh-CN"/>
                    </w:rPr>
                  </w:pPr>
                  <w:r>
                    <w:rPr>
                      <w:rFonts w:hint="eastAsia"/>
                      <w:color w:val="auto"/>
                      <w:szCs w:val="21"/>
                      <w:lang w:eastAsia="zh-CN"/>
                    </w:rPr>
                    <w:t>废包装物（纸箱、塑料等）</w:t>
                  </w:r>
                </w:p>
              </w:tc>
              <w:tc>
                <w:tcPr>
                  <w:tcW w:w="640" w:type="pct"/>
                  <w:vAlign w:val="center"/>
                </w:tcPr>
                <w:p w14:paraId="1C06639A">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default"/>
                      <w:color w:val="auto"/>
                      <w:szCs w:val="21"/>
                    </w:rPr>
                    <w:t>固态</w:t>
                  </w:r>
                </w:p>
              </w:tc>
              <w:tc>
                <w:tcPr>
                  <w:tcW w:w="835" w:type="pct"/>
                  <w:vAlign w:val="center"/>
                </w:tcPr>
                <w:p w14:paraId="0D2C936E">
                  <w:pPr>
                    <w:keepNext w:val="0"/>
                    <w:keepLines w:val="0"/>
                    <w:suppressLineNumbers w:val="0"/>
                    <w:adjustRightInd w:val="0"/>
                    <w:snapToGrid w:val="0"/>
                    <w:spacing w:before="0" w:beforeAutospacing="0" w:after="0" w:afterAutospacing="0"/>
                    <w:ind w:left="0" w:right="0"/>
                    <w:jc w:val="center"/>
                    <w:rPr>
                      <w:rFonts w:hint="default" w:eastAsia="宋体"/>
                      <w:color w:val="auto"/>
                      <w:szCs w:val="21"/>
                      <w:lang w:val="en-US" w:eastAsia="zh-CN"/>
                    </w:rPr>
                  </w:pPr>
                  <w:r>
                    <w:rPr>
                      <w:rFonts w:hint="eastAsia"/>
                      <w:color w:val="auto"/>
                      <w:szCs w:val="21"/>
                      <w:lang w:val="en-US" w:eastAsia="zh-CN"/>
                    </w:rPr>
                    <w:t>10</w:t>
                  </w:r>
                </w:p>
              </w:tc>
              <w:tc>
                <w:tcPr>
                  <w:tcW w:w="1228" w:type="pct"/>
                  <w:vMerge w:val="restart"/>
                  <w:vAlign w:val="center"/>
                </w:tcPr>
                <w:p w14:paraId="5E3FD44A">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eastAsia"/>
                      <w:color w:val="auto"/>
                      <w:szCs w:val="21"/>
                    </w:rPr>
                    <w:t>外售相关物资回收单位</w:t>
                  </w:r>
                </w:p>
              </w:tc>
            </w:tr>
            <w:tr w14:paraId="444BE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jc w:val="center"/>
              </w:trPr>
              <w:tc>
                <w:tcPr>
                  <w:tcW w:w="336" w:type="pct"/>
                  <w:vAlign w:val="center"/>
                </w:tcPr>
                <w:p w14:paraId="3E49DA86">
                  <w:pPr>
                    <w:keepNext w:val="0"/>
                    <w:keepLines w:val="0"/>
                    <w:suppressLineNumbers w:val="0"/>
                    <w:adjustRightInd w:val="0"/>
                    <w:snapToGrid w:val="0"/>
                    <w:spacing w:before="0" w:beforeAutospacing="0" w:after="0" w:afterAutospacing="0"/>
                    <w:ind w:left="0" w:right="0"/>
                    <w:jc w:val="center"/>
                    <w:rPr>
                      <w:rFonts w:hint="eastAsia" w:eastAsia="宋体"/>
                      <w:color w:val="auto"/>
                      <w:szCs w:val="21"/>
                      <w:lang w:val="en-US" w:eastAsia="zh-CN"/>
                    </w:rPr>
                  </w:pPr>
                  <w:r>
                    <w:rPr>
                      <w:rFonts w:hint="eastAsia"/>
                      <w:color w:val="auto"/>
                      <w:szCs w:val="21"/>
                      <w:lang w:val="en-US" w:eastAsia="zh-CN"/>
                    </w:rPr>
                    <w:t>3</w:t>
                  </w:r>
                </w:p>
              </w:tc>
              <w:tc>
                <w:tcPr>
                  <w:tcW w:w="710" w:type="pct"/>
                  <w:vMerge w:val="continue"/>
                  <w:vAlign w:val="center"/>
                </w:tcPr>
                <w:p w14:paraId="4A5D48AF">
                  <w:pPr>
                    <w:keepNext w:val="0"/>
                    <w:keepLines w:val="0"/>
                    <w:suppressLineNumbers w:val="0"/>
                    <w:adjustRightInd w:val="0"/>
                    <w:snapToGrid w:val="0"/>
                    <w:spacing w:before="0" w:beforeAutospacing="0" w:after="0" w:afterAutospacing="0"/>
                    <w:ind w:left="0" w:right="0"/>
                    <w:jc w:val="center"/>
                    <w:rPr>
                      <w:rFonts w:hint="eastAsia"/>
                      <w:color w:val="auto"/>
                      <w:szCs w:val="21"/>
                    </w:rPr>
                  </w:pPr>
                </w:p>
              </w:tc>
              <w:tc>
                <w:tcPr>
                  <w:tcW w:w="1248" w:type="pct"/>
                  <w:vAlign w:val="center"/>
                </w:tcPr>
                <w:p w14:paraId="70B4CB96">
                  <w:pPr>
                    <w:keepNext w:val="0"/>
                    <w:keepLines w:val="0"/>
                    <w:suppressLineNumbers w:val="0"/>
                    <w:adjustRightInd w:val="0"/>
                    <w:snapToGrid w:val="0"/>
                    <w:spacing w:before="0" w:beforeAutospacing="0" w:after="0" w:afterAutospacing="0"/>
                    <w:ind w:left="0" w:right="0"/>
                    <w:jc w:val="center"/>
                    <w:rPr>
                      <w:rFonts w:hint="eastAsia" w:eastAsia="宋体"/>
                      <w:color w:val="auto"/>
                      <w:szCs w:val="21"/>
                      <w:lang w:val="en-US" w:eastAsia="zh-CN"/>
                    </w:rPr>
                  </w:pPr>
                  <w:r>
                    <w:rPr>
                      <w:rFonts w:hint="eastAsia"/>
                      <w:color w:val="auto"/>
                      <w:szCs w:val="21"/>
                      <w:lang w:val="en-US" w:eastAsia="zh-CN"/>
                    </w:rPr>
                    <w:t>焊渣</w:t>
                  </w:r>
                </w:p>
              </w:tc>
              <w:tc>
                <w:tcPr>
                  <w:tcW w:w="640" w:type="pct"/>
                  <w:vAlign w:val="center"/>
                </w:tcPr>
                <w:p w14:paraId="273A6546">
                  <w:pPr>
                    <w:keepNext w:val="0"/>
                    <w:keepLines w:val="0"/>
                    <w:suppressLineNumbers w:val="0"/>
                    <w:adjustRightInd w:val="0"/>
                    <w:snapToGrid w:val="0"/>
                    <w:spacing w:before="0" w:beforeAutospacing="0" w:after="0" w:afterAutospacing="0"/>
                    <w:ind w:left="0" w:right="0"/>
                    <w:jc w:val="center"/>
                    <w:rPr>
                      <w:rFonts w:hint="eastAsia" w:eastAsia="宋体"/>
                      <w:color w:val="auto"/>
                      <w:szCs w:val="21"/>
                      <w:lang w:val="en-US" w:eastAsia="zh-CN"/>
                    </w:rPr>
                  </w:pPr>
                  <w:r>
                    <w:rPr>
                      <w:rFonts w:hint="eastAsia"/>
                      <w:color w:val="auto"/>
                      <w:szCs w:val="21"/>
                      <w:lang w:val="en-US" w:eastAsia="zh-CN"/>
                    </w:rPr>
                    <w:t>固态</w:t>
                  </w:r>
                </w:p>
              </w:tc>
              <w:tc>
                <w:tcPr>
                  <w:tcW w:w="835" w:type="pct"/>
                  <w:vAlign w:val="center"/>
                </w:tcPr>
                <w:p w14:paraId="11308F25">
                  <w:pPr>
                    <w:keepNext w:val="0"/>
                    <w:keepLines w:val="0"/>
                    <w:suppressLineNumbers w:val="0"/>
                    <w:adjustRightInd w:val="0"/>
                    <w:snapToGrid w:val="0"/>
                    <w:spacing w:before="0" w:beforeAutospacing="0" w:after="0" w:afterAutospacing="0"/>
                    <w:ind w:left="0" w:right="0"/>
                    <w:jc w:val="center"/>
                    <w:rPr>
                      <w:rFonts w:hint="default"/>
                      <w:color w:val="auto"/>
                      <w:szCs w:val="21"/>
                      <w:lang w:val="en-US" w:eastAsia="zh-CN"/>
                    </w:rPr>
                  </w:pPr>
                  <w:r>
                    <w:rPr>
                      <w:rFonts w:hint="eastAsia"/>
                      <w:color w:val="auto"/>
                      <w:szCs w:val="21"/>
                      <w:lang w:val="en-US" w:eastAsia="zh-CN"/>
                    </w:rPr>
                    <w:t>0.14</w:t>
                  </w:r>
                </w:p>
              </w:tc>
              <w:tc>
                <w:tcPr>
                  <w:tcW w:w="1228" w:type="pct"/>
                  <w:vMerge w:val="continue"/>
                  <w:vAlign w:val="center"/>
                </w:tcPr>
                <w:p w14:paraId="0BCC73A3">
                  <w:pPr>
                    <w:keepNext w:val="0"/>
                    <w:keepLines w:val="0"/>
                    <w:suppressLineNumbers w:val="0"/>
                    <w:adjustRightInd w:val="0"/>
                    <w:snapToGrid w:val="0"/>
                    <w:spacing w:before="0" w:beforeAutospacing="0" w:after="0" w:afterAutospacing="0"/>
                    <w:ind w:left="0" w:right="0"/>
                    <w:jc w:val="center"/>
                    <w:rPr>
                      <w:rFonts w:hint="eastAsia"/>
                      <w:color w:val="auto"/>
                      <w:szCs w:val="21"/>
                    </w:rPr>
                  </w:pPr>
                </w:p>
              </w:tc>
            </w:tr>
            <w:tr w14:paraId="0072C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jc w:val="center"/>
              </w:trPr>
              <w:tc>
                <w:tcPr>
                  <w:tcW w:w="336" w:type="pct"/>
                  <w:vAlign w:val="center"/>
                </w:tcPr>
                <w:p w14:paraId="6FF08D85">
                  <w:pPr>
                    <w:keepNext w:val="0"/>
                    <w:keepLines w:val="0"/>
                    <w:suppressLineNumbers w:val="0"/>
                    <w:adjustRightInd w:val="0"/>
                    <w:snapToGrid w:val="0"/>
                    <w:spacing w:before="0" w:beforeAutospacing="0" w:after="0" w:afterAutospacing="0"/>
                    <w:ind w:left="0" w:right="0"/>
                    <w:jc w:val="center"/>
                    <w:rPr>
                      <w:rFonts w:hint="default"/>
                      <w:color w:val="auto"/>
                      <w:szCs w:val="21"/>
                      <w:lang w:val="en-US" w:eastAsia="zh-CN"/>
                    </w:rPr>
                  </w:pPr>
                  <w:r>
                    <w:rPr>
                      <w:rFonts w:hint="eastAsia"/>
                      <w:color w:val="auto"/>
                      <w:szCs w:val="21"/>
                      <w:lang w:val="en-US" w:eastAsia="zh-CN"/>
                    </w:rPr>
                    <w:t>4</w:t>
                  </w:r>
                </w:p>
              </w:tc>
              <w:tc>
                <w:tcPr>
                  <w:tcW w:w="710" w:type="pct"/>
                  <w:vMerge w:val="continue"/>
                  <w:vAlign w:val="center"/>
                </w:tcPr>
                <w:p w14:paraId="6F21CFC8">
                  <w:pPr>
                    <w:keepNext w:val="0"/>
                    <w:keepLines w:val="0"/>
                    <w:suppressLineNumbers w:val="0"/>
                    <w:adjustRightInd w:val="0"/>
                    <w:snapToGrid w:val="0"/>
                    <w:spacing w:before="0" w:beforeAutospacing="0" w:after="0" w:afterAutospacing="0"/>
                    <w:ind w:left="0" w:right="0"/>
                    <w:jc w:val="center"/>
                    <w:rPr>
                      <w:rFonts w:hint="eastAsia"/>
                      <w:color w:val="auto"/>
                      <w:szCs w:val="21"/>
                    </w:rPr>
                  </w:pPr>
                </w:p>
              </w:tc>
              <w:tc>
                <w:tcPr>
                  <w:tcW w:w="1248" w:type="pct"/>
                  <w:vAlign w:val="center"/>
                </w:tcPr>
                <w:p w14:paraId="5147D759">
                  <w:pPr>
                    <w:keepNext w:val="0"/>
                    <w:keepLines w:val="0"/>
                    <w:suppressLineNumbers w:val="0"/>
                    <w:adjustRightInd w:val="0"/>
                    <w:snapToGrid w:val="0"/>
                    <w:spacing w:before="0" w:beforeAutospacing="0" w:after="0" w:afterAutospacing="0"/>
                    <w:ind w:left="0" w:right="0"/>
                    <w:jc w:val="center"/>
                    <w:rPr>
                      <w:rFonts w:hint="eastAsia"/>
                      <w:color w:val="auto"/>
                      <w:szCs w:val="21"/>
                      <w:lang w:val="en-US" w:eastAsia="zh-CN"/>
                    </w:rPr>
                  </w:pPr>
                  <w:r>
                    <w:rPr>
                      <w:rFonts w:hint="eastAsia"/>
                      <w:color w:val="auto"/>
                      <w:szCs w:val="21"/>
                      <w:lang w:val="en-US" w:eastAsia="zh-CN"/>
                    </w:rPr>
                    <w:t>废胶布纸</w:t>
                  </w:r>
                </w:p>
              </w:tc>
              <w:tc>
                <w:tcPr>
                  <w:tcW w:w="640" w:type="pct"/>
                  <w:vAlign w:val="center"/>
                </w:tcPr>
                <w:p w14:paraId="6371F902">
                  <w:pPr>
                    <w:keepNext w:val="0"/>
                    <w:keepLines w:val="0"/>
                    <w:suppressLineNumbers w:val="0"/>
                    <w:adjustRightInd w:val="0"/>
                    <w:snapToGrid w:val="0"/>
                    <w:spacing w:before="0" w:beforeAutospacing="0" w:after="0" w:afterAutospacing="0"/>
                    <w:ind w:left="0" w:right="0"/>
                    <w:jc w:val="center"/>
                    <w:rPr>
                      <w:rFonts w:hint="default"/>
                      <w:color w:val="auto"/>
                      <w:szCs w:val="21"/>
                      <w:lang w:val="en-US" w:eastAsia="zh-CN"/>
                    </w:rPr>
                  </w:pPr>
                  <w:r>
                    <w:rPr>
                      <w:rFonts w:hint="eastAsia"/>
                      <w:color w:val="auto"/>
                      <w:szCs w:val="21"/>
                      <w:lang w:val="en-US" w:eastAsia="zh-CN"/>
                    </w:rPr>
                    <w:t>固态</w:t>
                  </w:r>
                </w:p>
              </w:tc>
              <w:tc>
                <w:tcPr>
                  <w:tcW w:w="835" w:type="pct"/>
                  <w:vAlign w:val="center"/>
                </w:tcPr>
                <w:p w14:paraId="502A5B51">
                  <w:pPr>
                    <w:keepNext w:val="0"/>
                    <w:keepLines w:val="0"/>
                    <w:suppressLineNumbers w:val="0"/>
                    <w:adjustRightInd w:val="0"/>
                    <w:snapToGrid w:val="0"/>
                    <w:spacing w:before="0" w:beforeAutospacing="0" w:after="0" w:afterAutospacing="0"/>
                    <w:ind w:left="0" w:right="0"/>
                    <w:jc w:val="center"/>
                    <w:rPr>
                      <w:rFonts w:hint="default"/>
                      <w:color w:val="auto"/>
                      <w:szCs w:val="21"/>
                      <w:lang w:val="en-US" w:eastAsia="zh-CN"/>
                    </w:rPr>
                  </w:pPr>
                  <w:r>
                    <w:rPr>
                      <w:rFonts w:hint="eastAsia"/>
                      <w:color w:val="auto"/>
                      <w:szCs w:val="21"/>
                      <w:lang w:val="en-US" w:eastAsia="zh-CN"/>
                    </w:rPr>
                    <w:t>0.1</w:t>
                  </w:r>
                </w:p>
              </w:tc>
              <w:tc>
                <w:tcPr>
                  <w:tcW w:w="1228" w:type="pct"/>
                  <w:vMerge w:val="continue"/>
                  <w:vAlign w:val="center"/>
                </w:tcPr>
                <w:p w14:paraId="132A8E16">
                  <w:pPr>
                    <w:keepNext w:val="0"/>
                    <w:keepLines w:val="0"/>
                    <w:suppressLineNumbers w:val="0"/>
                    <w:adjustRightInd w:val="0"/>
                    <w:snapToGrid w:val="0"/>
                    <w:spacing w:before="0" w:beforeAutospacing="0" w:after="0" w:afterAutospacing="0"/>
                    <w:ind w:left="0" w:right="0"/>
                    <w:jc w:val="center"/>
                    <w:rPr>
                      <w:rFonts w:hint="eastAsia"/>
                      <w:color w:val="auto"/>
                      <w:szCs w:val="21"/>
                    </w:rPr>
                  </w:pPr>
                </w:p>
              </w:tc>
            </w:tr>
            <w:tr w14:paraId="480AA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jc w:val="center"/>
              </w:trPr>
              <w:tc>
                <w:tcPr>
                  <w:tcW w:w="336" w:type="pct"/>
                  <w:vAlign w:val="center"/>
                </w:tcPr>
                <w:p w14:paraId="7614EEA5">
                  <w:pPr>
                    <w:keepNext w:val="0"/>
                    <w:keepLines w:val="0"/>
                    <w:suppressLineNumbers w:val="0"/>
                    <w:adjustRightInd w:val="0"/>
                    <w:snapToGrid w:val="0"/>
                    <w:spacing w:before="0" w:beforeAutospacing="0" w:after="0" w:afterAutospacing="0"/>
                    <w:ind w:left="0" w:right="0"/>
                    <w:jc w:val="center"/>
                    <w:rPr>
                      <w:rFonts w:hint="default"/>
                      <w:color w:val="auto"/>
                      <w:szCs w:val="21"/>
                      <w:lang w:val="en-US" w:eastAsia="zh-CN"/>
                    </w:rPr>
                  </w:pPr>
                  <w:r>
                    <w:rPr>
                      <w:rFonts w:hint="eastAsia"/>
                      <w:color w:val="auto"/>
                      <w:szCs w:val="21"/>
                      <w:lang w:val="en-US" w:eastAsia="zh-CN"/>
                    </w:rPr>
                    <w:t>5</w:t>
                  </w:r>
                </w:p>
              </w:tc>
              <w:tc>
                <w:tcPr>
                  <w:tcW w:w="710" w:type="pct"/>
                  <w:vMerge w:val="continue"/>
                  <w:vAlign w:val="center"/>
                </w:tcPr>
                <w:p w14:paraId="33C47811">
                  <w:pPr>
                    <w:keepNext w:val="0"/>
                    <w:keepLines w:val="0"/>
                    <w:suppressLineNumbers w:val="0"/>
                    <w:adjustRightInd w:val="0"/>
                    <w:snapToGrid w:val="0"/>
                    <w:spacing w:before="0" w:beforeAutospacing="0" w:after="0" w:afterAutospacing="0"/>
                    <w:ind w:left="0" w:right="0"/>
                    <w:jc w:val="center"/>
                    <w:rPr>
                      <w:rFonts w:hint="eastAsia"/>
                      <w:color w:val="auto"/>
                      <w:szCs w:val="21"/>
                    </w:rPr>
                  </w:pPr>
                </w:p>
              </w:tc>
              <w:tc>
                <w:tcPr>
                  <w:tcW w:w="1248" w:type="pct"/>
                  <w:vAlign w:val="center"/>
                </w:tcPr>
                <w:p w14:paraId="08A255CA">
                  <w:pPr>
                    <w:keepNext w:val="0"/>
                    <w:keepLines w:val="0"/>
                    <w:suppressLineNumbers w:val="0"/>
                    <w:adjustRightInd w:val="0"/>
                    <w:snapToGrid w:val="0"/>
                    <w:spacing w:before="0" w:beforeAutospacing="0" w:after="0" w:afterAutospacing="0"/>
                    <w:ind w:left="0" w:right="0"/>
                    <w:jc w:val="center"/>
                    <w:rPr>
                      <w:rFonts w:hint="default"/>
                      <w:color w:val="auto"/>
                      <w:szCs w:val="21"/>
                      <w:lang w:val="en-US" w:eastAsia="zh-CN"/>
                    </w:rPr>
                  </w:pPr>
                  <w:r>
                    <w:rPr>
                      <w:rFonts w:hint="eastAsia"/>
                      <w:color w:val="auto"/>
                      <w:szCs w:val="21"/>
                      <w:lang w:val="en-US" w:eastAsia="zh-CN"/>
                    </w:rPr>
                    <w:t>不合格品</w:t>
                  </w:r>
                </w:p>
              </w:tc>
              <w:tc>
                <w:tcPr>
                  <w:tcW w:w="640" w:type="pct"/>
                  <w:vAlign w:val="center"/>
                </w:tcPr>
                <w:p w14:paraId="4EA248F5">
                  <w:pPr>
                    <w:keepNext w:val="0"/>
                    <w:keepLines w:val="0"/>
                    <w:suppressLineNumbers w:val="0"/>
                    <w:adjustRightInd w:val="0"/>
                    <w:snapToGrid w:val="0"/>
                    <w:spacing w:before="0" w:beforeAutospacing="0" w:after="0" w:afterAutospacing="0"/>
                    <w:ind w:left="0" w:right="0"/>
                    <w:jc w:val="center"/>
                    <w:rPr>
                      <w:rFonts w:hint="default"/>
                      <w:color w:val="auto"/>
                      <w:szCs w:val="21"/>
                      <w:lang w:val="en-US" w:eastAsia="zh-CN"/>
                    </w:rPr>
                  </w:pPr>
                  <w:r>
                    <w:rPr>
                      <w:rFonts w:hint="eastAsia"/>
                      <w:color w:val="auto"/>
                      <w:szCs w:val="21"/>
                      <w:lang w:val="en-US" w:eastAsia="zh-CN"/>
                    </w:rPr>
                    <w:t>固态</w:t>
                  </w:r>
                </w:p>
              </w:tc>
              <w:tc>
                <w:tcPr>
                  <w:tcW w:w="835" w:type="pct"/>
                  <w:vAlign w:val="center"/>
                </w:tcPr>
                <w:p w14:paraId="34EB9C3B">
                  <w:pPr>
                    <w:keepNext w:val="0"/>
                    <w:keepLines w:val="0"/>
                    <w:suppressLineNumbers w:val="0"/>
                    <w:adjustRightInd w:val="0"/>
                    <w:snapToGrid w:val="0"/>
                    <w:spacing w:before="0" w:beforeAutospacing="0" w:after="0" w:afterAutospacing="0"/>
                    <w:ind w:left="0" w:right="0"/>
                    <w:jc w:val="center"/>
                    <w:rPr>
                      <w:rFonts w:hint="default"/>
                      <w:color w:val="auto"/>
                      <w:szCs w:val="21"/>
                      <w:lang w:val="en-US" w:eastAsia="zh-CN"/>
                    </w:rPr>
                  </w:pPr>
                  <w:r>
                    <w:rPr>
                      <w:rFonts w:hint="eastAsia"/>
                      <w:color w:val="auto"/>
                      <w:szCs w:val="21"/>
                      <w:lang w:val="en-US" w:eastAsia="zh-CN"/>
                    </w:rPr>
                    <w:t>0.2</w:t>
                  </w:r>
                </w:p>
              </w:tc>
              <w:tc>
                <w:tcPr>
                  <w:tcW w:w="1228" w:type="pct"/>
                  <w:vMerge w:val="continue"/>
                  <w:vAlign w:val="center"/>
                </w:tcPr>
                <w:p w14:paraId="2A92503F">
                  <w:pPr>
                    <w:keepNext w:val="0"/>
                    <w:keepLines w:val="0"/>
                    <w:suppressLineNumbers w:val="0"/>
                    <w:adjustRightInd w:val="0"/>
                    <w:snapToGrid w:val="0"/>
                    <w:spacing w:before="0" w:beforeAutospacing="0" w:after="0" w:afterAutospacing="0"/>
                    <w:ind w:left="0" w:right="0"/>
                    <w:jc w:val="center"/>
                    <w:rPr>
                      <w:rFonts w:hint="eastAsia"/>
                      <w:color w:val="auto"/>
                      <w:szCs w:val="21"/>
                    </w:rPr>
                  </w:pPr>
                </w:p>
              </w:tc>
            </w:tr>
            <w:tr w14:paraId="29AB9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336" w:type="pct"/>
                  <w:vAlign w:val="center"/>
                </w:tcPr>
                <w:p w14:paraId="49FDD70C">
                  <w:pPr>
                    <w:keepNext w:val="0"/>
                    <w:keepLines w:val="0"/>
                    <w:suppressLineNumbers w:val="0"/>
                    <w:adjustRightInd w:val="0"/>
                    <w:snapToGrid w:val="0"/>
                    <w:spacing w:before="0" w:beforeAutospacing="0" w:after="0" w:afterAutospacing="0"/>
                    <w:ind w:left="0" w:right="0"/>
                    <w:jc w:val="center"/>
                    <w:rPr>
                      <w:rFonts w:hint="eastAsia" w:eastAsia="宋体"/>
                      <w:color w:val="auto"/>
                      <w:szCs w:val="21"/>
                      <w:lang w:eastAsia="zh-CN"/>
                    </w:rPr>
                  </w:pPr>
                  <w:r>
                    <w:rPr>
                      <w:rFonts w:hint="eastAsia"/>
                      <w:color w:val="auto"/>
                      <w:szCs w:val="21"/>
                      <w:lang w:val="en-US" w:eastAsia="zh-CN"/>
                    </w:rPr>
                    <w:t>6</w:t>
                  </w:r>
                </w:p>
              </w:tc>
              <w:tc>
                <w:tcPr>
                  <w:tcW w:w="710" w:type="pct"/>
                  <w:vMerge w:val="restart"/>
                  <w:vAlign w:val="center"/>
                </w:tcPr>
                <w:p w14:paraId="67A626F4">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eastAsia"/>
                      <w:color w:val="auto"/>
                      <w:szCs w:val="21"/>
                    </w:rPr>
                    <w:t>危险废物</w:t>
                  </w:r>
                </w:p>
              </w:tc>
              <w:tc>
                <w:tcPr>
                  <w:tcW w:w="1248" w:type="pct"/>
                  <w:vAlign w:val="center"/>
                </w:tcPr>
                <w:p w14:paraId="07E5F890">
                  <w:pPr>
                    <w:keepNext w:val="0"/>
                    <w:keepLines w:val="0"/>
                    <w:suppressLineNumbers w:val="0"/>
                    <w:adjustRightInd w:val="0"/>
                    <w:snapToGrid w:val="0"/>
                    <w:spacing w:before="0" w:beforeAutospacing="0" w:after="0" w:afterAutospacing="0"/>
                    <w:ind w:left="0" w:right="0"/>
                    <w:jc w:val="center"/>
                    <w:rPr>
                      <w:rFonts w:hint="default" w:eastAsia="宋体"/>
                      <w:color w:val="FF0000"/>
                      <w:szCs w:val="21"/>
                      <w:lang w:val="en-US" w:eastAsia="zh-CN"/>
                    </w:rPr>
                  </w:pPr>
                  <w:r>
                    <w:rPr>
                      <w:rFonts w:hint="eastAsia"/>
                      <w:color w:val="FF0000"/>
                    </w:rPr>
                    <w:t>废</w:t>
                  </w:r>
                  <w:r>
                    <w:rPr>
                      <w:rFonts w:hint="eastAsia"/>
                      <w:color w:val="FF0000"/>
                      <w:lang w:val="en-US" w:eastAsia="zh-CN"/>
                    </w:rPr>
                    <w:t>锡膏包装罐</w:t>
                  </w:r>
                </w:p>
              </w:tc>
              <w:tc>
                <w:tcPr>
                  <w:tcW w:w="640" w:type="pct"/>
                  <w:vAlign w:val="center"/>
                </w:tcPr>
                <w:p w14:paraId="0B3B839D">
                  <w:pPr>
                    <w:keepNext w:val="0"/>
                    <w:keepLines w:val="0"/>
                    <w:suppressLineNumbers w:val="0"/>
                    <w:adjustRightInd w:val="0"/>
                    <w:snapToGrid w:val="0"/>
                    <w:spacing w:before="0" w:beforeAutospacing="0" w:after="0" w:afterAutospacing="0"/>
                    <w:ind w:left="0" w:right="0"/>
                    <w:jc w:val="center"/>
                    <w:rPr>
                      <w:rFonts w:hint="default"/>
                      <w:color w:val="FF0000"/>
                      <w:szCs w:val="21"/>
                    </w:rPr>
                  </w:pPr>
                  <w:r>
                    <w:rPr>
                      <w:rFonts w:hint="default"/>
                      <w:color w:val="FF0000"/>
                      <w:szCs w:val="21"/>
                    </w:rPr>
                    <w:t>固态</w:t>
                  </w:r>
                </w:p>
              </w:tc>
              <w:tc>
                <w:tcPr>
                  <w:tcW w:w="835" w:type="pct"/>
                  <w:vAlign w:val="center"/>
                </w:tcPr>
                <w:p w14:paraId="1DBE47E8">
                  <w:pPr>
                    <w:keepNext w:val="0"/>
                    <w:keepLines w:val="0"/>
                    <w:suppressLineNumbers w:val="0"/>
                    <w:adjustRightInd w:val="0"/>
                    <w:snapToGrid w:val="0"/>
                    <w:spacing w:before="0" w:beforeAutospacing="0" w:after="0" w:afterAutospacing="0"/>
                    <w:ind w:left="0" w:right="0"/>
                    <w:jc w:val="center"/>
                    <w:rPr>
                      <w:rFonts w:hint="default" w:eastAsia="宋体"/>
                      <w:color w:val="FF0000"/>
                      <w:szCs w:val="21"/>
                      <w:lang w:val="en-US" w:eastAsia="zh-CN"/>
                    </w:rPr>
                  </w:pPr>
                  <w:r>
                    <w:rPr>
                      <w:rFonts w:hint="eastAsia"/>
                      <w:color w:val="FF0000"/>
                      <w:szCs w:val="21"/>
                      <w:lang w:val="en-US" w:eastAsia="zh-CN"/>
                    </w:rPr>
                    <w:t>1.722</w:t>
                  </w:r>
                </w:p>
              </w:tc>
              <w:tc>
                <w:tcPr>
                  <w:tcW w:w="1228" w:type="pct"/>
                  <w:vMerge w:val="restart"/>
                  <w:vAlign w:val="center"/>
                </w:tcPr>
                <w:p w14:paraId="7C3616A0">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eastAsia"/>
                      <w:color w:val="auto"/>
                      <w:szCs w:val="21"/>
                    </w:rPr>
                    <w:t>危废间暂存，委托有资质单位定期清运处理</w:t>
                  </w:r>
                </w:p>
              </w:tc>
            </w:tr>
            <w:tr w14:paraId="49643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336" w:type="pct"/>
                  <w:vAlign w:val="center"/>
                </w:tcPr>
                <w:p w14:paraId="76CE2D76">
                  <w:pPr>
                    <w:keepNext w:val="0"/>
                    <w:keepLines w:val="0"/>
                    <w:suppressLineNumbers w:val="0"/>
                    <w:adjustRightInd w:val="0"/>
                    <w:snapToGrid w:val="0"/>
                    <w:spacing w:before="0" w:beforeAutospacing="0" w:after="0" w:afterAutospacing="0"/>
                    <w:ind w:left="0" w:right="0"/>
                    <w:jc w:val="center"/>
                    <w:rPr>
                      <w:rFonts w:hint="default"/>
                      <w:color w:val="auto"/>
                      <w:szCs w:val="21"/>
                      <w:lang w:val="en-US" w:eastAsia="zh-CN"/>
                    </w:rPr>
                  </w:pPr>
                  <w:r>
                    <w:rPr>
                      <w:rFonts w:hint="eastAsia"/>
                      <w:color w:val="auto"/>
                      <w:szCs w:val="21"/>
                      <w:lang w:val="en-US" w:eastAsia="zh-CN"/>
                    </w:rPr>
                    <w:t>7</w:t>
                  </w:r>
                </w:p>
              </w:tc>
              <w:tc>
                <w:tcPr>
                  <w:tcW w:w="710" w:type="pct"/>
                  <w:vMerge w:val="continue"/>
                  <w:vAlign w:val="center"/>
                </w:tcPr>
                <w:p w14:paraId="2B69E981">
                  <w:pPr>
                    <w:keepNext w:val="0"/>
                    <w:keepLines w:val="0"/>
                    <w:suppressLineNumbers w:val="0"/>
                    <w:adjustRightInd w:val="0"/>
                    <w:snapToGrid w:val="0"/>
                    <w:spacing w:before="0" w:beforeAutospacing="0" w:after="0" w:afterAutospacing="0"/>
                    <w:ind w:left="0" w:right="0"/>
                    <w:jc w:val="center"/>
                    <w:rPr>
                      <w:rFonts w:hint="eastAsia"/>
                      <w:color w:val="auto"/>
                      <w:szCs w:val="21"/>
                    </w:rPr>
                  </w:pPr>
                </w:p>
              </w:tc>
              <w:tc>
                <w:tcPr>
                  <w:tcW w:w="1248" w:type="pct"/>
                  <w:vAlign w:val="center"/>
                </w:tcPr>
                <w:p w14:paraId="4C4DCD95">
                  <w:pPr>
                    <w:keepNext w:val="0"/>
                    <w:keepLines w:val="0"/>
                    <w:suppressLineNumbers w:val="0"/>
                    <w:adjustRightInd w:val="0"/>
                    <w:snapToGrid w:val="0"/>
                    <w:spacing w:before="0" w:beforeAutospacing="0" w:after="0" w:afterAutospacing="0"/>
                    <w:ind w:left="0" w:right="0"/>
                    <w:jc w:val="center"/>
                    <w:rPr>
                      <w:rFonts w:hint="default" w:eastAsia="宋体"/>
                      <w:color w:val="FF0000"/>
                      <w:lang w:val="en-US" w:eastAsia="zh-CN"/>
                    </w:rPr>
                  </w:pPr>
                  <w:r>
                    <w:rPr>
                      <w:rFonts w:hint="eastAsia"/>
                      <w:color w:val="FF0000"/>
                      <w:lang w:val="en-US" w:eastAsia="zh-CN"/>
                    </w:rPr>
                    <w:t>废酒精桶</w:t>
                  </w:r>
                </w:p>
              </w:tc>
              <w:tc>
                <w:tcPr>
                  <w:tcW w:w="640" w:type="pct"/>
                  <w:vAlign w:val="center"/>
                </w:tcPr>
                <w:p w14:paraId="53409E8A">
                  <w:pPr>
                    <w:keepNext w:val="0"/>
                    <w:keepLines w:val="0"/>
                    <w:suppressLineNumbers w:val="0"/>
                    <w:adjustRightInd w:val="0"/>
                    <w:snapToGrid w:val="0"/>
                    <w:spacing w:before="0" w:beforeAutospacing="0" w:after="0" w:afterAutospacing="0"/>
                    <w:ind w:left="0" w:right="0"/>
                    <w:jc w:val="center"/>
                    <w:rPr>
                      <w:rFonts w:hint="eastAsia" w:eastAsia="宋体"/>
                      <w:color w:val="FF0000"/>
                      <w:szCs w:val="21"/>
                      <w:lang w:val="en-US" w:eastAsia="zh-CN"/>
                    </w:rPr>
                  </w:pPr>
                  <w:r>
                    <w:rPr>
                      <w:rFonts w:hint="eastAsia"/>
                      <w:color w:val="FF0000"/>
                      <w:szCs w:val="21"/>
                      <w:lang w:val="en-US" w:eastAsia="zh-CN"/>
                    </w:rPr>
                    <w:t>固态</w:t>
                  </w:r>
                </w:p>
              </w:tc>
              <w:tc>
                <w:tcPr>
                  <w:tcW w:w="835" w:type="pct"/>
                  <w:vAlign w:val="center"/>
                </w:tcPr>
                <w:p w14:paraId="01B2C701">
                  <w:pPr>
                    <w:keepNext w:val="0"/>
                    <w:keepLines w:val="0"/>
                    <w:suppressLineNumbers w:val="0"/>
                    <w:adjustRightInd w:val="0"/>
                    <w:snapToGrid w:val="0"/>
                    <w:spacing w:before="0" w:beforeAutospacing="0" w:after="0" w:afterAutospacing="0"/>
                    <w:ind w:left="0" w:right="0"/>
                    <w:jc w:val="center"/>
                    <w:rPr>
                      <w:rFonts w:hint="default" w:eastAsia="宋体"/>
                      <w:color w:val="FF0000"/>
                      <w:szCs w:val="21"/>
                      <w:lang w:val="en-US" w:eastAsia="zh-CN"/>
                    </w:rPr>
                  </w:pPr>
                  <w:r>
                    <w:rPr>
                      <w:rFonts w:hint="eastAsia"/>
                      <w:color w:val="FF0000"/>
                      <w:szCs w:val="21"/>
                      <w:lang w:val="en-US" w:eastAsia="zh-CN"/>
                    </w:rPr>
                    <w:t>0.025</w:t>
                  </w:r>
                </w:p>
              </w:tc>
              <w:tc>
                <w:tcPr>
                  <w:tcW w:w="1228" w:type="pct"/>
                  <w:vMerge w:val="continue"/>
                  <w:vAlign w:val="center"/>
                </w:tcPr>
                <w:p w14:paraId="6D00DE5A">
                  <w:pPr>
                    <w:keepNext w:val="0"/>
                    <w:keepLines w:val="0"/>
                    <w:suppressLineNumbers w:val="0"/>
                    <w:adjustRightInd w:val="0"/>
                    <w:snapToGrid w:val="0"/>
                    <w:spacing w:before="0" w:beforeAutospacing="0" w:after="0" w:afterAutospacing="0"/>
                    <w:ind w:left="0" w:right="0"/>
                    <w:jc w:val="center"/>
                    <w:rPr>
                      <w:rFonts w:hint="eastAsia"/>
                      <w:color w:val="auto"/>
                      <w:szCs w:val="21"/>
                    </w:rPr>
                  </w:pPr>
                </w:p>
              </w:tc>
            </w:tr>
            <w:tr w14:paraId="67D5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336" w:type="pct"/>
                  <w:vAlign w:val="center"/>
                </w:tcPr>
                <w:p w14:paraId="0AA9FDFC">
                  <w:pPr>
                    <w:keepNext w:val="0"/>
                    <w:keepLines w:val="0"/>
                    <w:suppressLineNumbers w:val="0"/>
                    <w:adjustRightInd w:val="0"/>
                    <w:snapToGrid w:val="0"/>
                    <w:spacing w:before="0" w:beforeAutospacing="0" w:after="0" w:afterAutospacing="0"/>
                    <w:ind w:left="0" w:right="0"/>
                    <w:jc w:val="center"/>
                    <w:rPr>
                      <w:rFonts w:hint="default"/>
                      <w:color w:val="auto"/>
                      <w:szCs w:val="21"/>
                      <w:lang w:val="en-US" w:eastAsia="zh-CN"/>
                    </w:rPr>
                  </w:pPr>
                  <w:r>
                    <w:rPr>
                      <w:rFonts w:hint="eastAsia"/>
                      <w:color w:val="auto"/>
                      <w:szCs w:val="21"/>
                      <w:lang w:val="en-US" w:eastAsia="zh-CN"/>
                    </w:rPr>
                    <w:t>8</w:t>
                  </w:r>
                </w:p>
              </w:tc>
              <w:tc>
                <w:tcPr>
                  <w:tcW w:w="710" w:type="pct"/>
                  <w:vMerge w:val="continue"/>
                  <w:vAlign w:val="center"/>
                </w:tcPr>
                <w:p w14:paraId="70A28F75">
                  <w:pPr>
                    <w:keepNext w:val="0"/>
                    <w:keepLines w:val="0"/>
                    <w:suppressLineNumbers w:val="0"/>
                    <w:adjustRightInd w:val="0"/>
                    <w:snapToGrid w:val="0"/>
                    <w:spacing w:before="0" w:beforeAutospacing="0" w:after="0" w:afterAutospacing="0"/>
                    <w:ind w:left="0" w:right="0"/>
                    <w:jc w:val="center"/>
                    <w:rPr>
                      <w:rFonts w:hint="eastAsia"/>
                      <w:color w:val="auto"/>
                      <w:szCs w:val="21"/>
                    </w:rPr>
                  </w:pPr>
                </w:p>
              </w:tc>
              <w:tc>
                <w:tcPr>
                  <w:tcW w:w="1248" w:type="pct"/>
                  <w:vAlign w:val="center"/>
                </w:tcPr>
                <w:p w14:paraId="457CA25F">
                  <w:pPr>
                    <w:keepNext w:val="0"/>
                    <w:keepLines w:val="0"/>
                    <w:suppressLineNumbers w:val="0"/>
                    <w:adjustRightInd w:val="0"/>
                    <w:snapToGrid w:val="0"/>
                    <w:spacing w:before="0" w:beforeAutospacing="0" w:after="0" w:afterAutospacing="0"/>
                    <w:ind w:left="0" w:right="0"/>
                    <w:jc w:val="center"/>
                    <w:rPr>
                      <w:rFonts w:hint="default"/>
                      <w:color w:val="FF0000"/>
                      <w:lang w:val="en-US" w:eastAsia="zh-CN"/>
                    </w:rPr>
                  </w:pPr>
                  <w:r>
                    <w:rPr>
                      <w:rFonts w:hint="eastAsia"/>
                      <w:color w:val="FF0000"/>
                      <w:lang w:val="en-US" w:eastAsia="zh-CN"/>
                    </w:rPr>
                    <w:t>废硅胶桶</w:t>
                  </w:r>
                </w:p>
              </w:tc>
              <w:tc>
                <w:tcPr>
                  <w:tcW w:w="640" w:type="pct"/>
                  <w:vAlign w:val="center"/>
                </w:tcPr>
                <w:p w14:paraId="36A8B97F">
                  <w:pPr>
                    <w:keepNext w:val="0"/>
                    <w:keepLines w:val="0"/>
                    <w:suppressLineNumbers w:val="0"/>
                    <w:adjustRightInd w:val="0"/>
                    <w:snapToGrid w:val="0"/>
                    <w:spacing w:before="0" w:beforeAutospacing="0" w:after="0" w:afterAutospacing="0"/>
                    <w:ind w:left="0" w:right="0"/>
                    <w:jc w:val="center"/>
                    <w:rPr>
                      <w:rFonts w:hint="default"/>
                      <w:color w:val="FF0000"/>
                      <w:szCs w:val="21"/>
                      <w:lang w:val="en-US" w:eastAsia="zh-CN"/>
                    </w:rPr>
                  </w:pPr>
                  <w:r>
                    <w:rPr>
                      <w:rFonts w:hint="eastAsia"/>
                      <w:color w:val="FF0000"/>
                      <w:szCs w:val="21"/>
                      <w:lang w:val="en-US" w:eastAsia="zh-CN"/>
                    </w:rPr>
                    <w:t>固态</w:t>
                  </w:r>
                </w:p>
              </w:tc>
              <w:tc>
                <w:tcPr>
                  <w:tcW w:w="835" w:type="pct"/>
                  <w:vAlign w:val="center"/>
                </w:tcPr>
                <w:p w14:paraId="15270607">
                  <w:pPr>
                    <w:keepNext w:val="0"/>
                    <w:keepLines w:val="0"/>
                    <w:suppressLineNumbers w:val="0"/>
                    <w:adjustRightInd w:val="0"/>
                    <w:snapToGrid w:val="0"/>
                    <w:spacing w:before="0" w:beforeAutospacing="0" w:after="0" w:afterAutospacing="0"/>
                    <w:ind w:left="0" w:right="0"/>
                    <w:jc w:val="center"/>
                    <w:rPr>
                      <w:rFonts w:hint="default"/>
                      <w:color w:val="FF0000"/>
                      <w:szCs w:val="21"/>
                      <w:lang w:val="en-US" w:eastAsia="zh-CN"/>
                    </w:rPr>
                  </w:pPr>
                  <w:r>
                    <w:rPr>
                      <w:rFonts w:hint="eastAsia"/>
                      <w:color w:val="FF0000"/>
                      <w:szCs w:val="21"/>
                      <w:lang w:val="en-US" w:eastAsia="zh-CN"/>
                    </w:rPr>
                    <w:t>3</w:t>
                  </w:r>
                </w:p>
              </w:tc>
              <w:tc>
                <w:tcPr>
                  <w:tcW w:w="1228" w:type="pct"/>
                  <w:vMerge w:val="continue"/>
                  <w:vAlign w:val="center"/>
                </w:tcPr>
                <w:p w14:paraId="1EB24103">
                  <w:pPr>
                    <w:keepNext w:val="0"/>
                    <w:keepLines w:val="0"/>
                    <w:suppressLineNumbers w:val="0"/>
                    <w:adjustRightInd w:val="0"/>
                    <w:snapToGrid w:val="0"/>
                    <w:spacing w:before="0" w:beforeAutospacing="0" w:after="0" w:afterAutospacing="0"/>
                    <w:ind w:left="0" w:right="0"/>
                    <w:jc w:val="center"/>
                    <w:rPr>
                      <w:rFonts w:hint="eastAsia"/>
                      <w:color w:val="auto"/>
                      <w:szCs w:val="21"/>
                    </w:rPr>
                  </w:pPr>
                </w:p>
              </w:tc>
            </w:tr>
            <w:tr w14:paraId="04580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336" w:type="pct"/>
                  <w:vAlign w:val="center"/>
                </w:tcPr>
                <w:p w14:paraId="6FF8E204">
                  <w:pPr>
                    <w:keepNext w:val="0"/>
                    <w:keepLines w:val="0"/>
                    <w:suppressLineNumbers w:val="0"/>
                    <w:adjustRightInd w:val="0"/>
                    <w:snapToGrid w:val="0"/>
                    <w:spacing w:before="0" w:beforeAutospacing="0" w:after="0" w:afterAutospacing="0"/>
                    <w:ind w:left="0" w:right="0"/>
                    <w:jc w:val="center"/>
                    <w:rPr>
                      <w:rFonts w:hint="eastAsia" w:eastAsia="宋体"/>
                      <w:color w:val="auto"/>
                      <w:szCs w:val="21"/>
                      <w:lang w:eastAsia="zh-CN"/>
                    </w:rPr>
                  </w:pPr>
                  <w:r>
                    <w:rPr>
                      <w:rFonts w:hint="eastAsia"/>
                      <w:color w:val="auto"/>
                      <w:szCs w:val="21"/>
                      <w:lang w:val="en-US" w:eastAsia="zh-CN"/>
                    </w:rPr>
                    <w:t>9</w:t>
                  </w:r>
                </w:p>
              </w:tc>
              <w:tc>
                <w:tcPr>
                  <w:tcW w:w="710" w:type="pct"/>
                  <w:vMerge w:val="continue"/>
                  <w:vAlign w:val="center"/>
                </w:tcPr>
                <w:p w14:paraId="505E0694">
                  <w:pPr>
                    <w:keepNext w:val="0"/>
                    <w:keepLines w:val="0"/>
                    <w:suppressLineNumbers w:val="0"/>
                    <w:adjustRightInd w:val="0"/>
                    <w:snapToGrid w:val="0"/>
                    <w:spacing w:before="0" w:beforeAutospacing="0" w:after="0" w:afterAutospacing="0"/>
                    <w:ind w:left="0" w:right="0"/>
                    <w:jc w:val="center"/>
                    <w:rPr>
                      <w:rFonts w:hint="default"/>
                      <w:color w:val="auto"/>
                      <w:szCs w:val="21"/>
                    </w:rPr>
                  </w:pPr>
                </w:p>
              </w:tc>
              <w:tc>
                <w:tcPr>
                  <w:tcW w:w="1248" w:type="pct"/>
                  <w:vAlign w:val="center"/>
                </w:tcPr>
                <w:p w14:paraId="3DAF872E">
                  <w:pPr>
                    <w:keepNext w:val="0"/>
                    <w:keepLines w:val="0"/>
                    <w:suppressLineNumbers w:val="0"/>
                    <w:adjustRightInd w:val="0"/>
                    <w:snapToGrid w:val="0"/>
                    <w:spacing w:before="0" w:beforeAutospacing="0" w:after="0" w:afterAutospacing="0"/>
                    <w:ind w:left="0" w:right="0"/>
                    <w:jc w:val="center"/>
                    <w:rPr>
                      <w:rFonts w:hint="eastAsia" w:eastAsia="宋体"/>
                      <w:color w:val="auto"/>
                      <w:szCs w:val="21"/>
                      <w:lang w:eastAsia="zh-CN"/>
                    </w:rPr>
                  </w:pPr>
                  <w:r>
                    <w:rPr>
                      <w:rFonts w:hint="eastAsia"/>
                      <w:color w:val="auto"/>
                      <w:szCs w:val="21"/>
                    </w:rPr>
                    <w:t>废擦拭</w:t>
                  </w:r>
                  <w:r>
                    <w:rPr>
                      <w:rFonts w:hint="eastAsia"/>
                      <w:color w:val="auto"/>
                      <w:szCs w:val="21"/>
                      <w:lang w:val="en-US" w:eastAsia="zh-CN"/>
                    </w:rPr>
                    <w:t>纸</w:t>
                  </w:r>
                </w:p>
              </w:tc>
              <w:tc>
                <w:tcPr>
                  <w:tcW w:w="640" w:type="pct"/>
                  <w:vAlign w:val="center"/>
                </w:tcPr>
                <w:p w14:paraId="496269E6">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default"/>
                      <w:color w:val="auto"/>
                      <w:szCs w:val="21"/>
                    </w:rPr>
                    <w:t>固态</w:t>
                  </w:r>
                </w:p>
              </w:tc>
              <w:tc>
                <w:tcPr>
                  <w:tcW w:w="835" w:type="pct"/>
                  <w:vAlign w:val="center"/>
                </w:tcPr>
                <w:p w14:paraId="731C9411">
                  <w:pPr>
                    <w:keepNext w:val="0"/>
                    <w:keepLines w:val="0"/>
                    <w:suppressLineNumbers w:val="0"/>
                    <w:adjustRightInd w:val="0"/>
                    <w:snapToGrid w:val="0"/>
                    <w:spacing w:before="0" w:beforeAutospacing="0" w:after="0" w:afterAutospacing="0"/>
                    <w:ind w:left="0" w:right="0"/>
                    <w:jc w:val="center"/>
                    <w:rPr>
                      <w:rFonts w:hint="default" w:eastAsia="宋体"/>
                      <w:color w:val="auto"/>
                      <w:szCs w:val="21"/>
                      <w:lang w:val="en-US" w:eastAsia="zh-CN"/>
                    </w:rPr>
                  </w:pPr>
                  <w:r>
                    <w:rPr>
                      <w:rFonts w:hint="eastAsia"/>
                      <w:color w:val="auto"/>
                      <w:szCs w:val="21"/>
                    </w:rPr>
                    <w:t>0.</w:t>
                  </w:r>
                  <w:r>
                    <w:rPr>
                      <w:rFonts w:hint="eastAsia"/>
                      <w:color w:val="auto"/>
                      <w:szCs w:val="21"/>
                      <w:lang w:val="en-US" w:eastAsia="zh-CN"/>
                    </w:rPr>
                    <w:t>01</w:t>
                  </w:r>
                </w:p>
              </w:tc>
              <w:tc>
                <w:tcPr>
                  <w:tcW w:w="1228" w:type="pct"/>
                  <w:vMerge w:val="continue"/>
                  <w:vAlign w:val="center"/>
                </w:tcPr>
                <w:p w14:paraId="1D0626D2">
                  <w:pPr>
                    <w:keepNext w:val="0"/>
                    <w:keepLines w:val="0"/>
                    <w:suppressLineNumbers w:val="0"/>
                    <w:adjustRightInd w:val="0"/>
                    <w:snapToGrid w:val="0"/>
                    <w:spacing w:before="0" w:beforeAutospacing="0" w:after="0" w:afterAutospacing="0"/>
                    <w:ind w:left="0" w:right="0"/>
                    <w:jc w:val="center"/>
                    <w:rPr>
                      <w:rFonts w:hint="default"/>
                      <w:color w:val="auto"/>
                      <w:szCs w:val="21"/>
                    </w:rPr>
                  </w:pPr>
                </w:p>
              </w:tc>
            </w:tr>
            <w:tr w14:paraId="152F6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336" w:type="pct"/>
                  <w:vAlign w:val="center"/>
                </w:tcPr>
                <w:p w14:paraId="0D56FC55">
                  <w:pPr>
                    <w:keepNext w:val="0"/>
                    <w:keepLines w:val="0"/>
                    <w:suppressLineNumbers w:val="0"/>
                    <w:adjustRightInd w:val="0"/>
                    <w:snapToGrid w:val="0"/>
                    <w:spacing w:before="0" w:beforeAutospacing="0" w:after="0" w:afterAutospacing="0"/>
                    <w:ind w:left="0" w:right="0"/>
                    <w:jc w:val="center"/>
                    <w:rPr>
                      <w:rFonts w:hint="default" w:eastAsia="宋体"/>
                      <w:color w:val="auto"/>
                      <w:szCs w:val="21"/>
                      <w:lang w:val="en-US" w:eastAsia="zh-CN"/>
                    </w:rPr>
                  </w:pPr>
                  <w:r>
                    <w:rPr>
                      <w:rFonts w:hint="eastAsia"/>
                      <w:color w:val="auto"/>
                      <w:szCs w:val="21"/>
                      <w:lang w:val="en-US" w:eastAsia="zh-CN"/>
                    </w:rPr>
                    <w:t>10</w:t>
                  </w:r>
                </w:p>
              </w:tc>
              <w:tc>
                <w:tcPr>
                  <w:tcW w:w="710" w:type="pct"/>
                  <w:vMerge w:val="continue"/>
                  <w:vAlign w:val="center"/>
                </w:tcPr>
                <w:p w14:paraId="62CFD918">
                  <w:pPr>
                    <w:keepNext w:val="0"/>
                    <w:keepLines w:val="0"/>
                    <w:suppressLineNumbers w:val="0"/>
                    <w:adjustRightInd w:val="0"/>
                    <w:snapToGrid w:val="0"/>
                    <w:spacing w:before="0" w:beforeAutospacing="0" w:after="0" w:afterAutospacing="0"/>
                    <w:ind w:left="0" w:right="0"/>
                    <w:jc w:val="center"/>
                    <w:rPr>
                      <w:rFonts w:hint="default"/>
                      <w:color w:val="auto"/>
                      <w:szCs w:val="21"/>
                    </w:rPr>
                  </w:pPr>
                </w:p>
              </w:tc>
              <w:tc>
                <w:tcPr>
                  <w:tcW w:w="1248" w:type="pct"/>
                  <w:vAlign w:val="center"/>
                </w:tcPr>
                <w:p w14:paraId="560DEA1A">
                  <w:pPr>
                    <w:keepNext w:val="0"/>
                    <w:keepLines w:val="0"/>
                    <w:suppressLineNumbers w:val="0"/>
                    <w:adjustRightInd w:val="0"/>
                    <w:snapToGrid w:val="0"/>
                    <w:spacing w:before="0" w:beforeAutospacing="0" w:after="0" w:afterAutospacing="0"/>
                    <w:ind w:left="0" w:right="0"/>
                    <w:jc w:val="center"/>
                    <w:rPr>
                      <w:rFonts w:hint="default"/>
                      <w:color w:val="auto"/>
                      <w:szCs w:val="21"/>
                      <w:lang w:bidi="ar"/>
                    </w:rPr>
                  </w:pPr>
                  <w:r>
                    <w:rPr>
                      <w:rFonts w:hint="eastAsia"/>
                      <w:color w:val="auto"/>
                      <w:szCs w:val="21"/>
                      <w:lang w:bidi="ar"/>
                    </w:rPr>
                    <w:t>废活性炭</w:t>
                  </w:r>
                </w:p>
              </w:tc>
              <w:tc>
                <w:tcPr>
                  <w:tcW w:w="640" w:type="pct"/>
                  <w:vAlign w:val="center"/>
                </w:tcPr>
                <w:p w14:paraId="429DF1BF">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default"/>
                      <w:color w:val="auto"/>
                      <w:szCs w:val="21"/>
                    </w:rPr>
                    <w:t>固态</w:t>
                  </w:r>
                </w:p>
              </w:tc>
              <w:tc>
                <w:tcPr>
                  <w:tcW w:w="835" w:type="pct"/>
                  <w:vAlign w:val="center"/>
                </w:tcPr>
                <w:p w14:paraId="4E8D44BF">
                  <w:pPr>
                    <w:keepNext w:val="0"/>
                    <w:keepLines w:val="0"/>
                    <w:suppressLineNumbers w:val="0"/>
                    <w:adjustRightInd w:val="0"/>
                    <w:snapToGrid w:val="0"/>
                    <w:spacing w:before="0" w:beforeAutospacing="0" w:after="0" w:afterAutospacing="0"/>
                    <w:ind w:left="0" w:right="0"/>
                    <w:jc w:val="center"/>
                    <w:rPr>
                      <w:rFonts w:hint="default" w:eastAsia="宋体"/>
                      <w:color w:val="auto"/>
                      <w:szCs w:val="21"/>
                      <w:lang w:val="en-US" w:eastAsia="zh-CN"/>
                    </w:rPr>
                  </w:pPr>
                  <w:r>
                    <w:rPr>
                      <w:rFonts w:hint="eastAsia"/>
                      <w:color w:val="FF0000"/>
                      <w:szCs w:val="21"/>
                      <w:lang w:val="en-US" w:eastAsia="zh-CN"/>
                    </w:rPr>
                    <w:t>15.28</w:t>
                  </w:r>
                </w:p>
              </w:tc>
              <w:tc>
                <w:tcPr>
                  <w:tcW w:w="1228" w:type="pct"/>
                  <w:vMerge w:val="continue"/>
                  <w:vAlign w:val="center"/>
                </w:tcPr>
                <w:p w14:paraId="5BB9F2C8">
                  <w:pPr>
                    <w:keepNext w:val="0"/>
                    <w:keepLines w:val="0"/>
                    <w:suppressLineNumbers w:val="0"/>
                    <w:adjustRightInd w:val="0"/>
                    <w:snapToGrid w:val="0"/>
                    <w:spacing w:before="0" w:beforeAutospacing="0" w:after="0" w:afterAutospacing="0"/>
                    <w:ind w:left="0" w:right="0"/>
                    <w:jc w:val="center"/>
                    <w:rPr>
                      <w:rFonts w:hint="default"/>
                      <w:color w:val="auto"/>
                      <w:szCs w:val="21"/>
                    </w:rPr>
                  </w:pPr>
                </w:p>
              </w:tc>
            </w:tr>
            <w:tr w14:paraId="6EE13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336" w:type="pct"/>
                  <w:vAlign w:val="center"/>
                </w:tcPr>
                <w:p w14:paraId="5764FB09">
                  <w:pPr>
                    <w:keepNext w:val="0"/>
                    <w:keepLines w:val="0"/>
                    <w:suppressLineNumbers w:val="0"/>
                    <w:adjustRightInd w:val="0"/>
                    <w:snapToGrid w:val="0"/>
                    <w:spacing w:before="0" w:beforeAutospacing="0" w:after="0" w:afterAutospacing="0"/>
                    <w:ind w:left="0" w:right="0"/>
                    <w:jc w:val="center"/>
                    <w:rPr>
                      <w:rFonts w:hint="default"/>
                      <w:color w:val="auto"/>
                      <w:szCs w:val="21"/>
                      <w:lang w:val="en-US" w:eastAsia="zh-CN"/>
                    </w:rPr>
                  </w:pPr>
                  <w:r>
                    <w:rPr>
                      <w:rFonts w:hint="eastAsia"/>
                      <w:color w:val="auto"/>
                      <w:szCs w:val="21"/>
                      <w:lang w:val="en-US" w:eastAsia="zh-CN"/>
                    </w:rPr>
                    <w:t>11</w:t>
                  </w:r>
                </w:p>
              </w:tc>
              <w:tc>
                <w:tcPr>
                  <w:tcW w:w="710" w:type="pct"/>
                  <w:vMerge w:val="continue"/>
                  <w:vAlign w:val="center"/>
                </w:tcPr>
                <w:p w14:paraId="05D538AB">
                  <w:pPr>
                    <w:keepNext w:val="0"/>
                    <w:keepLines w:val="0"/>
                    <w:suppressLineNumbers w:val="0"/>
                    <w:adjustRightInd w:val="0"/>
                    <w:snapToGrid w:val="0"/>
                    <w:spacing w:before="0" w:beforeAutospacing="0" w:after="0" w:afterAutospacing="0"/>
                    <w:ind w:left="0" w:right="0"/>
                    <w:jc w:val="center"/>
                    <w:rPr>
                      <w:rFonts w:hint="default"/>
                      <w:color w:val="auto"/>
                      <w:szCs w:val="21"/>
                    </w:rPr>
                  </w:pPr>
                </w:p>
              </w:tc>
              <w:tc>
                <w:tcPr>
                  <w:tcW w:w="1248" w:type="pct"/>
                  <w:vAlign w:val="center"/>
                </w:tcPr>
                <w:p w14:paraId="6D8E53FF">
                  <w:pPr>
                    <w:keepNext w:val="0"/>
                    <w:keepLines w:val="0"/>
                    <w:suppressLineNumbers w:val="0"/>
                    <w:adjustRightInd w:val="0"/>
                    <w:snapToGrid w:val="0"/>
                    <w:spacing w:before="0" w:beforeAutospacing="0" w:after="0" w:afterAutospacing="0"/>
                    <w:ind w:left="0" w:right="0"/>
                    <w:jc w:val="center"/>
                    <w:rPr>
                      <w:rFonts w:hint="eastAsia"/>
                      <w:color w:val="auto"/>
                      <w:szCs w:val="21"/>
                      <w:lang w:bidi="ar"/>
                    </w:rPr>
                  </w:pPr>
                  <w:r>
                    <w:rPr>
                      <w:rFonts w:hint="eastAsia"/>
                      <w:color w:val="auto"/>
                      <w:szCs w:val="21"/>
                      <w:lang w:val="en-US" w:eastAsia="zh-CN" w:bidi="ar"/>
                    </w:rPr>
                    <w:t>废过滤棉</w:t>
                  </w:r>
                </w:p>
              </w:tc>
              <w:tc>
                <w:tcPr>
                  <w:tcW w:w="640" w:type="pct"/>
                  <w:vAlign w:val="center"/>
                </w:tcPr>
                <w:p w14:paraId="0B70A46B">
                  <w:pPr>
                    <w:keepNext w:val="0"/>
                    <w:keepLines w:val="0"/>
                    <w:suppressLineNumbers w:val="0"/>
                    <w:adjustRightInd w:val="0"/>
                    <w:snapToGrid w:val="0"/>
                    <w:spacing w:before="0" w:beforeAutospacing="0" w:after="0" w:afterAutospacing="0"/>
                    <w:ind w:left="0" w:right="0"/>
                    <w:jc w:val="center"/>
                    <w:rPr>
                      <w:rFonts w:hint="eastAsia" w:eastAsia="宋体"/>
                      <w:color w:val="auto"/>
                      <w:szCs w:val="21"/>
                      <w:lang w:val="en-US" w:eastAsia="zh-CN"/>
                    </w:rPr>
                  </w:pPr>
                  <w:r>
                    <w:rPr>
                      <w:rFonts w:hint="eastAsia"/>
                      <w:color w:val="auto"/>
                      <w:szCs w:val="21"/>
                      <w:lang w:val="en-US" w:eastAsia="zh-CN"/>
                    </w:rPr>
                    <w:t>固态</w:t>
                  </w:r>
                </w:p>
              </w:tc>
              <w:tc>
                <w:tcPr>
                  <w:tcW w:w="835" w:type="pct"/>
                  <w:vAlign w:val="center"/>
                </w:tcPr>
                <w:p w14:paraId="6BDE332A">
                  <w:pPr>
                    <w:keepNext w:val="0"/>
                    <w:keepLines w:val="0"/>
                    <w:suppressLineNumbers w:val="0"/>
                    <w:adjustRightInd w:val="0"/>
                    <w:snapToGrid w:val="0"/>
                    <w:spacing w:before="0" w:beforeAutospacing="0" w:after="0" w:afterAutospacing="0"/>
                    <w:ind w:left="0" w:right="0"/>
                    <w:jc w:val="center"/>
                    <w:rPr>
                      <w:rFonts w:hint="default"/>
                      <w:color w:val="auto"/>
                      <w:szCs w:val="21"/>
                      <w:lang w:val="en-US" w:eastAsia="zh-CN"/>
                    </w:rPr>
                  </w:pPr>
                  <w:r>
                    <w:rPr>
                      <w:rFonts w:hint="eastAsia"/>
                      <w:color w:val="auto"/>
                      <w:szCs w:val="21"/>
                      <w:lang w:val="en-US" w:eastAsia="zh-CN"/>
                    </w:rPr>
                    <w:t>0.014</w:t>
                  </w:r>
                </w:p>
              </w:tc>
              <w:tc>
                <w:tcPr>
                  <w:tcW w:w="1228" w:type="pct"/>
                  <w:vMerge w:val="continue"/>
                  <w:vAlign w:val="center"/>
                </w:tcPr>
                <w:p w14:paraId="457907A2">
                  <w:pPr>
                    <w:keepNext w:val="0"/>
                    <w:keepLines w:val="0"/>
                    <w:suppressLineNumbers w:val="0"/>
                    <w:adjustRightInd w:val="0"/>
                    <w:snapToGrid w:val="0"/>
                    <w:spacing w:before="0" w:beforeAutospacing="0" w:after="0" w:afterAutospacing="0"/>
                    <w:ind w:left="0" w:right="0"/>
                    <w:jc w:val="center"/>
                    <w:rPr>
                      <w:rFonts w:hint="default"/>
                      <w:color w:val="auto"/>
                      <w:szCs w:val="21"/>
                    </w:rPr>
                  </w:pPr>
                </w:p>
              </w:tc>
            </w:tr>
            <w:tr w14:paraId="497EB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336" w:type="pct"/>
                  <w:vAlign w:val="center"/>
                </w:tcPr>
                <w:p w14:paraId="452AFB20">
                  <w:pPr>
                    <w:keepNext w:val="0"/>
                    <w:keepLines w:val="0"/>
                    <w:suppressLineNumbers w:val="0"/>
                    <w:adjustRightInd w:val="0"/>
                    <w:snapToGrid w:val="0"/>
                    <w:spacing w:before="0" w:beforeAutospacing="0" w:after="0" w:afterAutospacing="0"/>
                    <w:ind w:left="0" w:right="0"/>
                    <w:jc w:val="center"/>
                    <w:rPr>
                      <w:rFonts w:hint="default" w:eastAsia="宋体"/>
                      <w:color w:val="auto"/>
                      <w:szCs w:val="21"/>
                      <w:lang w:val="en-US" w:eastAsia="zh-CN"/>
                    </w:rPr>
                  </w:pPr>
                  <w:r>
                    <w:rPr>
                      <w:rFonts w:hint="eastAsia"/>
                      <w:color w:val="auto"/>
                      <w:szCs w:val="21"/>
                      <w:lang w:val="en-US" w:eastAsia="zh-CN"/>
                    </w:rPr>
                    <w:t>12</w:t>
                  </w:r>
                </w:p>
              </w:tc>
              <w:tc>
                <w:tcPr>
                  <w:tcW w:w="710" w:type="pct"/>
                  <w:vMerge w:val="continue"/>
                  <w:vAlign w:val="center"/>
                </w:tcPr>
                <w:p w14:paraId="270805C0">
                  <w:pPr>
                    <w:keepNext w:val="0"/>
                    <w:keepLines w:val="0"/>
                    <w:suppressLineNumbers w:val="0"/>
                    <w:adjustRightInd w:val="0"/>
                    <w:snapToGrid w:val="0"/>
                    <w:spacing w:before="0" w:beforeAutospacing="0" w:after="0" w:afterAutospacing="0"/>
                    <w:ind w:left="0" w:right="0"/>
                    <w:jc w:val="center"/>
                    <w:rPr>
                      <w:rFonts w:hint="default"/>
                      <w:color w:val="auto"/>
                      <w:szCs w:val="21"/>
                    </w:rPr>
                  </w:pPr>
                </w:p>
              </w:tc>
              <w:tc>
                <w:tcPr>
                  <w:tcW w:w="1248" w:type="pct"/>
                  <w:vAlign w:val="center"/>
                </w:tcPr>
                <w:p w14:paraId="41693D3D">
                  <w:pPr>
                    <w:keepNext w:val="0"/>
                    <w:keepLines w:val="0"/>
                    <w:suppressLineNumbers w:val="0"/>
                    <w:adjustRightInd w:val="0"/>
                    <w:snapToGrid w:val="0"/>
                    <w:spacing w:before="0" w:beforeAutospacing="0" w:after="0" w:afterAutospacing="0"/>
                    <w:ind w:left="0" w:right="0"/>
                    <w:jc w:val="center"/>
                    <w:rPr>
                      <w:rFonts w:hint="default"/>
                      <w:color w:val="auto"/>
                      <w:szCs w:val="21"/>
                      <w:lang w:bidi="ar"/>
                    </w:rPr>
                  </w:pPr>
                  <w:r>
                    <w:rPr>
                      <w:rFonts w:hint="eastAsia"/>
                      <w:color w:val="auto"/>
                      <w:szCs w:val="21"/>
                      <w:lang w:bidi="ar"/>
                    </w:rPr>
                    <w:t>废机油</w:t>
                  </w:r>
                </w:p>
              </w:tc>
              <w:tc>
                <w:tcPr>
                  <w:tcW w:w="640" w:type="pct"/>
                  <w:vAlign w:val="center"/>
                </w:tcPr>
                <w:p w14:paraId="5E5BFF87">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eastAsia"/>
                      <w:color w:val="auto"/>
                      <w:szCs w:val="21"/>
                    </w:rPr>
                    <w:t>液态</w:t>
                  </w:r>
                </w:p>
              </w:tc>
              <w:tc>
                <w:tcPr>
                  <w:tcW w:w="835" w:type="pct"/>
                  <w:vAlign w:val="center"/>
                </w:tcPr>
                <w:p w14:paraId="52C4C7A0">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eastAsia"/>
                      <w:color w:val="auto"/>
                      <w:szCs w:val="21"/>
                    </w:rPr>
                    <w:t>0.1</w:t>
                  </w:r>
                </w:p>
              </w:tc>
              <w:tc>
                <w:tcPr>
                  <w:tcW w:w="1228" w:type="pct"/>
                  <w:vMerge w:val="continue"/>
                  <w:vAlign w:val="center"/>
                </w:tcPr>
                <w:p w14:paraId="15D55AE9">
                  <w:pPr>
                    <w:keepNext w:val="0"/>
                    <w:keepLines w:val="0"/>
                    <w:suppressLineNumbers w:val="0"/>
                    <w:adjustRightInd w:val="0"/>
                    <w:snapToGrid w:val="0"/>
                    <w:spacing w:before="0" w:beforeAutospacing="0" w:after="0" w:afterAutospacing="0"/>
                    <w:ind w:left="0" w:right="0"/>
                    <w:jc w:val="center"/>
                    <w:rPr>
                      <w:rFonts w:hint="default"/>
                      <w:color w:val="auto"/>
                      <w:szCs w:val="21"/>
                    </w:rPr>
                  </w:pPr>
                </w:p>
              </w:tc>
            </w:tr>
            <w:tr w14:paraId="0E9E2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 w:hRule="atLeast"/>
                <w:jc w:val="center"/>
              </w:trPr>
              <w:tc>
                <w:tcPr>
                  <w:tcW w:w="336" w:type="pct"/>
                  <w:vAlign w:val="center"/>
                </w:tcPr>
                <w:p w14:paraId="4F07D358">
                  <w:pPr>
                    <w:keepNext w:val="0"/>
                    <w:keepLines w:val="0"/>
                    <w:suppressLineNumbers w:val="0"/>
                    <w:adjustRightInd w:val="0"/>
                    <w:snapToGrid w:val="0"/>
                    <w:spacing w:before="0" w:beforeAutospacing="0" w:after="0" w:afterAutospacing="0"/>
                    <w:ind w:left="0" w:right="0"/>
                    <w:jc w:val="center"/>
                    <w:rPr>
                      <w:rFonts w:hint="default" w:eastAsia="宋体"/>
                      <w:color w:val="auto"/>
                      <w:szCs w:val="21"/>
                      <w:lang w:val="en-US" w:eastAsia="zh-CN"/>
                    </w:rPr>
                  </w:pPr>
                  <w:r>
                    <w:rPr>
                      <w:rFonts w:hint="eastAsia"/>
                      <w:color w:val="auto"/>
                      <w:szCs w:val="21"/>
                      <w:lang w:val="en-US" w:eastAsia="zh-CN"/>
                    </w:rPr>
                    <w:t>13</w:t>
                  </w:r>
                </w:p>
              </w:tc>
              <w:tc>
                <w:tcPr>
                  <w:tcW w:w="710" w:type="pct"/>
                  <w:vMerge w:val="continue"/>
                  <w:vAlign w:val="center"/>
                </w:tcPr>
                <w:p w14:paraId="1C8BED78">
                  <w:pPr>
                    <w:keepNext w:val="0"/>
                    <w:keepLines w:val="0"/>
                    <w:suppressLineNumbers w:val="0"/>
                    <w:adjustRightInd w:val="0"/>
                    <w:snapToGrid w:val="0"/>
                    <w:spacing w:before="0" w:beforeAutospacing="0" w:after="0" w:afterAutospacing="0"/>
                    <w:ind w:left="0" w:right="0"/>
                    <w:jc w:val="center"/>
                    <w:rPr>
                      <w:rFonts w:hint="default"/>
                      <w:color w:val="auto"/>
                      <w:szCs w:val="21"/>
                    </w:rPr>
                  </w:pPr>
                </w:p>
              </w:tc>
              <w:tc>
                <w:tcPr>
                  <w:tcW w:w="1248" w:type="pct"/>
                  <w:vAlign w:val="center"/>
                </w:tcPr>
                <w:p w14:paraId="61DA9513">
                  <w:pPr>
                    <w:keepNext w:val="0"/>
                    <w:keepLines w:val="0"/>
                    <w:suppressLineNumbers w:val="0"/>
                    <w:adjustRightInd w:val="0"/>
                    <w:snapToGrid w:val="0"/>
                    <w:spacing w:before="0" w:beforeAutospacing="0" w:after="0" w:afterAutospacing="0"/>
                    <w:ind w:left="0" w:right="0"/>
                    <w:jc w:val="center"/>
                    <w:rPr>
                      <w:rFonts w:hint="default"/>
                      <w:color w:val="auto"/>
                      <w:szCs w:val="21"/>
                      <w:lang w:bidi="ar"/>
                    </w:rPr>
                  </w:pPr>
                  <w:r>
                    <w:rPr>
                      <w:rFonts w:hint="eastAsia"/>
                      <w:color w:val="auto"/>
                      <w:szCs w:val="21"/>
                      <w:lang w:bidi="ar"/>
                    </w:rPr>
                    <w:t>废油桶</w:t>
                  </w:r>
                </w:p>
              </w:tc>
              <w:tc>
                <w:tcPr>
                  <w:tcW w:w="640" w:type="pct"/>
                  <w:vAlign w:val="center"/>
                </w:tcPr>
                <w:p w14:paraId="6E460D97">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eastAsia"/>
                      <w:color w:val="auto"/>
                      <w:szCs w:val="21"/>
                    </w:rPr>
                    <w:t>固态</w:t>
                  </w:r>
                </w:p>
              </w:tc>
              <w:tc>
                <w:tcPr>
                  <w:tcW w:w="835" w:type="pct"/>
                  <w:vAlign w:val="center"/>
                </w:tcPr>
                <w:p w14:paraId="4AFA8989">
                  <w:pPr>
                    <w:keepNext w:val="0"/>
                    <w:keepLines w:val="0"/>
                    <w:suppressLineNumbers w:val="0"/>
                    <w:adjustRightInd w:val="0"/>
                    <w:snapToGrid w:val="0"/>
                    <w:spacing w:before="0" w:beforeAutospacing="0" w:after="0" w:afterAutospacing="0"/>
                    <w:ind w:left="0" w:right="0"/>
                    <w:jc w:val="center"/>
                    <w:rPr>
                      <w:rFonts w:hint="default"/>
                      <w:color w:val="auto"/>
                      <w:szCs w:val="21"/>
                    </w:rPr>
                  </w:pPr>
                  <w:r>
                    <w:rPr>
                      <w:rFonts w:hint="eastAsia"/>
                      <w:color w:val="auto"/>
                      <w:szCs w:val="21"/>
                    </w:rPr>
                    <w:t>0.008</w:t>
                  </w:r>
                </w:p>
              </w:tc>
              <w:tc>
                <w:tcPr>
                  <w:tcW w:w="1228" w:type="pct"/>
                  <w:vMerge w:val="continue"/>
                  <w:vAlign w:val="center"/>
                </w:tcPr>
                <w:p w14:paraId="3F6FEE56">
                  <w:pPr>
                    <w:keepNext w:val="0"/>
                    <w:keepLines w:val="0"/>
                    <w:suppressLineNumbers w:val="0"/>
                    <w:adjustRightInd w:val="0"/>
                    <w:snapToGrid w:val="0"/>
                    <w:spacing w:before="0" w:beforeAutospacing="0" w:after="0" w:afterAutospacing="0"/>
                    <w:ind w:left="0" w:right="0"/>
                    <w:jc w:val="center"/>
                    <w:rPr>
                      <w:rFonts w:hint="default"/>
                      <w:color w:val="auto"/>
                      <w:szCs w:val="21"/>
                    </w:rPr>
                  </w:pPr>
                </w:p>
              </w:tc>
            </w:tr>
          </w:tbl>
          <w:p w14:paraId="13CE4296">
            <w:pPr>
              <w:pStyle w:val="51"/>
              <w:spacing w:line="240" w:lineRule="auto"/>
              <w:ind w:firstLine="361"/>
              <w:rPr>
                <w:rFonts w:hint="eastAsia"/>
              </w:rPr>
            </w:pPr>
          </w:p>
          <w:p w14:paraId="7F3D09F6">
            <w:pPr>
              <w:pStyle w:val="52"/>
            </w:pPr>
            <w:r>
              <w:rPr>
                <w:rFonts w:hint="eastAsia"/>
              </w:rPr>
              <w:t>表4</w:t>
            </w:r>
            <w:r>
              <w:t>-</w:t>
            </w:r>
            <w:r>
              <w:rPr>
                <w:rFonts w:hint="eastAsia"/>
                <w:lang w:val="en-US" w:eastAsia="zh-CN"/>
              </w:rPr>
              <w:t>16</w:t>
            </w:r>
            <w:r>
              <w:t xml:space="preserve">  </w:t>
            </w:r>
            <w:r>
              <w:rPr>
                <w:rFonts w:hint="eastAsia"/>
              </w:rPr>
              <w:t>拟建项目危险废物汇总表</w:t>
            </w:r>
          </w:p>
          <w:tbl>
            <w:tblPr>
              <w:tblStyle w:val="23"/>
              <w:tblW w:w="8222" w:type="dxa"/>
              <w:jc w:val="center"/>
              <w:tblLayout w:type="fixed"/>
              <w:tblCellMar>
                <w:top w:w="0" w:type="dxa"/>
                <w:left w:w="108" w:type="dxa"/>
                <w:bottom w:w="0" w:type="dxa"/>
                <w:right w:w="108" w:type="dxa"/>
              </w:tblCellMar>
            </w:tblPr>
            <w:tblGrid>
              <w:gridCol w:w="1386"/>
              <w:gridCol w:w="957"/>
              <w:gridCol w:w="944"/>
              <w:gridCol w:w="982"/>
              <w:gridCol w:w="1058"/>
              <w:gridCol w:w="969"/>
              <w:gridCol w:w="982"/>
              <w:gridCol w:w="944"/>
            </w:tblGrid>
            <w:tr w14:paraId="5C61A605">
              <w:tblPrEx>
                <w:tblCellMar>
                  <w:top w:w="0" w:type="dxa"/>
                  <w:left w:w="108" w:type="dxa"/>
                  <w:bottom w:w="0" w:type="dxa"/>
                  <w:right w:w="108" w:type="dxa"/>
                </w:tblCellMar>
              </w:tblPrEx>
              <w:trPr>
                <w:trHeight w:val="340" w:hRule="atLeast"/>
                <w:jc w:val="center"/>
              </w:trPr>
              <w:tc>
                <w:tcPr>
                  <w:tcW w:w="1386" w:type="dxa"/>
                  <w:tcBorders>
                    <w:top w:val="single" w:color="auto" w:sz="4" w:space="0"/>
                    <w:left w:val="single" w:color="auto" w:sz="4" w:space="0"/>
                    <w:bottom w:val="single" w:color="auto" w:sz="4" w:space="0"/>
                    <w:right w:val="single" w:color="auto" w:sz="4" w:space="0"/>
                  </w:tcBorders>
                  <w:shd w:val="clear" w:color="auto" w:fill="auto"/>
                  <w:vAlign w:val="center"/>
                </w:tcPr>
                <w:p w14:paraId="4131435A">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b/>
                      <w:bCs/>
                      <w:color w:val="auto"/>
                    </w:rPr>
                  </w:pPr>
                  <w:r>
                    <w:rPr>
                      <w:rFonts w:hint="eastAsia" w:ascii="Times New Roman" w:hAnsi="Times New Roman" w:eastAsia="宋体" w:cs="Times New Roman"/>
                      <w:b/>
                      <w:bCs/>
                      <w:color w:val="auto"/>
                    </w:rPr>
                    <w:t>名称</w:t>
                  </w:r>
                </w:p>
              </w:tc>
              <w:tc>
                <w:tcPr>
                  <w:tcW w:w="957" w:type="dxa"/>
                  <w:tcBorders>
                    <w:top w:val="single" w:color="auto" w:sz="4" w:space="0"/>
                    <w:left w:val="nil"/>
                    <w:bottom w:val="single" w:color="auto" w:sz="4" w:space="0"/>
                    <w:right w:val="single" w:color="auto" w:sz="4" w:space="0"/>
                  </w:tcBorders>
                  <w:shd w:val="clear" w:color="auto" w:fill="auto"/>
                  <w:vAlign w:val="center"/>
                </w:tcPr>
                <w:p w14:paraId="19F1B82D">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b/>
                      <w:bCs/>
                      <w:color w:val="auto"/>
                    </w:rPr>
                  </w:pPr>
                  <w:r>
                    <w:rPr>
                      <w:rFonts w:hint="eastAsia" w:ascii="Times New Roman" w:hAnsi="Times New Roman" w:eastAsia="宋体" w:cs="Times New Roman"/>
                      <w:b/>
                      <w:bCs/>
                      <w:color w:val="auto"/>
                    </w:rPr>
                    <w:t>危险废物类别</w:t>
                  </w:r>
                </w:p>
              </w:tc>
              <w:tc>
                <w:tcPr>
                  <w:tcW w:w="944" w:type="dxa"/>
                  <w:tcBorders>
                    <w:top w:val="single" w:color="auto" w:sz="4" w:space="0"/>
                    <w:left w:val="nil"/>
                    <w:bottom w:val="single" w:color="auto" w:sz="4" w:space="0"/>
                    <w:right w:val="single" w:color="auto" w:sz="4" w:space="0"/>
                  </w:tcBorders>
                  <w:shd w:val="clear" w:color="auto" w:fill="auto"/>
                  <w:vAlign w:val="center"/>
                </w:tcPr>
                <w:p w14:paraId="69336013">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b/>
                      <w:bCs/>
                      <w:color w:val="auto"/>
                    </w:rPr>
                  </w:pPr>
                  <w:r>
                    <w:rPr>
                      <w:rFonts w:hint="eastAsia" w:ascii="Times New Roman" w:hAnsi="Times New Roman" w:eastAsia="宋体" w:cs="Times New Roman"/>
                      <w:b/>
                      <w:bCs/>
                      <w:color w:val="auto"/>
                    </w:rPr>
                    <w:t>危险废物代码</w:t>
                  </w:r>
                </w:p>
              </w:tc>
              <w:tc>
                <w:tcPr>
                  <w:tcW w:w="982" w:type="dxa"/>
                  <w:tcBorders>
                    <w:top w:val="single" w:color="auto" w:sz="4" w:space="0"/>
                    <w:left w:val="nil"/>
                    <w:bottom w:val="single" w:color="auto" w:sz="4" w:space="0"/>
                    <w:right w:val="single" w:color="auto" w:sz="4" w:space="0"/>
                  </w:tcBorders>
                  <w:shd w:val="clear" w:color="auto" w:fill="auto"/>
                  <w:vAlign w:val="center"/>
                </w:tcPr>
                <w:p w14:paraId="72F9AEE9">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b/>
                      <w:bCs/>
                      <w:color w:val="auto"/>
                    </w:rPr>
                  </w:pPr>
                  <w:r>
                    <w:rPr>
                      <w:rFonts w:hint="eastAsia" w:ascii="Times New Roman" w:hAnsi="Times New Roman" w:eastAsia="宋体" w:cs="Times New Roman"/>
                      <w:b/>
                      <w:bCs/>
                      <w:color w:val="auto"/>
                    </w:rPr>
                    <w:t>产生量t/a</w:t>
                  </w:r>
                </w:p>
              </w:tc>
              <w:tc>
                <w:tcPr>
                  <w:tcW w:w="1058" w:type="dxa"/>
                  <w:tcBorders>
                    <w:top w:val="single" w:color="auto" w:sz="4" w:space="0"/>
                    <w:left w:val="nil"/>
                    <w:bottom w:val="single" w:color="auto" w:sz="4" w:space="0"/>
                    <w:right w:val="single" w:color="auto" w:sz="4" w:space="0"/>
                  </w:tcBorders>
                  <w:shd w:val="clear" w:color="auto" w:fill="auto"/>
                  <w:vAlign w:val="center"/>
                </w:tcPr>
                <w:p w14:paraId="6FB82411">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b/>
                      <w:bCs/>
                      <w:color w:val="auto"/>
                    </w:rPr>
                  </w:pPr>
                  <w:r>
                    <w:rPr>
                      <w:rFonts w:hint="eastAsia" w:ascii="Times New Roman" w:hAnsi="Times New Roman" w:eastAsia="宋体" w:cs="Times New Roman"/>
                      <w:b/>
                      <w:bCs/>
                      <w:color w:val="auto"/>
                    </w:rPr>
                    <w:t>产生环节</w:t>
                  </w:r>
                </w:p>
              </w:tc>
              <w:tc>
                <w:tcPr>
                  <w:tcW w:w="969" w:type="dxa"/>
                  <w:tcBorders>
                    <w:top w:val="single" w:color="auto" w:sz="4" w:space="0"/>
                    <w:left w:val="nil"/>
                    <w:bottom w:val="single" w:color="auto" w:sz="4" w:space="0"/>
                    <w:right w:val="single" w:color="auto" w:sz="4" w:space="0"/>
                  </w:tcBorders>
                  <w:shd w:val="clear" w:color="auto" w:fill="auto"/>
                  <w:vAlign w:val="center"/>
                </w:tcPr>
                <w:p w14:paraId="064C9119">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b/>
                      <w:bCs/>
                      <w:color w:val="auto"/>
                    </w:rPr>
                  </w:pPr>
                  <w:r>
                    <w:rPr>
                      <w:rFonts w:hint="eastAsia" w:ascii="Times New Roman" w:hAnsi="Times New Roman" w:eastAsia="宋体" w:cs="Times New Roman"/>
                      <w:b/>
                      <w:bCs/>
                      <w:color w:val="auto"/>
                    </w:rPr>
                    <w:t>物理性状</w:t>
                  </w:r>
                </w:p>
              </w:tc>
              <w:tc>
                <w:tcPr>
                  <w:tcW w:w="982" w:type="dxa"/>
                  <w:tcBorders>
                    <w:top w:val="single" w:color="auto" w:sz="4" w:space="0"/>
                    <w:left w:val="nil"/>
                    <w:bottom w:val="single" w:color="auto" w:sz="4" w:space="0"/>
                    <w:right w:val="single" w:color="auto" w:sz="4" w:space="0"/>
                  </w:tcBorders>
                  <w:shd w:val="clear" w:color="auto" w:fill="auto"/>
                  <w:vAlign w:val="center"/>
                </w:tcPr>
                <w:p w14:paraId="4267155E">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b/>
                      <w:bCs/>
                      <w:color w:val="auto"/>
                    </w:rPr>
                  </w:pPr>
                  <w:r>
                    <w:rPr>
                      <w:rFonts w:hint="eastAsia" w:ascii="Times New Roman" w:hAnsi="Times New Roman" w:eastAsia="宋体" w:cs="Times New Roman"/>
                      <w:b/>
                      <w:bCs/>
                      <w:color w:val="auto"/>
                    </w:rPr>
                    <w:t>主要有毒有害物质</w:t>
                  </w:r>
                </w:p>
              </w:tc>
              <w:tc>
                <w:tcPr>
                  <w:tcW w:w="944" w:type="dxa"/>
                  <w:tcBorders>
                    <w:top w:val="single" w:color="auto" w:sz="4" w:space="0"/>
                    <w:left w:val="nil"/>
                    <w:bottom w:val="single" w:color="auto" w:sz="4" w:space="0"/>
                    <w:right w:val="single" w:color="auto" w:sz="4" w:space="0"/>
                  </w:tcBorders>
                  <w:shd w:val="clear" w:color="auto" w:fill="auto"/>
                  <w:vAlign w:val="center"/>
                </w:tcPr>
                <w:p w14:paraId="07AB9437">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b/>
                      <w:bCs/>
                      <w:color w:val="auto"/>
                    </w:rPr>
                  </w:pPr>
                  <w:r>
                    <w:rPr>
                      <w:rFonts w:hint="eastAsia" w:ascii="Times New Roman" w:hAnsi="Times New Roman" w:eastAsia="宋体" w:cs="Times New Roman"/>
                      <w:b/>
                      <w:bCs/>
                      <w:color w:val="auto"/>
                    </w:rPr>
                    <w:t>危险特性</w:t>
                  </w:r>
                </w:p>
              </w:tc>
            </w:tr>
            <w:tr w14:paraId="628CCC92">
              <w:tblPrEx>
                <w:tblCellMar>
                  <w:top w:w="0" w:type="dxa"/>
                  <w:left w:w="108" w:type="dxa"/>
                  <w:bottom w:w="0" w:type="dxa"/>
                  <w:right w:w="108" w:type="dxa"/>
                </w:tblCellMar>
              </w:tblPrEx>
              <w:trPr>
                <w:trHeight w:val="340" w:hRule="atLeast"/>
                <w:jc w:val="center"/>
              </w:trPr>
              <w:tc>
                <w:tcPr>
                  <w:tcW w:w="1386" w:type="dxa"/>
                  <w:tcBorders>
                    <w:top w:val="nil"/>
                    <w:left w:val="single" w:color="auto" w:sz="4" w:space="0"/>
                    <w:bottom w:val="single" w:color="auto" w:sz="4" w:space="0"/>
                    <w:right w:val="single" w:color="auto" w:sz="4" w:space="0"/>
                  </w:tcBorders>
                  <w:shd w:val="clear" w:color="auto" w:fill="auto"/>
                  <w:vAlign w:val="center"/>
                </w:tcPr>
                <w:p w14:paraId="292AF5D2">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kern w:val="2"/>
                      <w:sz w:val="21"/>
                      <w:szCs w:val="21"/>
                      <w:lang w:val="en-US" w:eastAsia="zh-CN" w:bidi="ar-SA"/>
                    </w:rPr>
                  </w:pPr>
                  <w:r>
                    <w:rPr>
                      <w:rFonts w:hint="eastAsia"/>
                      <w:color w:val="FF0000"/>
                    </w:rPr>
                    <w:t>废</w:t>
                  </w:r>
                  <w:r>
                    <w:rPr>
                      <w:rFonts w:hint="eastAsia"/>
                      <w:color w:val="FF0000"/>
                      <w:lang w:val="en-US" w:eastAsia="zh-CN"/>
                    </w:rPr>
                    <w:t>锡膏包装罐</w:t>
                  </w:r>
                </w:p>
              </w:tc>
              <w:tc>
                <w:tcPr>
                  <w:tcW w:w="957" w:type="dxa"/>
                  <w:tcBorders>
                    <w:top w:val="nil"/>
                    <w:left w:val="nil"/>
                    <w:bottom w:val="single" w:color="auto" w:sz="4" w:space="0"/>
                    <w:right w:val="single" w:color="auto" w:sz="4" w:space="0"/>
                  </w:tcBorders>
                  <w:shd w:val="clear" w:color="auto" w:fill="auto"/>
                  <w:vAlign w:val="center"/>
                </w:tcPr>
                <w:p w14:paraId="70253142">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FF0000"/>
                      <w:lang w:val="en-US" w:eastAsia="zh-CN"/>
                    </w:rPr>
                  </w:pPr>
                  <w:r>
                    <w:rPr>
                      <w:rFonts w:hint="eastAsia" w:ascii="Times New Roman" w:hAnsi="Times New Roman" w:eastAsia="宋体" w:cs="Times New Roman"/>
                      <w:color w:val="FF0000"/>
                      <w:lang w:val="en-US" w:eastAsia="zh-CN"/>
                    </w:rPr>
                    <w:t>HW49</w:t>
                  </w:r>
                </w:p>
              </w:tc>
              <w:tc>
                <w:tcPr>
                  <w:tcW w:w="944" w:type="dxa"/>
                  <w:tcBorders>
                    <w:top w:val="nil"/>
                    <w:left w:val="nil"/>
                    <w:bottom w:val="single" w:color="auto" w:sz="4" w:space="0"/>
                    <w:right w:val="single" w:color="auto" w:sz="4" w:space="0"/>
                  </w:tcBorders>
                  <w:shd w:val="clear" w:color="auto" w:fill="auto"/>
                  <w:vAlign w:val="center"/>
                </w:tcPr>
                <w:p w14:paraId="5DDFA51D">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lang w:val="en-US" w:eastAsia="zh-CN"/>
                    </w:rPr>
                  </w:pPr>
                  <w:r>
                    <w:rPr>
                      <w:rFonts w:hint="eastAsia" w:ascii="Times New Roman" w:hAnsi="Times New Roman" w:eastAsia="宋体" w:cs="Times New Roman"/>
                      <w:color w:val="FF0000"/>
                      <w:lang w:val="en-US" w:eastAsia="zh-CN"/>
                    </w:rPr>
                    <w:t>900-041-49</w:t>
                  </w:r>
                </w:p>
              </w:tc>
              <w:tc>
                <w:tcPr>
                  <w:tcW w:w="982" w:type="dxa"/>
                  <w:tcBorders>
                    <w:top w:val="nil"/>
                    <w:left w:val="nil"/>
                    <w:bottom w:val="single" w:color="auto" w:sz="4" w:space="0"/>
                    <w:right w:val="single" w:color="auto" w:sz="4" w:space="0"/>
                  </w:tcBorders>
                  <w:shd w:val="clear" w:color="auto" w:fill="auto"/>
                  <w:vAlign w:val="center"/>
                </w:tcPr>
                <w:p w14:paraId="67CE385A">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FF0000"/>
                      <w:kern w:val="2"/>
                      <w:sz w:val="21"/>
                      <w:szCs w:val="21"/>
                      <w:lang w:val="en-US" w:eastAsia="zh-CN" w:bidi="ar-SA"/>
                    </w:rPr>
                  </w:pPr>
                  <w:r>
                    <w:rPr>
                      <w:rFonts w:hint="eastAsia"/>
                      <w:color w:val="FF0000"/>
                      <w:szCs w:val="21"/>
                      <w:lang w:val="en-US" w:eastAsia="zh-CN"/>
                    </w:rPr>
                    <w:t>1.722</w:t>
                  </w:r>
                </w:p>
              </w:tc>
              <w:tc>
                <w:tcPr>
                  <w:tcW w:w="1058" w:type="dxa"/>
                  <w:tcBorders>
                    <w:top w:val="nil"/>
                    <w:left w:val="single" w:color="auto" w:sz="4" w:space="0"/>
                    <w:bottom w:val="single" w:color="auto" w:sz="4" w:space="0"/>
                    <w:right w:val="single" w:color="auto" w:sz="4" w:space="0"/>
                  </w:tcBorders>
                  <w:shd w:val="clear" w:color="auto" w:fill="auto"/>
                  <w:vAlign w:val="center"/>
                </w:tcPr>
                <w:p w14:paraId="6D54C755">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FF0000"/>
                      <w:lang w:val="en-US" w:eastAsia="zh-CN"/>
                    </w:rPr>
                  </w:pPr>
                  <w:r>
                    <w:rPr>
                      <w:rFonts w:hint="eastAsia" w:ascii="Times New Roman" w:hAnsi="Times New Roman" w:eastAsia="宋体" w:cs="Times New Roman"/>
                      <w:color w:val="FF0000"/>
                      <w:lang w:val="en-US" w:eastAsia="zh-CN"/>
                    </w:rPr>
                    <w:t>原料使用</w:t>
                  </w:r>
                </w:p>
              </w:tc>
              <w:tc>
                <w:tcPr>
                  <w:tcW w:w="969" w:type="dxa"/>
                  <w:tcBorders>
                    <w:top w:val="nil"/>
                    <w:left w:val="nil"/>
                    <w:bottom w:val="single" w:color="auto" w:sz="4" w:space="0"/>
                    <w:right w:val="single" w:color="auto" w:sz="4" w:space="0"/>
                  </w:tcBorders>
                  <w:shd w:val="clear" w:color="auto" w:fill="auto"/>
                  <w:vAlign w:val="center"/>
                </w:tcPr>
                <w:p w14:paraId="687004A2">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lang w:eastAsia="zh-CN"/>
                    </w:rPr>
                  </w:pPr>
                  <w:r>
                    <w:rPr>
                      <w:rFonts w:hint="eastAsia" w:ascii="Times New Roman" w:hAnsi="Times New Roman" w:eastAsia="宋体" w:cs="Times New Roman"/>
                      <w:color w:val="FF0000"/>
                      <w:lang w:val="en-US" w:eastAsia="zh-CN"/>
                    </w:rPr>
                    <w:t>固</w:t>
                  </w:r>
                </w:p>
              </w:tc>
              <w:tc>
                <w:tcPr>
                  <w:tcW w:w="982" w:type="dxa"/>
                  <w:tcBorders>
                    <w:top w:val="nil"/>
                    <w:left w:val="nil"/>
                    <w:bottom w:val="single" w:color="auto" w:sz="4" w:space="0"/>
                    <w:right w:val="single" w:color="auto" w:sz="4" w:space="0"/>
                  </w:tcBorders>
                  <w:shd w:val="clear" w:color="auto" w:fill="auto"/>
                  <w:vAlign w:val="center"/>
                </w:tcPr>
                <w:p w14:paraId="2C6EA554">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lang w:val="en-US" w:eastAsia="zh-CN"/>
                    </w:rPr>
                  </w:pPr>
                  <w:r>
                    <w:rPr>
                      <w:rFonts w:hint="eastAsia" w:ascii="Times New Roman" w:hAnsi="Times New Roman" w:eastAsia="宋体" w:cs="Times New Roman"/>
                      <w:color w:val="FF0000"/>
                      <w:lang w:val="en-US" w:eastAsia="zh-CN"/>
                    </w:rPr>
                    <w:t>有机物</w:t>
                  </w:r>
                </w:p>
              </w:tc>
              <w:tc>
                <w:tcPr>
                  <w:tcW w:w="944" w:type="dxa"/>
                  <w:tcBorders>
                    <w:top w:val="nil"/>
                    <w:left w:val="nil"/>
                    <w:bottom w:val="single" w:color="auto" w:sz="4" w:space="0"/>
                    <w:right w:val="single" w:color="auto" w:sz="4" w:space="0"/>
                  </w:tcBorders>
                  <w:shd w:val="clear" w:color="auto" w:fill="auto"/>
                  <w:vAlign w:val="center"/>
                </w:tcPr>
                <w:p w14:paraId="2BC93F44">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rPr>
                  </w:pPr>
                  <w:r>
                    <w:rPr>
                      <w:rFonts w:hint="eastAsia" w:ascii="Times New Roman" w:hAnsi="Times New Roman" w:eastAsia="宋体" w:cs="Times New Roman"/>
                      <w:color w:val="FF0000"/>
                    </w:rPr>
                    <w:t>T/In</w:t>
                  </w:r>
                </w:p>
              </w:tc>
            </w:tr>
            <w:tr w14:paraId="1935BB82">
              <w:tblPrEx>
                <w:tblCellMar>
                  <w:top w:w="0" w:type="dxa"/>
                  <w:left w:w="108" w:type="dxa"/>
                  <w:bottom w:w="0" w:type="dxa"/>
                  <w:right w:w="108" w:type="dxa"/>
                </w:tblCellMar>
              </w:tblPrEx>
              <w:trPr>
                <w:trHeight w:val="340" w:hRule="atLeast"/>
                <w:jc w:val="center"/>
              </w:trPr>
              <w:tc>
                <w:tcPr>
                  <w:tcW w:w="1386" w:type="dxa"/>
                  <w:tcBorders>
                    <w:top w:val="nil"/>
                    <w:left w:val="single" w:color="auto" w:sz="4" w:space="0"/>
                    <w:bottom w:val="single" w:color="auto" w:sz="4" w:space="0"/>
                    <w:right w:val="single" w:color="auto" w:sz="4" w:space="0"/>
                  </w:tcBorders>
                  <w:shd w:val="clear" w:color="auto" w:fill="auto"/>
                  <w:vAlign w:val="center"/>
                </w:tcPr>
                <w:p w14:paraId="30E810EA">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kern w:val="2"/>
                      <w:sz w:val="21"/>
                      <w:szCs w:val="24"/>
                      <w:lang w:val="en-US" w:eastAsia="zh-CN" w:bidi="ar-SA"/>
                    </w:rPr>
                  </w:pPr>
                  <w:r>
                    <w:rPr>
                      <w:rFonts w:hint="eastAsia"/>
                      <w:color w:val="FF0000"/>
                      <w:lang w:val="en-US" w:eastAsia="zh-CN"/>
                    </w:rPr>
                    <w:t>废酒精桶</w:t>
                  </w:r>
                </w:p>
              </w:tc>
              <w:tc>
                <w:tcPr>
                  <w:tcW w:w="957" w:type="dxa"/>
                  <w:tcBorders>
                    <w:top w:val="nil"/>
                    <w:left w:val="nil"/>
                    <w:bottom w:val="single" w:color="auto" w:sz="4" w:space="0"/>
                    <w:right w:val="single" w:color="auto" w:sz="4" w:space="0"/>
                  </w:tcBorders>
                  <w:shd w:val="clear" w:color="auto" w:fill="auto"/>
                  <w:vAlign w:val="center"/>
                </w:tcPr>
                <w:p w14:paraId="5678B956">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kern w:val="2"/>
                      <w:sz w:val="21"/>
                      <w:szCs w:val="24"/>
                      <w:lang w:val="en-US" w:eastAsia="zh-CN" w:bidi="ar-SA"/>
                    </w:rPr>
                  </w:pPr>
                  <w:r>
                    <w:rPr>
                      <w:rFonts w:hint="eastAsia" w:ascii="Times New Roman" w:hAnsi="Times New Roman" w:eastAsia="宋体" w:cs="Times New Roman"/>
                      <w:color w:val="FF0000"/>
                      <w:lang w:val="en-US" w:eastAsia="zh-CN"/>
                    </w:rPr>
                    <w:t>HW49</w:t>
                  </w:r>
                </w:p>
              </w:tc>
              <w:tc>
                <w:tcPr>
                  <w:tcW w:w="944" w:type="dxa"/>
                  <w:tcBorders>
                    <w:top w:val="nil"/>
                    <w:left w:val="nil"/>
                    <w:bottom w:val="single" w:color="auto" w:sz="4" w:space="0"/>
                    <w:right w:val="single" w:color="auto" w:sz="4" w:space="0"/>
                  </w:tcBorders>
                  <w:shd w:val="clear" w:color="auto" w:fill="auto"/>
                  <w:vAlign w:val="center"/>
                </w:tcPr>
                <w:p w14:paraId="5D9D81E6">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kern w:val="2"/>
                      <w:sz w:val="21"/>
                      <w:szCs w:val="24"/>
                      <w:lang w:val="en-US" w:eastAsia="zh-CN" w:bidi="ar-SA"/>
                    </w:rPr>
                  </w:pPr>
                  <w:r>
                    <w:rPr>
                      <w:rFonts w:hint="eastAsia" w:ascii="Times New Roman" w:hAnsi="Times New Roman" w:eastAsia="宋体" w:cs="Times New Roman"/>
                      <w:color w:val="FF0000"/>
                      <w:lang w:val="en-US" w:eastAsia="zh-CN"/>
                    </w:rPr>
                    <w:t>900-041-49</w:t>
                  </w:r>
                </w:p>
              </w:tc>
              <w:tc>
                <w:tcPr>
                  <w:tcW w:w="982" w:type="dxa"/>
                  <w:tcBorders>
                    <w:top w:val="nil"/>
                    <w:left w:val="nil"/>
                    <w:bottom w:val="single" w:color="auto" w:sz="4" w:space="0"/>
                    <w:right w:val="single" w:color="auto" w:sz="4" w:space="0"/>
                  </w:tcBorders>
                  <w:shd w:val="clear" w:color="auto" w:fill="auto"/>
                  <w:vAlign w:val="center"/>
                </w:tcPr>
                <w:p w14:paraId="11586862">
                  <w:pPr>
                    <w:keepNext w:val="0"/>
                    <w:keepLines w:val="0"/>
                    <w:suppressLineNumbers w:val="0"/>
                    <w:adjustRightInd w:val="0"/>
                    <w:snapToGrid w:val="0"/>
                    <w:spacing w:before="0" w:beforeAutospacing="0" w:after="0" w:afterAutospacing="0"/>
                    <w:ind w:left="0" w:leftChars="0" w:right="0" w:rightChars="0"/>
                    <w:jc w:val="center"/>
                    <w:rPr>
                      <w:rFonts w:hint="default" w:eastAsia="宋体"/>
                      <w:color w:val="FF0000"/>
                      <w:szCs w:val="21"/>
                      <w:lang w:val="en-US" w:eastAsia="zh-CN"/>
                    </w:rPr>
                  </w:pPr>
                  <w:r>
                    <w:rPr>
                      <w:rFonts w:hint="eastAsia"/>
                      <w:color w:val="FF0000"/>
                      <w:szCs w:val="21"/>
                      <w:lang w:val="en-US" w:eastAsia="zh-CN"/>
                    </w:rPr>
                    <w:t>0.025</w:t>
                  </w:r>
                </w:p>
              </w:tc>
              <w:tc>
                <w:tcPr>
                  <w:tcW w:w="1058" w:type="dxa"/>
                  <w:tcBorders>
                    <w:top w:val="nil"/>
                    <w:left w:val="single" w:color="auto" w:sz="4" w:space="0"/>
                    <w:bottom w:val="single" w:color="auto" w:sz="4" w:space="0"/>
                    <w:right w:val="single" w:color="auto" w:sz="4" w:space="0"/>
                  </w:tcBorders>
                  <w:shd w:val="clear" w:color="auto" w:fill="auto"/>
                  <w:vAlign w:val="center"/>
                </w:tcPr>
                <w:p w14:paraId="7EC8C679">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kern w:val="2"/>
                      <w:sz w:val="21"/>
                      <w:szCs w:val="24"/>
                      <w:lang w:val="en-US" w:eastAsia="zh-CN" w:bidi="ar-SA"/>
                    </w:rPr>
                  </w:pPr>
                  <w:r>
                    <w:rPr>
                      <w:rFonts w:hint="eastAsia" w:ascii="Times New Roman" w:hAnsi="Times New Roman" w:eastAsia="宋体" w:cs="Times New Roman"/>
                      <w:color w:val="FF0000"/>
                      <w:lang w:val="en-US" w:eastAsia="zh-CN"/>
                    </w:rPr>
                    <w:t>原料使用</w:t>
                  </w:r>
                </w:p>
              </w:tc>
              <w:tc>
                <w:tcPr>
                  <w:tcW w:w="969" w:type="dxa"/>
                  <w:tcBorders>
                    <w:top w:val="nil"/>
                    <w:left w:val="nil"/>
                    <w:bottom w:val="single" w:color="auto" w:sz="4" w:space="0"/>
                    <w:right w:val="single" w:color="auto" w:sz="4" w:space="0"/>
                  </w:tcBorders>
                  <w:shd w:val="clear" w:color="auto" w:fill="auto"/>
                  <w:vAlign w:val="center"/>
                </w:tcPr>
                <w:p w14:paraId="13F8B30B">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kern w:val="2"/>
                      <w:sz w:val="21"/>
                      <w:szCs w:val="24"/>
                      <w:lang w:val="en-US" w:eastAsia="zh-CN" w:bidi="ar-SA"/>
                    </w:rPr>
                  </w:pPr>
                  <w:r>
                    <w:rPr>
                      <w:rFonts w:hint="eastAsia" w:ascii="Times New Roman" w:hAnsi="Times New Roman" w:eastAsia="宋体" w:cs="Times New Roman"/>
                      <w:color w:val="FF0000"/>
                      <w:lang w:val="en-US" w:eastAsia="zh-CN"/>
                    </w:rPr>
                    <w:t>固</w:t>
                  </w:r>
                </w:p>
              </w:tc>
              <w:tc>
                <w:tcPr>
                  <w:tcW w:w="982" w:type="dxa"/>
                  <w:tcBorders>
                    <w:top w:val="nil"/>
                    <w:left w:val="nil"/>
                    <w:bottom w:val="single" w:color="auto" w:sz="4" w:space="0"/>
                    <w:right w:val="single" w:color="auto" w:sz="4" w:space="0"/>
                  </w:tcBorders>
                  <w:shd w:val="clear" w:color="auto" w:fill="auto"/>
                  <w:vAlign w:val="center"/>
                </w:tcPr>
                <w:p w14:paraId="0964D2FE">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kern w:val="2"/>
                      <w:sz w:val="21"/>
                      <w:szCs w:val="24"/>
                      <w:lang w:val="en-US" w:eastAsia="zh-CN" w:bidi="ar-SA"/>
                    </w:rPr>
                  </w:pPr>
                  <w:r>
                    <w:rPr>
                      <w:rFonts w:hint="eastAsia" w:ascii="Times New Roman" w:hAnsi="Times New Roman" w:eastAsia="宋体" w:cs="Times New Roman"/>
                      <w:color w:val="FF0000"/>
                      <w:lang w:val="en-US" w:eastAsia="zh-CN"/>
                    </w:rPr>
                    <w:t>有机物</w:t>
                  </w:r>
                </w:p>
              </w:tc>
              <w:tc>
                <w:tcPr>
                  <w:tcW w:w="944" w:type="dxa"/>
                  <w:tcBorders>
                    <w:top w:val="nil"/>
                    <w:left w:val="nil"/>
                    <w:bottom w:val="single" w:color="auto" w:sz="4" w:space="0"/>
                    <w:right w:val="single" w:color="auto" w:sz="4" w:space="0"/>
                  </w:tcBorders>
                  <w:shd w:val="clear" w:color="auto" w:fill="auto"/>
                  <w:vAlign w:val="center"/>
                </w:tcPr>
                <w:p w14:paraId="011D8F21">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kern w:val="2"/>
                      <w:sz w:val="21"/>
                      <w:szCs w:val="24"/>
                      <w:lang w:val="en-US" w:eastAsia="zh-CN" w:bidi="ar-SA"/>
                    </w:rPr>
                  </w:pPr>
                  <w:r>
                    <w:rPr>
                      <w:rFonts w:hint="eastAsia" w:ascii="Times New Roman" w:hAnsi="Times New Roman" w:eastAsia="宋体" w:cs="Times New Roman"/>
                      <w:color w:val="FF0000"/>
                    </w:rPr>
                    <w:t>T/In</w:t>
                  </w:r>
                </w:p>
              </w:tc>
            </w:tr>
            <w:tr w14:paraId="340D7D9F">
              <w:tblPrEx>
                <w:tblCellMar>
                  <w:top w:w="0" w:type="dxa"/>
                  <w:left w:w="108" w:type="dxa"/>
                  <w:bottom w:w="0" w:type="dxa"/>
                  <w:right w:w="108" w:type="dxa"/>
                </w:tblCellMar>
              </w:tblPrEx>
              <w:trPr>
                <w:trHeight w:val="340" w:hRule="atLeast"/>
                <w:jc w:val="center"/>
              </w:trPr>
              <w:tc>
                <w:tcPr>
                  <w:tcW w:w="1386" w:type="dxa"/>
                  <w:tcBorders>
                    <w:top w:val="nil"/>
                    <w:left w:val="single" w:color="auto" w:sz="4" w:space="0"/>
                    <w:bottom w:val="single" w:color="auto" w:sz="4" w:space="0"/>
                    <w:right w:val="single" w:color="auto" w:sz="4" w:space="0"/>
                  </w:tcBorders>
                  <w:shd w:val="clear" w:color="auto" w:fill="auto"/>
                  <w:vAlign w:val="center"/>
                </w:tcPr>
                <w:p w14:paraId="3744D533">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kern w:val="2"/>
                      <w:sz w:val="21"/>
                      <w:szCs w:val="24"/>
                      <w:lang w:val="en-US" w:eastAsia="zh-CN" w:bidi="ar-SA"/>
                    </w:rPr>
                  </w:pPr>
                  <w:r>
                    <w:rPr>
                      <w:rFonts w:hint="eastAsia"/>
                      <w:color w:val="FF0000"/>
                      <w:lang w:val="en-US" w:eastAsia="zh-CN"/>
                    </w:rPr>
                    <w:t>废硅胶桶</w:t>
                  </w:r>
                </w:p>
              </w:tc>
              <w:tc>
                <w:tcPr>
                  <w:tcW w:w="957" w:type="dxa"/>
                  <w:tcBorders>
                    <w:top w:val="nil"/>
                    <w:left w:val="nil"/>
                    <w:bottom w:val="single" w:color="auto" w:sz="4" w:space="0"/>
                    <w:right w:val="single" w:color="auto" w:sz="4" w:space="0"/>
                  </w:tcBorders>
                  <w:shd w:val="clear" w:color="auto" w:fill="auto"/>
                  <w:vAlign w:val="center"/>
                </w:tcPr>
                <w:p w14:paraId="2DD8175F">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kern w:val="2"/>
                      <w:sz w:val="21"/>
                      <w:szCs w:val="24"/>
                      <w:lang w:val="en-US" w:eastAsia="zh-CN" w:bidi="ar-SA"/>
                    </w:rPr>
                  </w:pPr>
                  <w:r>
                    <w:rPr>
                      <w:rFonts w:hint="eastAsia" w:ascii="Times New Roman" w:hAnsi="Times New Roman" w:eastAsia="宋体" w:cs="Times New Roman"/>
                      <w:color w:val="FF0000"/>
                      <w:lang w:val="en-US" w:eastAsia="zh-CN"/>
                    </w:rPr>
                    <w:t>HW49</w:t>
                  </w:r>
                </w:p>
              </w:tc>
              <w:tc>
                <w:tcPr>
                  <w:tcW w:w="944" w:type="dxa"/>
                  <w:tcBorders>
                    <w:top w:val="nil"/>
                    <w:left w:val="nil"/>
                    <w:bottom w:val="single" w:color="auto" w:sz="4" w:space="0"/>
                    <w:right w:val="single" w:color="auto" w:sz="4" w:space="0"/>
                  </w:tcBorders>
                  <w:shd w:val="clear" w:color="auto" w:fill="auto"/>
                  <w:vAlign w:val="center"/>
                </w:tcPr>
                <w:p w14:paraId="72882EEB">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kern w:val="2"/>
                      <w:sz w:val="21"/>
                      <w:szCs w:val="24"/>
                      <w:lang w:val="en-US" w:eastAsia="zh-CN" w:bidi="ar-SA"/>
                    </w:rPr>
                  </w:pPr>
                  <w:r>
                    <w:rPr>
                      <w:rFonts w:hint="eastAsia" w:ascii="Times New Roman" w:hAnsi="Times New Roman" w:eastAsia="宋体" w:cs="Times New Roman"/>
                      <w:color w:val="FF0000"/>
                      <w:lang w:val="en-US" w:eastAsia="zh-CN"/>
                    </w:rPr>
                    <w:t>900-041-49</w:t>
                  </w:r>
                </w:p>
              </w:tc>
              <w:tc>
                <w:tcPr>
                  <w:tcW w:w="982" w:type="dxa"/>
                  <w:tcBorders>
                    <w:top w:val="nil"/>
                    <w:left w:val="nil"/>
                    <w:bottom w:val="single" w:color="auto" w:sz="4" w:space="0"/>
                    <w:right w:val="single" w:color="auto" w:sz="4" w:space="0"/>
                  </w:tcBorders>
                  <w:shd w:val="clear" w:color="auto" w:fill="auto"/>
                  <w:vAlign w:val="center"/>
                </w:tcPr>
                <w:p w14:paraId="01ED4745">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kern w:val="2"/>
                      <w:sz w:val="21"/>
                      <w:szCs w:val="21"/>
                      <w:lang w:val="en-US" w:eastAsia="zh-CN" w:bidi="ar-SA"/>
                    </w:rPr>
                  </w:pPr>
                  <w:r>
                    <w:rPr>
                      <w:rFonts w:hint="eastAsia"/>
                      <w:color w:val="FF0000"/>
                      <w:szCs w:val="21"/>
                      <w:lang w:val="en-US" w:eastAsia="zh-CN"/>
                    </w:rPr>
                    <w:t>3</w:t>
                  </w:r>
                </w:p>
              </w:tc>
              <w:tc>
                <w:tcPr>
                  <w:tcW w:w="1058" w:type="dxa"/>
                  <w:tcBorders>
                    <w:top w:val="nil"/>
                    <w:left w:val="single" w:color="auto" w:sz="4" w:space="0"/>
                    <w:bottom w:val="single" w:color="auto" w:sz="4" w:space="0"/>
                    <w:right w:val="single" w:color="auto" w:sz="4" w:space="0"/>
                  </w:tcBorders>
                  <w:shd w:val="clear" w:color="auto" w:fill="auto"/>
                  <w:vAlign w:val="center"/>
                </w:tcPr>
                <w:p w14:paraId="68C071B7">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kern w:val="2"/>
                      <w:sz w:val="21"/>
                      <w:szCs w:val="24"/>
                      <w:lang w:val="en-US" w:eastAsia="zh-CN" w:bidi="ar-SA"/>
                    </w:rPr>
                  </w:pPr>
                  <w:r>
                    <w:rPr>
                      <w:rFonts w:hint="eastAsia" w:ascii="Times New Roman" w:hAnsi="Times New Roman" w:eastAsia="宋体" w:cs="Times New Roman"/>
                      <w:color w:val="FF0000"/>
                      <w:lang w:val="en-US" w:eastAsia="zh-CN"/>
                    </w:rPr>
                    <w:t>原料使用</w:t>
                  </w:r>
                </w:p>
              </w:tc>
              <w:tc>
                <w:tcPr>
                  <w:tcW w:w="969" w:type="dxa"/>
                  <w:tcBorders>
                    <w:top w:val="nil"/>
                    <w:left w:val="nil"/>
                    <w:bottom w:val="single" w:color="auto" w:sz="4" w:space="0"/>
                    <w:right w:val="single" w:color="auto" w:sz="4" w:space="0"/>
                  </w:tcBorders>
                  <w:shd w:val="clear" w:color="auto" w:fill="auto"/>
                  <w:vAlign w:val="center"/>
                </w:tcPr>
                <w:p w14:paraId="6CEBB59A">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kern w:val="2"/>
                      <w:sz w:val="21"/>
                      <w:szCs w:val="24"/>
                      <w:lang w:val="en-US" w:eastAsia="zh-CN" w:bidi="ar-SA"/>
                    </w:rPr>
                  </w:pPr>
                  <w:r>
                    <w:rPr>
                      <w:rFonts w:hint="eastAsia" w:ascii="Times New Roman" w:hAnsi="Times New Roman" w:eastAsia="宋体" w:cs="Times New Roman"/>
                      <w:color w:val="FF0000"/>
                      <w:lang w:val="en-US" w:eastAsia="zh-CN"/>
                    </w:rPr>
                    <w:t>固</w:t>
                  </w:r>
                </w:p>
              </w:tc>
              <w:tc>
                <w:tcPr>
                  <w:tcW w:w="982" w:type="dxa"/>
                  <w:tcBorders>
                    <w:top w:val="nil"/>
                    <w:left w:val="nil"/>
                    <w:bottom w:val="single" w:color="auto" w:sz="4" w:space="0"/>
                    <w:right w:val="single" w:color="auto" w:sz="4" w:space="0"/>
                  </w:tcBorders>
                  <w:shd w:val="clear" w:color="auto" w:fill="auto"/>
                  <w:vAlign w:val="center"/>
                </w:tcPr>
                <w:p w14:paraId="5C938128">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kern w:val="2"/>
                      <w:sz w:val="21"/>
                      <w:szCs w:val="24"/>
                      <w:lang w:val="en-US" w:eastAsia="zh-CN" w:bidi="ar-SA"/>
                    </w:rPr>
                  </w:pPr>
                  <w:r>
                    <w:rPr>
                      <w:rFonts w:hint="eastAsia" w:ascii="Times New Roman" w:hAnsi="Times New Roman" w:eastAsia="宋体" w:cs="Times New Roman"/>
                      <w:color w:val="FF0000"/>
                      <w:lang w:val="en-US" w:eastAsia="zh-CN"/>
                    </w:rPr>
                    <w:t>有机物</w:t>
                  </w:r>
                </w:p>
              </w:tc>
              <w:tc>
                <w:tcPr>
                  <w:tcW w:w="944" w:type="dxa"/>
                  <w:tcBorders>
                    <w:top w:val="nil"/>
                    <w:left w:val="nil"/>
                    <w:bottom w:val="single" w:color="auto" w:sz="4" w:space="0"/>
                    <w:right w:val="single" w:color="auto" w:sz="4" w:space="0"/>
                  </w:tcBorders>
                  <w:shd w:val="clear" w:color="auto" w:fill="auto"/>
                  <w:vAlign w:val="center"/>
                </w:tcPr>
                <w:p w14:paraId="6E5E4EA2">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kern w:val="2"/>
                      <w:sz w:val="21"/>
                      <w:szCs w:val="24"/>
                      <w:lang w:val="en-US" w:eastAsia="zh-CN" w:bidi="ar-SA"/>
                    </w:rPr>
                  </w:pPr>
                  <w:r>
                    <w:rPr>
                      <w:rFonts w:hint="eastAsia" w:ascii="Times New Roman" w:hAnsi="Times New Roman" w:eastAsia="宋体" w:cs="Times New Roman"/>
                      <w:color w:val="FF0000"/>
                    </w:rPr>
                    <w:t>T/In</w:t>
                  </w:r>
                </w:p>
              </w:tc>
            </w:tr>
            <w:tr w14:paraId="2F0E1F9B">
              <w:tblPrEx>
                <w:tblCellMar>
                  <w:top w:w="0" w:type="dxa"/>
                  <w:left w:w="108" w:type="dxa"/>
                  <w:bottom w:w="0" w:type="dxa"/>
                  <w:right w:w="108" w:type="dxa"/>
                </w:tblCellMar>
              </w:tblPrEx>
              <w:trPr>
                <w:trHeight w:val="340" w:hRule="atLeast"/>
                <w:jc w:val="center"/>
              </w:trPr>
              <w:tc>
                <w:tcPr>
                  <w:tcW w:w="1386" w:type="dxa"/>
                  <w:tcBorders>
                    <w:top w:val="nil"/>
                    <w:left w:val="single" w:color="auto" w:sz="4" w:space="0"/>
                    <w:bottom w:val="single" w:color="auto" w:sz="4" w:space="0"/>
                    <w:right w:val="single" w:color="auto" w:sz="4" w:space="0"/>
                  </w:tcBorders>
                  <w:shd w:val="clear" w:color="auto" w:fill="auto"/>
                  <w:vAlign w:val="center"/>
                </w:tcPr>
                <w:p w14:paraId="4E90F812">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rPr>
                    <w:t>废擦拭</w:t>
                  </w:r>
                  <w:r>
                    <w:rPr>
                      <w:rFonts w:hint="eastAsia" w:ascii="Times New Roman" w:hAnsi="Times New Roman" w:eastAsia="宋体" w:cs="Times New Roman"/>
                      <w:color w:val="auto"/>
                      <w:lang w:val="en-US" w:eastAsia="zh-CN"/>
                    </w:rPr>
                    <w:t>纸</w:t>
                  </w:r>
                </w:p>
              </w:tc>
              <w:tc>
                <w:tcPr>
                  <w:tcW w:w="957" w:type="dxa"/>
                  <w:tcBorders>
                    <w:top w:val="nil"/>
                    <w:left w:val="nil"/>
                    <w:bottom w:val="single" w:color="auto" w:sz="4" w:space="0"/>
                    <w:right w:val="single" w:color="auto" w:sz="4" w:space="0"/>
                  </w:tcBorders>
                  <w:shd w:val="clear" w:color="auto" w:fill="auto"/>
                  <w:vAlign w:val="center"/>
                </w:tcPr>
                <w:p w14:paraId="2A89AE1F">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HW49</w:t>
                  </w:r>
                </w:p>
              </w:tc>
              <w:tc>
                <w:tcPr>
                  <w:tcW w:w="944" w:type="dxa"/>
                  <w:tcBorders>
                    <w:top w:val="nil"/>
                    <w:left w:val="nil"/>
                    <w:bottom w:val="single" w:color="auto" w:sz="4" w:space="0"/>
                    <w:right w:val="single" w:color="auto" w:sz="4" w:space="0"/>
                  </w:tcBorders>
                  <w:shd w:val="clear" w:color="auto" w:fill="auto"/>
                  <w:vAlign w:val="center"/>
                </w:tcPr>
                <w:p w14:paraId="7EE99E18">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900-041-49</w:t>
                  </w:r>
                </w:p>
              </w:tc>
              <w:tc>
                <w:tcPr>
                  <w:tcW w:w="982" w:type="dxa"/>
                  <w:tcBorders>
                    <w:top w:val="nil"/>
                    <w:left w:val="nil"/>
                    <w:bottom w:val="single" w:color="auto" w:sz="4" w:space="0"/>
                    <w:right w:val="single" w:color="auto" w:sz="4" w:space="0"/>
                  </w:tcBorders>
                  <w:shd w:val="clear" w:color="auto" w:fill="auto"/>
                  <w:vAlign w:val="center"/>
                </w:tcPr>
                <w:p w14:paraId="6362FFD2">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rPr>
                    <w:t>0.</w:t>
                  </w:r>
                  <w:r>
                    <w:rPr>
                      <w:rFonts w:hint="eastAsia"/>
                      <w:color w:val="auto"/>
                      <w:szCs w:val="21"/>
                      <w:lang w:val="en-US" w:eastAsia="zh-CN"/>
                    </w:rPr>
                    <w:t>01</w:t>
                  </w:r>
                </w:p>
              </w:tc>
              <w:tc>
                <w:tcPr>
                  <w:tcW w:w="1058" w:type="dxa"/>
                  <w:tcBorders>
                    <w:top w:val="nil"/>
                    <w:left w:val="single" w:color="auto" w:sz="4" w:space="0"/>
                    <w:bottom w:val="single" w:color="auto" w:sz="4" w:space="0"/>
                    <w:right w:val="single" w:color="auto" w:sz="4" w:space="0"/>
                  </w:tcBorders>
                  <w:vAlign w:val="center"/>
                </w:tcPr>
                <w:p w14:paraId="67FCF3ED">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擦拭</w:t>
                  </w:r>
                </w:p>
              </w:tc>
              <w:tc>
                <w:tcPr>
                  <w:tcW w:w="969" w:type="dxa"/>
                  <w:tcBorders>
                    <w:top w:val="nil"/>
                    <w:left w:val="nil"/>
                    <w:bottom w:val="single" w:color="auto" w:sz="4" w:space="0"/>
                    <w:right w:val="single" w:color="auto" w:sz="4" w:space="0"/>
                  </w:tcBorders>
                  <w:shd w:val="clear" w:color="auto" w:fill="auto"/>
                  <w:vAlign w:val="center"/>
                </w:tcPr>
                <w:p w14:paraId="6E26C6BA">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rPr>
                  </w:pPr>
                  <w:r>
                    <w:rPr>
                      <w:rFonts w:hint="eastAsia" w:ascii="Times New Roman" w:hAnsi="Times New Roman" w:eastAsia="宋体" w:cs="Times New Roman"/>
                      <w:color w:val="auto"/>
                    </w:rPr>
                    <w:t>固</w:t>
                  </w:r>
                </w:p>
              </w:tc>
              <w:tc>
                <w:tcPr>
                  <w:tcW w:w="982" w:type="dxa"/>
                  <w:tcBorders>
                    <w:top w:val="nil"/>
                    <w:left w:val="nil"/>
                    <w:bottom w:val="single" w:color="auto" w:sz="4" w:space="0"/>
                    <w:right w:val="single" w:color="auto" w:sz="4" w:space="0"/>
                  </w:tcBorders>
                  <w:shd w:val="clear" w:color="auto" w:fill="auto"/>
                  <w:vAlign w:val="center"/>
                </w:tcPr>
                <w:p w14:paraId="60A2C288">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有机物</w:t>
                  </w:r>
                </w:p>
              </w:tc>
              <w:tc>
                <w:tcPr>
                  <w:tcW w:w="944" w:type="dxa"/>
                  <w:tcBorders>
                    <w:top w:val="nil"/>
                    <w:left w:val="nil"/>
                    <w:bottom w:val="single" w:color="auto" w:sz="4" w:space="0"/>
                    <w:right w:val="single" w:color="auto" w:sz="4" w:space="0"/>
                  </w:tcBorders>
                  <w:shd w:val="clear" w:color="auto" w:fill="auto"/>
                  <w:vAlign w:val="center"/>
                </w:tcPr>
                <w:p w14:paraId="5F0DCA13">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rPr>
                  </w:pPr>
                  <w:r>
                    <w:rPr>
                      <w:rFonts w:hint="eastAsia" w:ascii="Times New Roman" w:hAnsi="Times New Roman" w:eastAsia="宋体" w:cs="Times New Roman"/>
                      <w:color w:val="auto"/>
                    </w:rPr>
                    <w:t>T</w:t>
                  </w:r>
                </w:p>
              </w:tc>
            </w:tr>
            <w:tr w14:paraId="384E996C">
              <w:tblPrEx>
                <w:tblCellMar>
                  <w:top w:w="0" w:type="dxa"/>
                  <w:left w:w="108" w:type="dxa"/>
                  <w:bottom w:w="0" w:type="dxa"/>
                  <w:right w:w="108" w:type="dxa"/>
                </w:tblCellMar>
              </w:tblPrEx>
              <w:trPr>
                <w:trHeight w:val="340" w:hRule="atLeast"/>
                <w:jc w:val="center"/>
              </w:trPr>
              <w:tc>
                <w:tcPr>
                  <w:tcW w:w="1386" w:type="dxa"/>
                  <w:tcBorders>
                    <w:top w:val="nil"/>
                    <w:left w:val="single" w:color="auto" w:sz="4" w:space="0"/>
                    <w:bottom w:val="single" w:color="auto" w:sz="4" w:space="0"/>
                    <w:right w:val="single" w:color="auto" w:sz="4" w:space="0"/>
                  </w:tcBorders>
                  <w:shd w:val="clear" w:color="auto" w:fill="auto"/>
                  <w:vAlign w:val="center"/>
                </w:tcPr>
                <w:p w14:paraId="5DFF90BB">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rPr>
                    <w:t>废活性炭</w:t>
                  </w:r>
                </w:p>
              </w:tc>
              <w:tc>
                <w:tcPr>
                  <w:tcW w:w="957" w:type="dxa"/>
                  <w:tcBorders>
                    <w:top w:val="nil"/>
                    <w:left w:val="nil"/>
                    <w:bottom w:val="single" w:color="auto" w:sz="4" w:space="0"/>
                    <w:right w:val="single" w:color="auto" w:sz="4" w:space="0"/>
                  </w:tcBorders>
                  <w:shd w:val="clear" w:color="auto" w:fill="auto"/>
                  <w:vAlign w:val="center"/>
                </w:tcPr>
                <w:p w14:paraId="30603BB0">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HW49</w:t>
                  </w:r>
                </w:p>
              </w:tc>
              <w:tc>
                <w:tcPr>
                  <w:tcW w:w="944" w:type="dxa"/>
                  <w:tcBorders>
                    <w:top w:val="nil"/>
                    <w:left w:val="nil"/>
                    <w:bottom w:val="single" w:color="auto" w:sz="4" w:space="0"/>
                    <w:right w:val="single" w:color="auto" w:sz="4" w:space="0"/>
                  </w:tcBorders>
                  <w:shd w:val="clear" w:color="auto" w:fill="auto"/>
                  <w:vAlign w:val="center"/>
                </w:tcPr>
                <w:p w14:paraId="76DE9C09">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900-039-49</w:t>
                  </w:r>
                </w:p>
              </w:tc>
              <w:tc>
                <w:tcPr>
                  <w:tcW w:w="982" w:type="dxa"/>
                  <w:tcBorders>
                    <w:top w:val="nil"/>
                    <w:left w:val="nil"/>
                    <w:bottom w:val="single" w:color="auto" w:sz="4" w:space="0"/>
                    <w:right w:val="single" w:color="auto" w:sz="4" w:space="0"/>
                  </w:tcBorders>
                  <w:shd w:val="clear" w:color="auto" w:fill="auto"/>
                  <w:vAlign w:val="center"/>
                </w:tcPr>
                <w:p w14:paraId="551501F3">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FF0000"/>
                      <w:szCs w:val="21"/>
                      <w:lang w:val="en-US" w:eastAsia="zh-CN"/>
                    </w:rPr>
                    <w:t>15.28</w:t>
                  </w:r>
                </w:p>
              </w:tc>
              <w:tc>
                <w:tcPr>
                  <w:tcW w:w="1058" w:type="dxa"/>
                  <w:tcBorders>
                    <w:top w:val="nil"/>
                    <w:left w:val="nil"/>
                    <w:bottom w:val="single" w:color="000000" w:sz="4" w:space="0"/>
                    <w:right w:val="single" w:color="auto" w:sz="4" w:space="0"/>
                  </w:tcBorders>
                  <w:shd w:val="clear" w:color="auto" w:fill="auto"/>
                  <w:vAlign w:val="center"/>
                </w:tcPr>
                <w:p w14:paraId="21F8AAB6">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废气治理</w:t>
                  </w:r>
                </w:p>
              </w:tc>
              <w:tc>
                <w:tcPr>
                  <w:tcW w:w="969" w:type="dxa"/>
                  <w:tcBorders>
                    <w:top w:val="nil"/>
                    <w:left w:val="nil"/>
                    <w:bottom w:val="single" w:color="auto" w:sz="4" w:space="0"/>
                    <w:right w:val="single" w:color="auto" w:sz="4" w:space="0"/>
                  </w:tcBorders>
                  <w:shd w:val="clear" w:color="auto" w:fill="auto"/>
                  <w:vAlign w:val="center"/>
                </w:tcPr>
                <w:p w14:paraId="5BB9BD04">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rPr>
                  </w:pPr>
                  <w:r>
                    <w:rPr>
                      <w:rFonts w:hint="eastAsia" w:ascii="Times New Roman" w:hAnsi="Times New Roman" w:eastAsia="宋体" w:cs="Times New Roman"/>
                      <w:color w:val="auto"/>
                    </w:rPr>
                    <w:t>固</w:t>
                  </w:r>
                </w:p>
              </w:tc>
              <w:tc>
                <w:tcPr>
                  <w:tcW w:w="982" w:type="dxa"/>
                  <w:tcBorders>
                    <w:top w:val="nil"/>
                    <w:left w:val="nil"/>
                    <w:bottom w:val="single" w:color="auto" w:sz="4" w:space="0"/>
                    <w:right w:val="single" w:color="auto" w:sz="4" w:space="0"/>
                  </w:tcBorders>
                  <w:shd w:val="clear" w:color="auto" w:fill="auto"/>
                  <w:vAlign w:val="center"/>
                </w:tcPr>
                <w:p w14:paraId="7F95256E">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有机物</w:t>
                  </w:r>
                </w:p>
              </w:tc>
              <w:tc>
                <w:tcPr>
                  <w:tcW w:w="944" w:type="dxa"/>
                  <w:tcBorders>
                    <w:top w:val="nil"/>
                    <w:left w:val="nil"/>
                    <w:bottom w:val="single" w:color="auto" w:sz="4" w:space="0"/>
                    <w:right w:val="single" w:color="auto" w:sz="4" w:space="0"/>
                  </w:tcBorders>
                  <w:shd w:val="clear" w:color="auto" w:fill="auto"/>
                  <w:vAlign w:val="center"/>
                </w:tcPr>
                <w:p w14:paraId="17C9EB25">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lang w:eastAsia="zh-CN"/>
                    </w:rPr>
                  </w:pPr>
                  <w:r>
                    <w:rPr>
                      <w:rFonts w:hint="eastAsia" w:ascii="Times New Roman" w:hAnsi="Times New Roman" w:eastAsia="宋体" w:cs="Times New Roman"/>
                      <w:color w:val="auto"/>
                      <w:lang w:val="en-US" w:eastAsia="zh-CN"/>
                    </w:rPr>
                    <w:t>T</w:t>
                  </w:r>
                </w:p>
              </w:tc>
            </w:tr>
            <w:tr w14:paraId="7F1A22E6">
              <w:tblPrEx>
                <w:tblCellMar>
                  <w:top w:w="0" w:type="dxa"/>
                  <w:left w:w="108" w:type="dxa"/>
                  <w:bottom w:w="0" w:type="dxa"/>
                  <w:right w:w="108" w:type="dxa"/>
                </w:tblCellMar>
              </w:tblPrEx>
              <w:trPr>
                <w:trHeight w:val="340" w:hRule="atLeast"/>
                <w:jc w:val="center"/>
              </w:trPr>
              <w:tc>
                <w:tcPr>
                  <w:tcW w:w="1386" w:type="dxa"/>
                  <w:tcBorders>
                    <w:top w:val="nil"/>
                    <w:left w:val="single" w:color="auto" w:sz="4" w:space="0"/>
                    <w:bottom w:val="single" w:color="auto" w:sz="4" w:space="0"/>
                    <w:right w:val="single" w:color="auto" w:sz="4" w:space="0"/>
                  </w:tcBorders>
                  <w:shd w:val="clear" w:color="auto" w:fill="auto"/>
                  <w:vAlign w:val="center"/>
                </w:tcPr>
                <w:p w14:paraId="3A6099CE">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废过滤棉</w:t>
                  </w:r>
                </w:p>
              </w:tc>
              <w:tc>
                <w:tcPr>
                  <w:tcW w:w="957" w:type="dxa"/>
                  <w:tcBorders>
                    <w:top w:val="nil"/>
                    <w:left w:val="nil"/>
                    <w:bottom w:val="single" w:color="auto" w:sz="4" w:space="0"/>
                    <w:right w:val="single" w:color="auto" w:sz="4" w:space="0"/>
                  </w:tcBorders>
                  <w:shd w:val="clear" w:color="auto" w:fill="auto"/>
                  <w:vAlign w:val="center"/>
                </w:tcPr>
                <w:p w14:paraId="26F937F3">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HW49</w:t>
                  </w:r>
                </w:p>
              </w:tc>
              <w:tc>
                <w:tcPr>
                  <w:tcW w:w="944" w:type="dxa"/>
                  <w:tcBorders>
                    <w:top w:val="nil"/>
                    <w:left w:val="nil"/>
                    <w:bottom w:val="single" w:color="auto" w:sz="4" w:space="0"/>
                    <w:right w:val="single" w:color="auto" w:sz="4" w:space="0"/>
                  </w:tcBorders>
                  <w:shd w:val="clear" w:color="auto" w:fill="auto"/>
                  <w:vAlign w:val="center"/>
                </w:tcPr>
                <w:p w14:paraId="41E41D06">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900-041-49</w:t>
                  </w:r>
                </w:p>
              </w:tc>
              <w:tc>
                <w:tcPr>
                  <w:tcW w:w="982" w:type="dxa"/>
                  <w:tcBorders>
                    <w:top w:val="nil"/>
                    <w:left w:val="nil"/>
                    <w:bottom w:val="single" w:color="auto" w:sz="4" w:space="0"/>
                    <w:right w:val="single" w:color="000000" w:sz="4" w:space="0"/>
                  </w:tcBorders>
                  <w:shd w:val="clear" w:color="auto" w:fill="auto"/>
                  <w:vAlign w:val="center"/>
                </w:tcPr>
                <w:p w14:paraId="673A4E69">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val="en-US" w:eastAsia="zh-CN"/>
                    </w:rPr>
                    <w:t>0.014</w:t>
                  </w:r>
                </w:p>
              </w:tc>
              <w:tc>
                <w:tcPr>
                  <w:tcW w:w="10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F0D2D">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rPr>
                  </w:pPr>
                  <w:r>
                    <w:rPr>
                      <w:rFonts w:hint="eastAsia" w:ascii="Times New Roman" w:hAnsi="Times New Roman" w:eastAsia="宋体" w:cs="Times New Roman"/>
                      <w:color w:val="auto"/>
                    </w:rPr>
                    <w:t>废气治理</w:t>
                  </w:r>
                </w:p>
              </w:tc>
              <w:tc>
                <w:tcPr>
                  <w:tcW w:w="969" w:type="dxa"/>
                  <w:tcBorders>
                    <w:top w:val="nil"/>
                    <w:left w:val="single" w:color="000000" w:sz="4" w:space="0"/>
                    <w:bottom w:val="single" w:color="auto" w:sz="4" w:space="0"/>
                    <w:right w:val="single" w:color="auto" w:sz="4" w:space="0"/>
                  </w:tcBorders>
                  <w:shd w:val="clear" w:color="auto" w:fill="auto"/>
                  <w:vAlign w:val="center"/>
                </w:tcPr>
                <w:p w14:paraId="02095AEE">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rPr>
                  </w:pPr>
                  <w:r>
                    <w:rPr>
                      <w:rFonts w:hint="eastAsia" w:ascii="Times New Roman" w:hAnsi="Times New Roman" w:eastAsia="宋体" w:cs="Times New Roman"/>
                      <w:color w:val="auto"/>
                    </w:rPr>
                    <w:t>固</w:t>
                  </w:r>
                </w:p>
              </w:tc>
              <w:tc>
                <w:tcPr>
                  <w:tcW w:w="982" w:type="dxa"/>
                  <w:tcBorders>
                    <w:top w:val="nil"/>
                    <w:left w:val="nil"/>
                    <w:bottom w:val="single" w:color="auto" w:sz="4" w:space="0"/>
                    <w:right w:val="single" w:color="auto" w:sz="4" w:space="0"/>
                  </w:tcBorders>
                  <w:shd w:val="clear" w:color="auto" w:fill="auto"/>
                  <w:vAlign w:val="center"/>
                </w:tcPr>
                <w:p w14:paraId="3BF21F4C">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lang w:eastAsia="zh-CN"/>
                    </w:rPr>
                  </w:pPr>
                  <w:r>
                    <w:rPr>
                      <w:rFonts w:hint="eastAsia" w:ascii="Times New Roman" w:hAnsi="Times New Roman" w:eastAsia="宋体" w:cs="Times New Roman"/>
                      <w:color w:val="auto"/>
                    </w:rPr>
                    <w:t>有机</w:t>
                  </w:r>
                  <w:r>
                    <w:rPr>
                      <w:rFonts w:hint="eastAsia" w:ascii="Times New Roman" w:hAnsi="Times New Roman" w:eastAsia="宋体" w:cs="Times New Roman"/>
                      <w:color w:val="auto"/>
                      <w:lang w:val="en-US" w:eastAsia="zh-CN"/>
                    </w:rPr>
                    <w:t>物</w:t>
                  </w:r>
                </w:p>
              </w:tc>
              <w:tc>
                <w:tcPr>
                  <w:tcW w:w="944" w:type="dxa"/>
                  <w:tcBorders>
                    <w:top w:val="nil"/>
                    <w:left w:val="nil"/>
                    <w:bottom w:val="single" w:color="auto" w:sz="4" w:space="0"/>
                    <w:right w:val="single" w:color="auto" w:sz="4" w:space="0"/>
                  </w:tcBorders>
                  <w:shd w:val="clear" w:color="auto" w:fill="auto"/>
                  <w:vAlign w:val="center"/>
                </w:tcPr>
                <w:p w14:paraId="52A78159">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rPr>
                    <w:t>T</w:t>
                  </w:r>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lang w:val="en-US" w:eastAsia="zh-CN"/>
                    </w:rPr>
                    <w:t>I</w:t>
                  </w:r>
                </w:p>
              </w:tc>
            </w:tr>
            <w:tr w14:paraId="023609AC">
              <w:tblPrEx>
                <w:tblCellMar>
                  <w:top w:w="0" w:type="dxa"/>
                  <w:left w:w="108" w:type="dxa"/>
                  <w:bottom w:w="0" w:type="dxa"/>
                  <w:right w:w="108" w:type="dxa"/>
                </w:tblCellMar>
              </w:tblPrEx>
              <w:trPr>
                <w:trHeight w:val="340" w:hRule="atLeast"/>
                <w:jc w:val="center"/>
              </w:trPr>
              <w:tc>
                <w:tcPr>
                  <w:tcW w:w="1386" w:type="dxa"/>
                  <w:tcBorders>
                    <w:top w:val="nil"/>
                    <w:left w:val="single" w:color="auto" w:sz="4" w:space="0"/>
                    <w:bottom w:val="single" w:color="auto" w:sz="4" w:space="0"/>
                    <w:right w:val="single" w:color="auto" w:sz="4" w:space="0"/>
                  </w:tcBorders>
                  <w:shd w:val="clear" w:color="auto" w:fill="auto"/>
                  <w:vAlign w:val="center"/>
                </w:tcPr>
                <w:p w14:paraId="24648BDD">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rPr>
                    <w:t>废机油</w:t>
                  </w:r>
                </w:p>
              </w:tc>
              <w:tc>
                <w:tcPr>
                  <w:tcW w:w="957" w:type="dxa"/>
                  <w:tcBorders>
                    <w:top w:val="nil"/>
                    <w:left w:val="nil"/>
                    <w:bottom w:val="single" w:color="auto" w:sz="4" w:space="0"/>
                    <w:right w:val="single" w:color="auto" w:sz="4" w:space="0"/>
                  </w:tcBorders>
                  <w:shd w:val="clear" w:color="auto" w:fill="auto"/>
                  <w:vAlign w:val="center"/>
                </w:tcPr>
                <w:p w14:paraId="40567181">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H</w:t>
                  </w:r>
                  <w:r>
                    <w:rPr>
                      <w:rFonts w:hint="default" w:ascii="Times New Roman" w:hAnsi="Times New Roman" w:eastAsia="宋体" w:cs="Times New Roman"/>
                      <w:color w:val="auto"/>
                      <w:lang w:val="en-US" w:eastAsia="zh-CN"/>
                    </w:rPr>
                    <w:t>W</w:t>
                  </w:r>
                  <w:r>
                    <w:rPr>
                      <w:rFonts w:hint="eastAsia" w:ascii="Times New Roman" w:hAnsi="Times New Roman" w:eastAsia="宋体" w:cs="Times New Roman"/>
                      <w:color w:val="auto"/>
                      <w:lang w:val="en-US" w:eastAsia="zh-CN"/>
                    </w:rPr>
                    <w:t>08</w:t>
                  </w:r>
                </w:p>
              </w:tc>
              <w:tc>
                <w:tcPr>
                  <w:tcW w:w="944" w:type="dxa"/>
                  <w:tcBorders>
                    <w:top w:val="nil"/>
                    <w:left w:val="nil"/>
                    <w:bottom w:val="single" w:color="auto" w:sz="4" w:space="0"/>
                    <w:right w:val="single" w:color="auto" w:sz="4" w:space="0"/>
                  </w:tcBorders>
                  <w:shd w:val="clear" w:color="auto" w:fill="auto"/>
                  <w:vAlign w:val="center"/>
                </w:tcPr>
                <w:p w14:paraId="4F4D41FF">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900-249-08</w:t>
                  </w:r>
                </w:p>
              </w:tc>
              <w:tc>
                <w:tcPr>
                  <w:tcW w:w="982" w:type="dxa"/>
                  <w:tcBorders>
                    <w:top w:val="nil"/>
                    <w:left w:val="nil"/>
                    <w:bottom w:val="single" w:color="auto" w:sz="4" w:space="0"/>
                    <w:right w:val="single" w:color="auto" w:sz="4" w:space="0"/>
                  </w:tcBorders>
                  <w:shd w:val="clear" w:color="auto" w:fill="auto"/>
                  <w:vAlign w:val="center"/>
                </w:tcPr>
                <w:p w14:paraId="61E9AF33">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rPr>
                    <w:t>0.1</w:t>
                  </w:r>
                </w:p>
              </w:tc>
              <w:tc>
                <w:tcPr>
                  <w:tcW w:w="1058" w:type="dxa"/>
                  <w:tcBorders>
                    <w:top w:val="single" w:color="000000" w:sz="4" w:space="0"/>
                    <w:left w:val="nil"/>
                    <w:bottom w:val="single" w:color="auto" w:sz="4" w:space="0"/>
                    <w:right w:val="single" w:color="auto" w:sz="4" w:space="0"/>
                  </w:tcBorders>
                  <w:shd w:val="clear" w:color="auto" w:fill="auto"/>
                  <w:vAlign w:val="center"/>
                </w:tcPr>
                <w:p w14:paraId="5CF31004">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设备维修</w:t>
                  </w:r>
                </w:p>
              </w:tc>
              <w:tc>
                <w:tcPr>
                  <w:tcW w:w="969" w:type="dxa"/>
                  <w:tcBorders>
                    <w:top w:val="nil"/>
                    <w:left w:val="nil"/>
                    <w:bottom w:val="single" w:color="auto" w:sz="4" w:space="0"/>
                    <w:right w:val="single" w:color="auto" w:sz="4" w:space="0"/>
                  </w:tcBorders>
                  <w:shd w:val="clear" w:color="auto" w:fill="auto"/>
                  <w:vAlign w:val="center"/>
                </w:tcPr>
                <w:p w14:paraId="73BA5725">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lang w:eastAsia="zh-CN"/>
                    </w:rPr>
                  </w:pPr>
                  <w:r>
                    <w:rPr>
                      <w:rFonts w:hint="eastAsia" w:ascii="Times New Roman" w:hAnsi="Times New Roman" w:eastAsia="宋体" w:cs="Times New Roman"/>
                      <w:color w:val="auto"/>
                      <w:lang w:val="en-US" w:eastAsia="zh-CN"/>
                    </w:rPr>
                    <w:t>液</w:t>
                  </w:r>
                </w:p>
              </w:tc>
              <w:tc>
                <w:tcPr>
                  <w:tcW w:w="982" w:type="dxa"/>
                  <w:tcBorders>
                    <w:top w:val="nil"/>
                    <w:left w:val="nil"/>
                    <w:bottom w:val="single" w:color="auto" w:sz="4" w:space="0"/>
                    <w:right w:val="single" w:color="auto" w:sz="4" w:space="0"/>
                  </w:tcBorders>
                  <w:shd w:val="clear" w:color="auto" w:fill="auto"/>
                  <w:vAlign w:val="center"/>
                </w:tcPr>
                <w:p w14:paraId="4EAE23A5">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lang w:eastAsia="zh-CN"/>
                    </w:rPr>
                  </w:pPr>
                  <w:r>
                    <w:rPr>
                      <w:rFonts w:hint="eastAsia" w:ascii="Times New Roman" w:hAnsi="Times New Roman" w:eastAsia="宋体" w:cs="Times New Roman"/>
                      <w:color w:val="auto"/>
                      <w:lang w:val="en-US" w:eastAsia="zh-CN"/>
                    </w:rPr>
                    <w:t>机油</w:t>
                  </w:r>
                </w:p>
              </w:tc>
              <w:tc>
                <w:tcPr>
                  <w:tcW w:w="944" w:type="dxa"/>
                  <w:tcBorders>
                    <w:top w:val="nil"/>
                    <w:left w:val="nil"/>
                    <w:bottom w:val="single" w:color="auto" w:sz="4" w:space="0"/>
                    <w:right w:val="single" w:color="auto" w:sz="4" w:space="0"/>
                  </w:tcBorders>
                  <w:shd w:val="clear" w:color="auto" w:fill="auto"/>
                  <w:vAlign w:val="center"/>
                </w:tcPr>
                <w:p w14:paraId="099A5EDD">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rPr>
                  </w:pPr>
                  <w:r>
                    <w:rPr>
                      <w:rFonts w:hint="eastAsia" w:ascii="Times New Roman" w:hAnsi="Times New Roman" w:eastAsia="宋体" w:cs="Times New Roman"/>
                      <w:color w:val="auto"/>
                    </w:rPr>
                    <w:t>T</w:t>
                  </w:r>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lang w:val="en-US" w:eastAsia="zh-CN"/>
                    </w:rPr>
                    <w:t>I</w:t>
                  </w:r>
                </w:p>
              </w:tc>
            </w:tr>
            <w:tr w14:paraId="23570AD8">
              <w:tblPrEx>
                <w:tblCellMar>
                  <w:top w:w="0" w:type="dxa"/>
                  <w:left w:w="108" w:type="dxa"/>
                  <w:bottom w:w="0" w:type="dxa"/>
                  <w:right w:w="108" w:type="dxa"/>
                </w:tblCellMar>
              </w:tblPrEx>
              <w:trPr>
                <w:trHeight w:val="340" w:hRule="atLeast"/>
                <w:jc w:val="center"/>
              </w:trPr>
              <w:tc>
                <w:tcPr>
                  <w:tcW w:w="1386" w:type="dxa"/>
                  <w:tcBorders>
                    <w:top w:val="nil"/>
                    <w:left w:val="single" w:color="auto" w:sz="4" w:space="0"/>
                    <w:bottom w:val="single" w:color="auto" w:sz="4" w:space="0"/>
                    <w:right w:val="single" w:color="auto" w:sz="4" w:space="0"/>
                  </w:tcBorders>
                  <w:shd w:val="clear" w:color="auto" w:fill="auto"/>
                  <w:vAlign w:val="center"/>
                </w:tcPr>
                <w:p w14:paraId="28B9BD27">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rPr>
                    <w:t>废油桶</w:t>
                  </w:r>
                </w:p>
              </w:tc>
              <w:tc>
                <w:tcPr>
                  <w:tcW w:w="957" w:type="dxa"/>
                  <w:tcBorders>
                    <w:top w:val="nil"/>
                    <w:left w:val="nil"/>
                    <w:bottom w:val="single" w:color="auto" w:sz="4" w:space="0"/>
                    <w:right w:val="single" w:color="auto" w:sz="4" w:space="0"/>
                  </w:tcBorders>
                  <w:shd w:val="clear" w:color="auto" w:fill="auto"/>
                  <w:vAlign w:val="center"/>
                </w:tcPr>
                <w:p w14:paraId="789A54B6">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H</w:t>
                  </w:r>
                  <w:r>
                    <w:rPr>
                      <w:rFonts w:hint="default" w:ascii="Times New Roman" w:hAnsi="Times New Roman" w:eastAsia="宋体" w:cs="Times New Roman"/>
                      <w:color w:val="auto"/>
                      <w:lang w:val="en-US" w:eastAsia="zh-CN"/>
                    </w:rPr>
                    <w:t>W</w:t>
                  </w:r>
                  <w:r>
                    <w:rPr>
                      <w:rFonts w:hint="eastAsia" w:ascii="Times New Roman" w:hAnsi="Times New Roman" w:eastAsia="宋体" w:cs="Times New Roman"/>
                      <w:color w:val="auto"/>
                      <w:lang w:val="en-US" w:eastAsia="zh-CN"/>
                    </w:rPr>
                    <w:t>08</w:t>
                  </w:r>
                </w:p>
              </w:tc>
              <w:tc>
                <w:tcPr>
                  <w:tcW w:w="944" w:type="dxa"/>
                  <w:tcBorders>
                    <w:top w:val="nil"/>
                    <w:left w:val="nil"/>
                    <w:bottom w:val="single" w:color="auto" w:sz="4" w:space="0"/>
                    <w:right w:val="single" w:color="auto" w:sz="4" w:space="0"/>
                  </w:tcBorders>
                  <w:shd w:val="clear" w:color="auto" w:fill="auto"/>
                  <w:vAlign w:val="center"/>
                </w:tcPr>
                <w:p w14:paraId="53B0B843">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900-249-08</w:t>
                  </w:r>
                </w:p>
              </w:tc>
              <w:tc>
                <w:tcPr>
                  <w:tcW w:w="982" w:type="dxa"/>
                  <w:tcBorders>
                    <w:top w:val="nil"/>
                    <w:left w:val="nil"/>
                    <w:bottom w:val="single" w:color="auto" w:sz="4" w:space="0"/>
                    <w:right w:val="single" w:color="auto" w:sz="4" w:space="0"/>
                  </w:tcBorders>
                  <w:shd w:val="clear" w:color="auto" w:fill="auto"/>
                  <w:vAlign w:val="center"/>
                </w:tcPr>
                <w:p w14:paraId="3D99BCC7">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rPr>
                    <w:t>0.008</w:t>
                  </w:r>
                </w:p>
              </w:tc>
              <w:tc>
                <w:tcPr>
                  <w:tcW w:w="1058" w:type="dxa"/>
                  <w:tcBorders>
                    <w:top w:val="nil"/>
                    <w:left w:val="single" w:color="auto" w:sz="4" w:space="0"/>
                    <w:bottom w:val="single" w:color="000000" w:sz="4" w:space="0"/>
                    <w:right w:val="single" w:color="auto" w:sz="4" w:space="0"/>
                  </w:tcBorders>
                  <w:shd w:val="clear" w:color="auto" w:fill="auto"/>
                  <w:vAlign w:val="center"/>
                </w:tcPr>
                <w:p w14:paraId="4DEC0159">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设备维修</w:t>
                  </w:r>
                </w:p>
              </w:tc>
              <w:tc>
                <w:tcPr>
                  <w:tcW w:w="969" w:type="dxa"/>
                  <w:tcBorders>
                    <w:top w:val="nil"/>
                    <w:left w:val="nil"/>
                    <w:bottom w:val="single" w:color="auto" w:sz="4" w:space="0"/>
                    <w:right w:val="single" w:color="auto" w:sz="4" w:space="0"/>
                  </w:tcBorders>
                  <w:shd w:val="clear" w:color="auto" w:fill="auto"/>
                  <w:vAlign w:val="center"/>
                </w:tcPr>
                <w:p w14:paraId="71FC921D">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rPr>
                  </w:pPr>
                  <w:r>
                    <w:rPr>
                      <w:rFonts w:hint="eastAsia" w:ascii="Times New Roman" w:hAnsi="Times New Roman" w:eastAsia="宋体" w:cs="Times New Roman"/>
                      <w:color w:val="auto"/>
                    </w:rPr>
                    <w:t>固</w:t>
                  </w:r>
                </w:p>
              </w:tc>
              <w:tc>
                <w:tcPr>
                  <w:tcW w:w="982" w:type="dxa"/>
                  <w:tcBorders>
                    <w:top w:val="nil"/>
                    <w:left w:val="nil"/>
                    <w:bottom w:val="single" w:color="auto" w:sz="4" w:space="0"/>
                    <w:right w:val="single" w:color="auto" w:sz="4" w:space="0"/>
                  </w:tcBorders>
                  <w:shd w:val="clear" w:color="auto" w:fill="auto"/>
                  <w:vAlign w:val="center"/>
                </w:tcPr>
                <w:p w14:paraId="017E5A20">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lang w:eastAsia="zh-CN"/>
                    </w:rPr>
                  </w:pPr>
                  <w:r>
                    <w:rPr>
                      <w:rFonts w:hint="eastAsia" w:ascii="Times New Roman" w:hAnsi="Times New Roman" w:eastAsia="宋体" w:cs="Times New Roman"/>
                      <w:color w:val="auto"/>
                      <w:lang w:val="en-US" w:eastAsia="zh-CN"/>
                    </w:rPr>
                    <w:t>机油</w:t>
                  </w:r>
                </w:p>
              </w:tc>
              <w:tc>
                <w:tcPr>
                  <w:tcW w:w="944" w:type="dxa"/>
                  <w:tcBorders>
                    <w:top w:val="nil"/>
                    <w:left w:val="nil"/>
                    <w:bottom w:val="single" w:color="auto" w:sz="4" w:space="0"/>
                    <w:right w:val="single" w:color="auto" w:sz="4" w:space="0"/>
                  </w:tcBorders>
                  <w:shd w:val="clear" w:color="auto" w:fill="auto"/>
                  <w:vAlign w:val="center"/>
                </w:tcPr>
                <w:p w14:paraId="67542D34">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rPr>
                  </w:pPr>
                  <w:r>
                    <w:rPr>
                      <w:rFonts w:hint="eastAsia" w:ascii="Times New Roman" w:hAnsi="Times New Roman" w:eastAsia="宋体" w:cs="Times New Roman"/>
                      <w:color w:val="auto"/>
                    </w:rPr>
                    <w:t>T</w:t>
                  </w:r>
                  <w:r>
                    <w:rPr>
                      <w:rFonts w:hint="eastAsia" w:ascii="Times New Roman" w:hAnsi="Times New Roman" w:eastAsia="宋体" w:cs="Times New Roman"/>
                      <w:color w:val="auto"/>
                      <w:lang w:eastAsia="zh-CN"/>
                    </w:rPr>
                    <w:t>，</w:t>
                  </w:r>
                  <w:r>
                    <w:rPr>
                      <w:rFonts w:hint="eastAsia" w:ascii="Times New Roman" w:hAnsi="Times New Roman" w:eastAsia="宋体" w:cs="Times New Roman"/>
                      <w:color w:val="auto"/>
                      <w:lang w:val="en-US" w:eastAsia="zh-CN"/>
                    </w:rPr>
                    <w:t>I</w:t>
                  </w:r>
                </w:p>
              </w:tc>
            </w:tr>
          </w:tbl>
          <w:p w14:paraId="3D07A176">
            <w:pPr>
              <w:pStyle w:val="51"/>
              <w:spacing w:line="240" w:lineRule="auto"/>
              <w:ind w:firstLine="361"/>
              <w:rPr>
                <w:b/>
                <w:bCs/>
                <w:sz w:val="18"/>
                <w:szCs w:val="18"/>
              </w:rPr>
            </w:pPr>
            <w:r>
              <w:rPr>
                <w:rFonts w:hint="eastAsia"/>
                <w:b/>
                <w:bCs/>
                <w:sz w:val="18"/>
                <w:szCs w:val="18"/>
              </w:rPr>
              <w:t>注：危险特性，包括腐蚀性（Corrosivity，C）、毒性（Toxicity，T）、易燃性（Ignitability，I）、反应性（Reactivity，R）和感染性（Infectivity，In）。</w:t>
            </w:r>
          </w:p>
          <w:p w14:paraId="3574F0CA">
            <w:pPr>
              <w:pStyle w:val="51"/>
              <w:spacing w:line="240" w:lineRule="auto"/>
              <w:ind w:firstLine="361"/>
              <w:rPr>
                <w:b/>
                <w:bCs/>
                <w:sz w:val="18"/>
                <w:szCs w:val="18"/>
              </w:rPr>
            </w:pPr>
          </w:p>
          <w:p w14:paraId="1451976B">
            <w:pPr>
              <w:pStyle w:val="51"/>
              <w:ind w:firstLine="482"/>
              <w:rPr>
                <w:b/>
                <w:bCs/>
              </w:rPr>
            </w:pPr>
            <w:r>
              <w:rPr>
                <w:rFonts w:hint="eastAsia"/>
                <w:b/>
                <w:bCs/>
              </w:rPr>
              <w:t>4</w:t>
            </w:r>
            <w:r>
              <w:rPr>
                <w:b/>
                <w:bCs/>
              </w:rPr>
              <w:t>.4</w:t>
            </w:r>
            <w:r>
              <w:rPr>
                <w:rFonts w:hint="eastAsia"/>
                <w:b/>
                <w:bCs/>
              </w:rPr>
              <w:t>运营期固体废物处置措施及管理要求</w:t>
            </w:r>
          </w:p>
          <w:p w14:paraId="7BA1A5D8">
            <w:pPr>
              <w:pStyle w:val="51"/>
              <w:ind w:firstLine="480"/>
            </w:pPr>
            <w:r>
              <w:rPr>
                <w:rFonts w:hint="eastAsia"/>
              </w:rPr>
              <w:t>（1）</w:t>
            </w:r>
            <w:r>
              <w:t>一般固体废物处置</w:t>
            </w:r>
            <w:r>
              <w:rPr>
                <w:rFonts w:hint="eastAsia"/>
              </w:rPr>
              <w:t>措施及管理要求</w:t>
            </w:r>
          </w:p>
          <w:p w14:paraId="03643D9E">
            <w:pPr>
              <w:pStyle w:val="51"/>
              <w:ind w:firstLine="480"/>
            </w:pPr>
            <w:r>
              <w:t>本项目</w:t>
            </w:r>
            <w:r>
              <w:rPr>
                <w:rFonts w:hint="eastAsia"/>
              </w:rPr>
              <w:t>一般固废</w:t>
            </w:r>
            <w:r>
              <w:rPr>
                <w:rFonts w:hint="eastAsia"/>
                <w:lang w:val="en-US" w:eastAsia="zh-CN"/>
              </w:rPr>
              <w:t>暂存在一般固废暂存区</w:t>
            </w:r>
            <w:r>
              <w:rPr>
                <w:rFonts w:hint="eastAsia"/>
              </w:rPr>
              <w:t>，企业拟在车间</w:t>
            </w:r>
            <w:r>
              <w:rPr>
                <w:rFonts w:hint="eastAsia"/>
                <w:lang w:val="en-US" w:eastAsia="zh-CN"/>
              </w:rPr>
              <w:t>北</w:t>
            </w:r>
            <w:r>
              <w:rPr>
                <w:rFonts w:hint="eastAsia"/>
              </w:rPr>
              <w:t>侧建设</w:t>
            </w:r>
            <w:r>
              <w:t>1</w:t>
            </w:r>
            <w:r>
              <w:rPr>
                <w:rFonts w:hint="eastAsia"/>
              </w:rPr>
              <w:t>处</w:t>
            </w:r>
            <w:r>
              <w:rPr>
                <w:rFonts w:hint="eastAsia"/>
                <w:lang w:val="en-US" w:eastAsia="zh-CN"/>
              </w:rPr>
              <w:t>一般固废</w:t>
            </w:r>
            <w:r>
              <w:rPr>
                <w:rFonts w:hint="eastAsia"/>
              </w:rPr>
              <w:t>暂存区，总占地面积</w:t>
            </w:r>
            <w:r>
              <w:rPr>
                <w:rFonts w:hint="eastAsia"/>
                <w:lang w:val="en-US" w:eastAsia="zh-CN"/>
              </w:rPr>
              <w:t>2</w:t>
            </w:r>
            <w:r>
              <w:t>0</w:t>
            </w:r>
            <w:r>
              <w:rPr>
                <w:rFonts w:hint="eastAsia"/>
              </w:rPr>
              <w:t>m</w:t>
            </w:r>
            <w:r>
              <w:rPr>
                <w:vertAlign w:val="superscript"/>
              </w:rPr>
              <w:t>2</w:t>
            </w:r>
            <w:r>
              <w:rPr>
                <w:rFonts w:hint="eastAsia"/>
              </w:rPr>
              <w:t>。结合前文固废产生量核算内容，需暂存于一般固废库的一般固废量合计</w:t>
            </w:r>
            <w:r>
              <w:rPr>
                <w:rFonts w:hint="eastAsia"/>
                <w:lang w:val="en-US" w:eastAsia="zh-CN"/>
              </w:rPr>
              <w:t>10.44</w:t>
            </w:r>
            <w:r>
              <w:t>t/a</w:t>
            </w:r>
            <w:r>
              <w:rPr>
                <w:rFonts w:hint="eastAsia"/>
              </w:rPr>
              <w:t>。周转周期约</w:t>
            </w:r>
            <w:r>
              <w:rPr>
                <w:rFonts w:hint="eastAsia"/>
                <w:lang w:val="en-US" w:eastAsia="zh-CN"/>
              </w:rPr>
              <w:t>30</w:t>
            </w:r>
            <w:r>
              <w:rPr>
                <w:rFonts w:hint="eastAsia"/>
              </w:rPr>
              <w:t>天，一次储存量约</w:t>
            </w:r>
            <w:r>
              <w:rPr>
                <w:rFonts w:hint="eastAsia"/>
                <w:lang w:val="en-US" w:eastAsia="zh-CN"/>
              </w:rPr>
              <w:t>0.87</w:t>
            </w:r>
            <w:r>
              <w:rPr>
                <w:rFonts w:hint="eastAsia"/>
              </w:rPr>
              <w:t>吨。项目一般固废库可以满足一般固废贮存的需要。要求有一般固废库设置标志牌，地面与裙角均采用防渗材料建造，并由专人管理和维护，符合《一般工业固体废物贮存和填埋污染控制标准》（GB 18599-2020）的要求。</w:t>
            </w:r>
          </w:p>
          <w:p w14:paraId="3BF89EDD">
            <w:pPr>
              <w:pStyle w:val="51"/>
              <w:ind w:firstLine="480"/>
            </w:pPr>
            <w:r>
              <w:rPr>
                <w:rFonts w:hint="eastAsia"/>
              </w:rPr>
              <w:t>（</w:t>
            </w:r>
            <w:r>
              <w:t>2</w:t>
            </w:r>
            <w:r>
              <w:rPr>
                <w:rFonts w:hint="eastAsia"/>
              </w:rPr>
              <w:t>）危险</w:t>
            </w:r>
            <w:r>
              <w:t>废物处置</w:t>
            </w:r>
            <w:r>
              <w:rPr>
                <w:rFonts w:hint="eastAsia"/>
              </w:rPr>
              <w:t>措施及管理要求</w:t>
            </w:r>
          </w:p>
          <w:p w14:paraId="0A290182">
            <w:pPr>
              <w:pStyle w:val="51"/>
              <w:ind w:firstLine="480"/>
            </w:pPr>
            <w:r>
              <w:rPr>
                <w:rFonts w:hint="eastAsia"/>
              </w:rPr>
              <w:t>①暂存能力</w:t>
            </w:r>
          </w:p>
          <w:p w14:paraId="379C8A79">
            <w:pPr>
              <w:pStyle w:val="51"/>
              <w:ind w:firstLine="480"/>
            </w:pPr>
            <w:r>
              <w:rPr>
                <w:rFonts w:hint="eastAsia"/>
              </w:rPr>
              <w:t>针对营运期产生的危险废物，</w:t>
            </w:r>
            <w:r>
              <w:rPr>
                <w:rFonts w:hint="eastAsia"/>
                <w:color w:val="FF0000"/>
                <w:lang w:val="en-US" w:eastAsia="zh-CN"/>
              </w:rPr>
              <w:t>在已建厂房内改造</w:t>
            </w:r>
            <w:r>
              <w:rPr>
                <w:rFonts w:hint="eastAsia"/>
                <w:color w:val="FF0000"/>
              </w:rPr>
              <w:t>建设</w:t>
            </w:r>
            <w:r>
              <w:rPr>
                <w:rFonts w:hint="eastAsia"/>
                <w:lang w:val="en-US" w:eastAsia="zh-CN"/>
              </w:rPr>
              <w:t>一座</w:t>
            </w:r>
            <w:r>
              <w:rPr>
                <w:rFonts w:hint="eastAsia"/>
              </w:rPr>
              <w:t>危险废物暂存间，位于车间</w:t>
            </w:r>
            <w:r>
              <w:rPr>
                <w:rFonts w:hint="eastAsia"/>
                <w:lang w:val="en-US" w:eastAsia="zh-CN"/>
              </w:rPr>
              <w:t>北</w:t>
            </w:r>
            <w:r>
              <w:rPr>
                <w:rFonts w:hint="eastAsia"/>
              </w:rPr>
              <w:t>侧，占地面积为</w:t>
            </w:r>
            <w:r>
              <w:rPr>
                <w:rFonts w:hint="eastAsia"/>
                <w:lang w:val="en-US" w:eastAsia="zh-CN"/>
              </w:rPr>
              <w:t>1</w:t>
            </w:r>
            <w:r>
              <w:t>0m</w:t>
            </w:r>
            <w:r>
              <w:rPr>
                <w:vertAlign w:val="superscript"/>
              </w:rPr>
              <w:t>2</w:t>
            </w:r>
            <w:r>
              <w:rPr>
                <w:rFonts w:hint="eastAsia"/>
              </w:rPr>
              <w:t>。</w:t>
            </w:r>
            <w:r>
              <w:rPr>
                <w:rFonts w:hint="eastAsia"/>
                <w:color w:val="FF0000"/>
              </w:rPr>
              <w:t>本项目危废暂存库</w:t>
            </w:r>
            <w:r>
              <w:rPr>
                <w:rFonts w:hint="eastAsia"/>
                <w:color w:val="FF0000"/>
                <w:lang w:val="en-US" w:eastAsia="zh-CN"/>
              </w:rPr>
              <w:t>设置于</w:t>
            </w:r>
            <w:r>
              <w:rPr>
                <w:rFonts w:hint="eastAsia"/>
                <w:color w:val="FF0000"/>
              </w:rPr>
              <w:t>现有厂房内，地面已硬化，采取地面刷一层环氧树脂漆和设置围堰的方法防流失、防渗漏。</w:t>
            </w:r>
          </w:p>
          <w:p w14:paraId="0A68C564">
            <w:pPr>
              <w:pStyle w:val="51"/>
              <w:ind w:firstLine="480"/>
              <w:rPr>
                <w:color w:val="FF0000"/>
              </w:rPr>
            </w:pPr>
            <w:r>
              <w:rPr>
                <w:rFonts w:hint="eastAsia"/>
                <w:color w:val="FF0000"/>
                <w:lang w:val="en-US" w:eastAsia="zh-CN"/>
              </w:rPr>
              <w:t>本</w:t>
            </w:r>
            <w:r>
              <w:rPr>
                <w:rFonts w:hint="eastAsia"/>
                <w:color w:val="FF0000"/>
              </w:rPr>
              <w:t>项目危险废物暂存库</w:t>
            </w:r>
            <w:r>
              <w:rPr>
                <w:rFonts w:hint="eastAsia"/>
                <w:color w:val="FF0000"/>
                <w:lang w:val="en-US" w:eastAsia="zh-CN"/>
              </w:rPr>
              <w:t>1</w:t>
            </w:r>
            <w:r>
              <w:rPr>
                <w:color w:val="FF0000"/>
              </w:rPr>
              <w:t>0</w:t>
            </w:r>
            <w:r>
              <w:rPr>
                <w:rFonts w:hint="eastAsia"/>
                <w:color w:val="FF0000"/>
              </w:rPr>
              <w:t>m</w:t>
            </w:r>
            <w:r>
              <w:rPr>
                <w:rFonts w:hint="eastAsia"/>
                <w:color w:val="FF0000"/>
                <w:vertAlign w:val="superscript"/>
              </w:rPr>
              <w:t>2</w:t>
            </w:r>
            <w:r>
              <w:rPr>
                <w:rFonts w:hint="eastAsia"/>
                <w:color w:val="FF0000"/>
              </w:rPr>
              <w:t>，危险废物主要为废锡膏罐、废硅胶桶、废活性炭</w:t>
            </w:r>
            <w:r>
              <w:rPr>
                <w:rFonts w:hint="eastAsia"/>
                <w:color w:val="FF0000"/>
                <w:lang w:val="en-US" w:eastAsia="zh-CN"/>
              </w:rPr>
              <w:t>等</w:t>
            </w:r>
            <w:r>
              <w:rPr>
                <w:rFonts w:hint="eastAsia"/>
                <w:color w:val="FF0000"/>
              </w:rPr>
              <w:t>，产生量</w:t>
            </w:r>
            <w:r>
              <w:rPr>
                <w:rFonts w:hint="eastAsia"/>
                <w:color w:val="FF0000"/>
                <w:lang w:val="en-US" w:eastAsia="zh-CN"/>
              </w:rPr>
              <w:t>20.159</w:t>
            </w:r>
            <w:r>
              <w:rPr>
                <w:rFonts w:hint="eastAsia"/>
                <w:color w:val="FF0000"/>
              </w:rPr>
              <w:t>t/a</w:t>
            </w:r>
            <w:r>
              <w:rPr>
                <w:rFonts w:hint="eastAsia"/>
                <w:color w:val="FF0000"/>
                <w:lang w:eastAsia="zh-CN"/>
              </w:rPr>
              <w:t>。</w:t>
            </w:r>
            <w:r>
              <w:rPr>
                <w:rFonts w:hint="eastAsia"/>
                <w:color w:val="FF0000"/>
                <w:lang w:val="en-US" w:eastAsia="zh-CN"/>
              </w:rPr>
              <w:t>废活性炭产生量15.28t/a，</w:t>
            </w:r>
            <w:r>
              <w:rPr>
                <w:rFonts w:hint="eastAsia"/>
                <w:color w:val="FF0000"/>
                <w:lang w:eastAsia="zh-CN"/>
              </w:rPr>
              <w:t>转运周期为</w:t>
            </w:r>
            <w:r>
              <w:rPr>
                <w:rFonts w:hint="eastAsia"/>
                <w:color w:val="FF0000"/>
                <w:lang w:val="en-US" w:eastAsia="zh-CN"/>
              </w:rPr>
              <w:t>一</w:t>
            </w:r>
            <w:r>
              <w:rPr>
                <w:rFonts w:hint="eastAsia"/>
                <w:color w:val="FF0000"/>
                <w:lang w:eastAsia="zh-CN"/>
              </w:rPr>
              <w:t>个月，采用袋装密封存放，危废堆放综合密度约为0.5t/m</w:t>
            </w:r>
            <w:r>
              <w:rPr>
                <w:rFonts w:hint="eastAsia"/>
                <w:color w:val="FF0000"/>
                <w:vertAlign w:val="superscript"/>
                <w:lang w:eastAsia="zh-CN"/>
              </w:rPr>
              <w:t>3</w:t>
            </w:r>
            <w:r>
              <w:rPr>
                <w:rFonts w:hint="eastAsia"/>
                <w:color w:val="FF0000"/>
                <w:lang w:eastAsia="zh-CN"/>
              </w:rPr>
              <w:t>，则危险废物暂存所需容积为</w:t>
            </w:r>
            <w:r>
              <w:rPr>
                <w:rFonts w:hint="eastAsia"/>
                <w:color w:val="FF0000"/>
                <w:lang w:val="en-US" w:eastAsia="zh-CN"/>
              </w:rPr>
              <w:t>2.55</w:t>
            </w:r>
            <w:r>
              <w:rPr>
                <w:rFonts w:hint="eastAsia"/>
                <w:color w:val="FF0000"/>
                <w:lang w:eastAsia="zh-CN"/>
              </w:rPr>
              <w:t>m</w:t>
            </w:r>
            <w:r>
              <w:rPr>
                <w:rFonts w:hint="eastAsia"/>
                <w:color w:val="FF0000"/>
                <w:vertAlign w:val="superscript"/>
                <w:lang w:eastAsia="zh-CN"/>
              </w:rPr>
              <w:t>3</w:t>
            </w:r>
            <w:r>
              <w:rPr>
                <w:rFonts w:hint="eastAsia"/>
                <w:color w:val="FF0000"/>
                <w:lang w:eastAsia="zh-CN"/>
              </w:rPr>
              <w:t>。废锡膏罐、</w:t>
            </w:r>
            <w:r>
              <w:rPr>
                <w:rFonts w:hint="eastAsia"/>
                <w:color w:val="FF0000"/>
                <w:lang w:val="en-US" w:eastAsia="zh-CN"/>
              </w:rPr>
              <w:t>废酒精桶、</w:t>
            </w:r>
            <w:r>
              <w:rPr>
                <w:rFonts w:hint="eastAsia"/>
                <w:color w:val="FF0000"/>
                <w:lang w:eastAsia="zh-CN"/>
              </w:rPr>
              <w:t>废硅胶桶</w:t>
            </w:r>
            <w:r>
              <w:rPr>
                <w:rFonts w:hint="eastAsia"/>
                <w:color w:val="FF0000"/>
                <w:lang w:val="en-US" w:eastAsia="zh-CN"/>
              </w:rPr>
              <w:t>产生量4.747t/a，</w:t>
            </w:r>
            <w:r>
              <w:rPr>
                <w:rFonts w:hint="eastAsia"/>
                <w:color w:val="FF0000"/>
                <w:lang w:eastAsia="zh-CN"/>
              </w:rPr>
              <w:t>转运周期为</w:t>
            </w:r>
            <w:r>
              <w:rPr>
                <w:rFonts w:hint="eastAsia"/>
                <w:color w:val="FF0000"/>
                <w:lang w:val="en-US" w:eastAsia="zh-CN"/>
              </w:rPr>
              <w:t>一</w:t>
            </w:r>
            <w:r>
              <w:rPr>
                <w:rFonts w:hint="eastAsia"/>
                <w:color w:val="FF0000"/>
                <w:lang w:eastAsia="zh-CN"/>
              </w:rPr>
              <w:t>个月，所需容积为</w:t>
            </w:r>
            <w:r>
              <w:rPr>
                <w:rFonts w:hint="eastAsia"/>
                <w:color w:val="FF0000"/>
                <w:lang w:val="en-US" w:eastAsia="zh-CN"/>
              </w:rPr>
              <w:t>4</w:t>
            </w:r>
            <w:r>
              <w:rPr>
                <w:rFonts w:hint="eastAsia"/>
                <w:color w:val="FF0000"/>
                <w:lang w:eastAsia="zh-CN"/>
              </w:rPr>
              <w:t>m</w:t>
            </w:r>
            <w:r>
              <w:rPr>
                <w:rFonts w:hint="eastAsia"/>
                <w:color w:val="FF0000"/>
                <w:vertAlign w:val="superscript"/>
                <w:lang w:eastAsia="zh-CN"/>
              </w:rPr>
              <w:t>3</w:t>
            </w:r>
            <w:r>
              <w:rPr>
                <w:rFonts w:hint="eastAsia"/>
                <w:color w:val="FF0000"/>
                <w:lang w:eastAsia="zh-CN"/>
              </w:rPr>
              <w:t>。</w:t>
            </w:r>
            <w:r>
              <w:rPr>
                <w:rFonts w:hint="eastAsia"/>
                <w:color w:val="FF0000"/>
              </w:rPr>
              <w:t>危险废物暂存区面积10m</w:t>
            </w:r>
            <w:r>
              <w:rPr>
                <w:rFonts w:hint="eastAsia"/>
                <w:color w:val="FF0000"/>
                <w:vertAlign w:val="superscript"/>
              </w:rPr>
              <w:t>2</w:t>
            </w:r>
            <w:r>
              <w:rPr>
                <w:rFonts w:hint="eastAsia"/>
                <w:color w:val="FF0000"/>
              </w:rPr>
              <w:t>，堆积高度约为1.5m，容积为15m</w:t>
            </w:r>
            <w:r>
              <w:rPr>
                <w:rFonts w:hint="eastAsia"/>
                <w:color w:val="FF0000"/>
                <w:vertAlign w:val="superscript"/>
                <w:lang w:val="en-US" w:eastAsia="zh-CN"/>
              </w:rPr>
              <w:t>3</w:t>
            </w:r>
            <w:r>
              <w:rPr>
                <w:rFonts w:hint="eastAsia"/>
                <w:color w:val="FF0000"/>
              </w:rPr>
              <w:t>，厂区新建的可以满足全厂危废贮存的需要。</w:t>
            </w:r>
          </w:p>
          <w:p w14:paraId="1BD1E7B9">
            <w:pPr>
              <w:pStyle w:val="51"/>
              <w:ind w:firstLine="480"/>
            </w:pPr>
            <w:r>
              <w:rPr>
                <w:rFonts w:hint="eastAsia"/>
              </w:rPr>
              <w:t>②危废</w:t>
            </w:r>
            <w:r>
              <w:rPr>
                <w:rFonts w:hint="eastAsia"/>
                <w:lang w:val="en-US" w:eastAsia="zh-CN"/>
              </w:rPr>
              <w:t>暂存间</w:t>
            </w:r>
            <w:r>
              <w:rPr>
                <w:rFonts w:hint="eastAsia"/>
              </w:rPr>
              <w:t>设置要求</w:t>
            </w:r>
          </w:p>
          <w:p w14:paraId="245DFC7F">
            <w:pPr>
              <w:pStyle w:val="51"/>
              <w:ind w:firstLine="480"/>
            </w:pPr>
            <w:r>
              <w:t>根据《危险废物贮存污染控制标准》（GB18597-2023），建设单位对危险固废暂存场所应做到以下几点：</w:t>
            </w:r>
          </w:p>
          <w:p w14:paraId="70ECD387">
            <w:pPr>
              <w:pStyle w:val="51"/>
              <w:ind w:firstLine="480"/>
            </w:pPr>
            <w:r>
              <w:rPr>
                <w:rFonts w:hint="eastAsia"/>
              </w:rPr>
              <w:t>A.地面采用坚固、防渗、耐腐蚀的材料建造，并设计有堵截泄漏的裙脚、泄漏液体收集装置、气体导出口和气体净化装置。</w:t>
            </w:r>
          </w:p>
          <w:p w14:paraId="487BC76C">
            <w:pPr>
              <w:pStyle w:val="51"/>
              <w:ind w:firstLine="480"/>
            </w:pPr>
            <w:r>
              <w:rPr>
                <w:rFonts w:hint="eastAsia"/>
              </w:rPr>
              <w:t>B.应在易燃、易爆等危险品仓库防护区域以外，设施内要有安全照明设施和观察窗口。</w:t>
            </w:r>
          </w:p>
          <w:p w14:paraId="4F9E4AEE">
            <w:pPr>
              <w:pStyle w:val="51"/>
              <w:ind w:firstLine="480"/>
            </w:pPr>
            <w:r>
              <w:rPr>
                <w:rFonts w:hint="eastAsia"/>
              </w:rPr>
              <w:t>C.液体状的危险废物需用符合标准的容器盛装，容器上需粘贴符合《危险废物贮存污染控制标准》（GB18597-20</w:t>
            </w:r>
            <w:r>
              <w:t>23</w:t>
            </w:r>
            <w:r>
              <w:rPr>
                <w:rFonts w:hint="eastAsia"/>
              </w:rPr>
              <w:t>）附录A所示的标签。</w:t>
            </w:r>
          </w:p>
          <w:p w14:paraId="06AD7E5B">
            <w:pPr>
              <w:pStyle w:val="51"/>
              <w:ind w:firstLine="480"/>
            </w:pPr>
            <w:r>
              <w:rPr>
                <w:rFonts w:hint="eastAsia"/>
              </w:rPr>
              <w:t>D.用以存放危险废物容器的地方，必须有耐腐蚀的硬化地面，且表面无裂隙。</w:t>
            </w:r>
          </w:p>
          <w:p w14:paraId="48D52021">
            <w:pPr>
              <w:pStyle w:val="51"/>
              <w:ind w:firstLine="480"/>
            </w:pPr>
            <w:r>
              <w:rPr>
                <w:rFonts w:hint="eastAsia"/>
              </w:rPr>
              <w:t>E.不相容的危险废物必须分开存放，并设有隔离间隔断。</w:t>
            </w:r>
          </w:p>
          <w:p w14:paraId="333E7F3C">
            <w:pPr>
              <w:pStyle w:val="51"/>
              <w:ind w:firstLine="480"/>
            </w:pPr>
            <w:r>
              <w:rPr>
                <w:rFonts w:hint="eastAsia"/>
              </w:rPr>
              <w:t>F.基础必须防渗，防渗层为渗透系数≤10</w:t>
            </w:r>
            <w:r>
              <w:rPr>
                <w:rFonts w:hint="eastAsia"/>
                <w:vertAlign w:val="superscript"/>
              </w:rPr>
              <w:t>-7</w:t>
            </w:r>
            <w:r>
              <w:rPr>
                <w:rFonts w:hint="eastAsia"/>
              </w:rPr>
              <w:t>cm/s。</w:t>
            </w:r>
          </w:p>
          <w:p w14:paraId="40941B42">
            <w:pPr>
              <w:pStyle w:val="51"/>
              <w:ind w:firstLine="480"/>
            </w:pPr>
            <w:r>
              <w:rPr>
                <w:rFonts w:hint="eastAsia"/>
              </w:rPr>
              <w:t>G.危险废物暂存场所要防风、防雨、防晒。</w:t>
            </w:r>
          </w:p>
          <w:p w14:paraId="5C56A2C6">
            <w:pPr>
              <w:pStyle w:val="51"/>
              <w:ind w:firstLine="480"/>
            </w:pPr>
            <w:r>
              <w:rPr>
                <w:rFonts w:hint="eastAsia"/>
              </w:rPr>
              <w:t>③危废处置、管理要求</w:t>
            </w:r>
          </w:p>
          <w:p w14:paraId="6219D4B0">
            <w:pPr>
              <w:pStyle w:val="51"/>
              <w:ind w:firstLine="480"/>
            </w:pPr>
            <w:r>
              <w:rPr>
                <w:rFonts w:hint="eastAsia"/>
              </w:rPr>
              <w:t>根据《中华人民共和国固体废物污染环境防治法(修订)》规定，项目单位对危险废物处置应做到以下几点：</w:t>
            </w:r>
          </w:p>
          <w:p w14:paraId="65A61CBA">
            <w:pPr>
              <w:pStyle w:val="51"/>
              <w:ind w:firstLine="480"/>
            </w:pPr>
            <w:r>
              <w:rPr>
                <w:rFonts w:hint="eastAsia"/>
              </w:rPr>
              <w:t>A.对危险废物的容器和包装物以及收集、贮存、运输、处置危险废物的设施、场所，必须设置危险废物识别标志；厂内危险废物临时堆存应采取相应污染控制措施防止对环境产生影响；装载危险废物的容器及材质要满足相应的强度要求，衬里要与危险废物相容；装载危险废物的容器必须完好无损。</w:t>
            </w:r>
          </w:p>
          <w:p w14:paraId="30A8FB24">
            <w:pPr>
              <w:pStyle w:val="51"/>
              <w:ind w:firstLine="480"/>
            </w:pPr>
            <w:r>
              <w:rPr>
                <w:rFonts w:hint="eastAsia"/>
              </w:rPr>
              <w:t>B.收集、贮存危险废物，必须按照危险废物特性分类进行；禁止混合收集、贮存、运输、处置性质不相容而未经安全性处置的危险废物。项目单位应做好危险废物情况记录，危险废物记录应表明：危险废物的数量、名称，入库日期，出库日期，接受单位名称等。危险废物记录和货单，要在危险废物回收后保存三年。</w:t>
            </w:r>
          </w:p>
          <w:p w14:paraId="5DB7594F">
            <w:pPr>
              <w:pStyle w:val="51"/>
              <w:ind w:firstLine="480"/>
            </w:pPr>
            <w:r>
              <w:rPr>
                <w:rFonts w:hint="eastAsia"/>
              </w:rPr>
              <w:t>C.应制定在发生意外事故时采取的应急措施和防范措施，并向所在地县级以上人民政府环境保护行政主管部门报告。</w:t>
            </w:r>
          </w:p>
          <w:p w14:paraId="5DEA259B">
            <w:pPr>
              <w:pStyle w:val="51"/>
              <w:ind w:firstLine="480"/>
            </w:pPr>
            <w:r>
              <w:rPr>
                <w:rFonts w:hint="eastAsia"/>
              </w:rPr>
              <w:t>D.项目产生的危险废物必须按危险固废管理办法，按危险固废处置程序，纳入“五联单”管理制度。</w:t>
            </w:r>
          </w:p>
          <w:p w14:paraId="1EA8CE46">
            <w:pPr>
              <w:pStyle w:val="51"/>
              <w:ind w:firstLine="480"/>
            </w:pPr>
            <w:r>
              <w:rPr>
                <w:rFonts w:hint="eastAsia"/>
              </w:rPr>
              <w:t>E.危险废物运输过程污染防治措施</w:t>
            </w:r>
          </w:p>
          <w:p w14:paraId="12D6FF57">
            <w:pPr>
              <w:pStyle w:val="51"/>
              <w:ind w:firstLine="480"/>
            </w:pPr>
            <w:r>
              <w:rPr>
                <w:rFonts w:hint="eastAsia"/>
              </w:rPr>
              <w:t>项目危险废物严格按照《危险废物收集贮存运输技术规范》（HJ2025-2012）中相关要求运输，在厂区内部从产生工艺环节运输到危废暂存库过程中，需注意不要散落和泄漏，以免对厂区道路及其他区域产生影响，同时，运输过程应避开办公区，避免对人员产生影响。</w:t>
            </w:r>
          </w:p>
          <w:p w14:paraId="0C673E28">
            <w:pPr>
              <w:pStyle w:val="51"/>
              <w:ind w:firstLine="480"/>
            </w:pPr>
            <w:r>
              <w:rPr>
                <w:rFonts w:hint="eastAsia"/>
              </w:rPr>
              <w:t>危险废物从本项目厂区运输至有资质的处置单位过程中，将严格按照《危险废物收集贮存运输技术规范》（HJ2025-2012）要求，确保运输过程中不会对运输沿线的敏感点产生影响。</w:t>
            </w:r>
          </w:p>
          <w:p w14:paraId="7FBCD5D4">
            <w:pPr>
              <w:pStyle w:val="51"/>
              <w:ind w:firstLine="480"/>
            </w:pPr>
            <w:r>
              <w:rPr>
                <w:rFonts w:hint="eastAsia"/>
              </w:rPr>
              <w:t>F</w:t>
            </w:r>
            <w:r>
              <w:t>.</w:t>
            </w:r>
            <w:r>
              <w:rPr>
                <w:rFonts w:hint="eastAsia"/>
              </w:rPr>
              <w:t>委托利用或者处置的污染防治措施</w:t>
            </w:r>
          </w:p>
          <w:p w14:paraId="7C19E08E">
            <w:pPr>
              <w:pStyle w:val="51"/>
              <w:ind w:firstLine="480"/>
            </w:pPr>
            <w:r>
              <w:rPr>
                <w:rFonts w:hint="eastAsia"/>
              </w:rPr>
              <w:t>环评要求本项目建设单位将产生的危险废物拟委托有资质的单位处置，在选择处置单位时要注意核实接收单位的核准经营范围及处置余量，保证本项目的危险废物均能够得到合理处置。</w:t>
            </w:r>
          </w:p>
          <w:p w14:paraId="6B6EFAC7">
            <w:pPr>
              <w:pStyle w:val="51"/>
              <w:ind w:firstLine="482"/>
              <w:rPr>
                <w:b/>
                <w:bCs/>
              </w:rPr>
            </w:pPr>
            <w:r>
              <w:rPr>
                <w:rFonts w:hint="eastAsia"/>
                <w:b/>
                <w:bCs/>
              </w:rPr>
              <w:t>5、地下水、土壤环境影响分析</w:t>
            </w:r>
          </w:p>
          <w:p w14:paraId="1DAF1483">
            <w:pPr>
              <w:pStyle w:val="51"/>
              <w:ind w:firstLine="480"/>
              <w:rPr>
                <w:bCs/>
              </w:rPr>
            </w:pPr>
            <w:r>
              <w:rPr>
                <w:rFonts w:hint="eastAsia"/>
                <w:bCs/>
              </w:rPr>
              <w:t>（1）地下水、土壤污染源及污染途径</w:t>
            </w:r>
          </w:p>
          <w:p w14:paraId="0F016280">
            <w:pPr>
              <w:pStyle w:val="51"/>
              <w:ind w:firstLine="480"/>
              <w:rPr>
                <w:bCs/>
              </w:rPr>
            </w:pPr>
            <w:r>
              <w:rPr>
                <w:rFonts w:hint="eastAsia"/>
                <w:bCs/>
              </w:rPr>
              <w:t>本项目地下水、土壤主要污染源为原料仓库、生产车间以及危废暂存</w:t>
            </w:r>
            <w:r>
              <w:rPr>
                <w:rFonts w:hint="eastAsia"/>
                <w:bCs/>
                <w:lang w:val="en-US" w:eastAsia="zh-CN"/>
              </w:rPr>
              <w:t>间</w:t>
            </w:r>
            <w:r>
              <w:rPr>
                <w:rFonts w:hint="eastAsia"/>
                <w:bCs/>
              </w:rPr>
              <w:t>。本项目购买已建</w:t>
            </w:r>
            <w:r>
              <w:rPr>
                <w:rFonts w:hint="eastAsia"/>
                <w:bCs/>
                <w:lang w:val="en-US" w:eastAsia="zh-CN"/>
              </w:rPr>
              <w:t>成厂房</w:t>
            </w:r>
            <w:r>
              <w:rPr>
                <w:rFonts w:hint="eastAsia"/>
                <w:bCs/>
              </w:rPr>
              <w:t>，生产车间、原料仓库地面</w:t>
            </w:r>
            <w:r>
              <w:rPr>
                <w:rFonts w:hint="eastAsia"/>
                <w:bCs/>
                <w:lang w:val="en-US" w:eastAsia="zh-CN"/>
              </w:rPr>
              <w:t>均已</w:t>
            </w:r>
            <w:r>
              <w:rPr>
                <w:rFonts w:hint="eastAsia"/>
                <w:bCs/>
              </w:rPr>
              <w:t>落实硬化措施。本项目使用的线路板、各类电子元器件均为固态外购成品，采用纸箱、防静电袋等包装贮存并通过设置符合要求的原料仓库进行存放，基本不存在污染源泄露途径。营运期内锡膏、</w:t>
            </w:r>
            <w:r>
              <w:rPr>
                <w:rFonts w:hint="eastAsia"/>
                <w:bCs/>
                <w:lang w:val="en-US" w:eastAsia="zh-CN"/>
              </w:rPr>
              <w:t>硅胶在</w:t>
            </w:r>
            <w:r>
              <w:rPr>
                <w:rFonts w:hint="eastAsia"/>
                <w:bCs/>
              </w:rPr>
              <w:t>厂区内的原料仓库进行存放</w:t>
            </w:r>
            <w:r>
              <w:rPr>
                <w:rFonts w:hint="eastAsia"/>
                <w:bCs/>
                <w:lang w:eastAsia="zh-CN"/>
              </w:rPr>
              <w:t>，</w:t>
            </w:r>
            <w:r>
              <w:rPr>
                <w:rFonts w:hint="eastAsia"/>
                <w:bCs/>
                <w:color w:val="FF0000"/>
                <w:lang w:val="en-US" w:eastAsia="zh-CN"/>
              </w:rPr>
              <w:t>酒精存放在安全防爆柜中</w:t>
            </w:r>
            <w:r>
              <w:rPr>
                <w:rFonts w:hint="eastAsia"/>
                <w:bCs/>
                <w:color w:val="FF0000"/>
              </w:rPr>
              <w:t>；</w:t>
            </w:r>
            <w:r>
              <w:rPr>
                <w:rFonts w:hint="eastAsia"/>
                <w:bCs/>
              </w:rPr>
              <w:t>危险废物分类收集后暂存于危废暂存库，地面落实硬化、防腐、防渗漏措施，满足设计要求，对土壤和地下水影响较小。</w:t>
            </w:r>
          </w:p>
          <w:p w14:paraId="7E724554">
            <w:pPr>
              <w:pStyle w:val="51"/>
              <w:ind w:firstLine="480"/>
              <w:rPr>
                <w:bCs/>
              </w:rPr>
            </w:pPr>
            <w:r>
              <w:rPr>
                <w:rFonts w:hint="eastAsia"/>
                <w:bCs/>
              </w:rPr>
              <w:t>（</w:t>
            </w:r>
            <w:r>
              <w:rPr>
                <w:rFonts w:hint="eastAsia"/>
                <w:bCs/>
                <w:lang w:val="en-US" w:eastAsia="zh-CN"/>
              </w:rPr>
              <w:t>2</w:t>
            </w:r>
            <w:r>
              <w:rPr>
                <w:rFonts w:hint="eastAsia"/>
                <w:bCs/>
              </w:rPr>
              <w:t>）防控措施</w:t>
            </w:r>
          </w:p>
          <w:p w14:paraId="756BB893">
            <w:pPr>
              <w:pStyle w:val="51"/>
              <w:ind w:firstLine="480"/>
            </w:pPr>
            <w:r>
              <w:t>本项目地下水污染防治措施应按照“源头控制、分区控制、污染监控、应急响应”的主动与被动防渗相结合的防渗原则，做好防止和减少“跑、冒、滴、漏”等源头防污措施的基础上，本项目采取分区防渗措施。</w:t>
            </w:r>
            <w:r>
              <w:rPr>
                <w:rFonts w:hint="eastAsia"/>
              </w:rPr>
              <w:t>项目防渗分区为重点防渗区、一般防渗区和简单防渗区。</w:t>
            </w:r>
          </w:p>
          <w:p w14:paraId="3CE88947">
            <w:pPr>
              <w:pStyle w:val="51"/>
              <w:ind w:firstLine="480"/>
            </w:pPr>
            <w:r>
              <w:rPr>
                <w:rFonts w:hint="eastAsia"/>
              </w:rPr>
              <w:t>重点防渗区包括：危险废物暂存间；一般防渗区包括：一般固废暂存</w:t>
            </w:r>
            <w:r>
              <w:rPr>
                <w:rFonts w:hint="eastAsia"/>
                <w:lang w:val="en-US" w:eastAsia="zh-CN"/>
              </w:rPr>
              <w:t>区</w:t>
            </w:r>
            <w:r>
              <w:rPr>
                <w:rFonts w:hint="eastAsia"/>
                <w:lang w:eastAsia="zh-CN"/>
              </w:rPr>
              <w:t>、</w:t>
            </w:r>
            <w:r>
              <w:rPr>
                <w:rFonts w:hint="eastAsia"/>
                <w:lang w:val="en-US" w:eastAsia="zh-CN"/>
              </w:rPr>
              <w:t>原料仓库、生产车间</w:t>
            </w:r>
            <w:r>
              <w:rPr>
                <w:rFonts w:hint="eastAsia"/>
              </w:rPr>
              <w:t>；其他区域为简单防渗区。</w:t>
            </w:r>
          </w:p>
          <w:p w14:paraId="333919E4">
            <w:pPr>
              <w:pStyle w:val="52"/>
            </w:pPr>
            <w:r>
              <w:rPr>
                <w:rFonts w:hint="eastAsia"/>
              </w:rPr>
              <w:t>表4</w:t>
            </w:r>
            <w:r>
              <w:t>-</w:t>
            </w:r>
            <w:r>
              <w:rPr>
                <w:rFonts w:hint="eastAsia"/>
                <w:lang w:val="en-US" w:eastAsia="zh-CN"/>
              </w:rPr>
              <w:t>17</w:t>
            </w:r>
            <w:r>
              <w:t xml:space="preserve"> </w:t>
            </w:r>
            <w:r>
              <w:rPr>
                <w:rFonts w:hint="eastAsia"/>
              </w:rPr>
              <w:t>地下水、土壤分区防渗措施</w:t>
            </w:r>
          </w:p>
          <w:tbl>
            <w:tblPr>
              <w:tblStyle w:val="23"/>
              <w:tblW w:w="82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42"/>
              <w:gridCol w:w="2848"/>
              <w:gridCol w:w="3432"/>
            </w:tblGrid>
            <w:tr w14:paraId="73002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181" w:type="pct"/>
                  <w:vAlign w:val="center"/>
                </w:tcPr>
                <w:p w14:paraId="3134C62C">
                  <w:pPr>
                    <w:pStyle w:val="85"/>
                    <w:rPr>
                      <w:b/>
                      <w:bCs/>
                    </w:rPr>
                  </w:pPr>
                  <w:r>
                    <w:rPr>
                      <w:b/>
                      <w:bCs/>
                    </w:rPr>
                    <w:t>防渗级别</w:t>
                  </w:r>
                </w:p>
              </w:tc>
              <w:tc>
                <w:tcPr>
                  <w:tcW w:w="1732" w:type="pct"/>
                  <w:vAlign w:val="center"/>
                </w:tcPr>
                <w:p w14:paraId="50A35FBF">
                  <w:pPr>
                    <w:pStyle w:val="85"/>
                    <w:rPr>
                      <w:b/>
                      <w:bCs/>
                    </w:rPr>
                  </w:pPr>
                  <w:r>
                    <w:rPr>
                      <w:rFonts w:hint="eastAsia"/>
                      <w:b/>
                      <w:bCs/>
                    </w:rPr>
                    <w:t>位置</w:t>
                  </w:r>
                </w:p>
              </w:tc>
              <w:tc>
                <w:tcPr>
                  <w:tcW w:w="2087" w:type="pct"/>
                  <w:vAlign w:val="center"/>
                </w:tcPr>
                <w:p w14:paraId="269D1375">
                  <w:pPr>
                    <w:pStyle w:val="85"/>
                    <w:rPr>
                      <w:b/>
                      <w:bCs/>
                    </w:rPr>
                  </w:pPr>
                  <w:r>
                    <w:rPr>
                      <w:b/>
                      <w:bCs/>
                    </w:rPr>
                    <w:t>防渗要求</w:t>
                  </w:r>
                </w:p>
              </w:tc>
            </w:tr>
            <w:tr w14:paraId="29737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181" w:type="pct"/>
                  <w:vAlign w:val="center"/>
                </w:tcPr>
                <w:p w14:paraId="67D7A284">
                  <w:pPr>
                    <w:pStyle w:val="85"/>
                  </w:pPr>
                  <w:r>
                    <w:rPr>
                      <w:rFonts w:hint="eastAsia"/>
                    </w:rPr>
                    <w:t>重点防渗区</w:t>
                  </w:r>
                </w:p>
              </w:tc>
              <w:tc>
                <w:tcPr>
                  <w:tcW w:w="1732" w:type="pct"/>
                  <w:vAlign w:val="center"/>
                </w:tcPr>
                <w:p w14:paraId="568297AA">
                  <w:pPr>
                    <w:pStyle w:val="85"/>
                  </w:pPr>
                  <w:r>
                    <w:rPr>
                      <w:rFonts w:hint="eastAsia"/>
                    </w:rPr>
                    <w:t>危险废物暂存间</w:t>
                  </w:r>
                </w:p>
              </w:tc>
              <w:tc>
                <w:tcPr>
                  <w:tcW w:w="2087" w:type="pct"/>
                  <w:vAlign w:val="center"/>
                </w:tcPr>
                <w:p w14:paraId="6B013C4E">
                  <w:pPr>
                    <w:pStyle w:val="85"/>
                    <w:rPr>
                      <w:rFonts w:hint="eastAsia" w:eastAsia="宋体"/>
                      <w:lang w:eastAsia="zh-CN"/>
                    </w:rPr>
                  </w:pPr>
                  <w:r>
                    <w:rPr>
                      <w:rFonts w:hint="eastAsia"/>
                      <w:color w:val="FF0000"/>
                    </w:rPr>
                    <w:t>本项目危废暂存库位于</w:t>
                  </w:r>
                  <w:r>
                    <w:rPr>
                      <w:rFonts w:hint="eastAsia"/>
                      <w:color w:val="FF0000"/>
                      <w:lang w:val="en-US" w:eastAsia="zh-CN"/>
                    </w:rPr>
                    <w:t>现有厂房内</w:t>
                  </w:r>
                  <w:r>
                    <w:rPr>
                      <w:rFonts w:hint="eastAsia"/>
                      <w:color w:val="FF0000"/>
                    </w:rPr>
                    <w:t>，地面已硬化，采取地面刷一层环氧树脂漆和设置围堰的方法防流失、防渗漏</w:t>
                  </w:r>
                  <w:r>
                    <w:rPr>
                      <w:rFonts w:hint="eastAsia"/>
                      <w:color w:val="FF0000"/>
                      <w:lang w:eastAsia="zh-CN"/>
                    </w:rPr>
                    <w:t>。</w:t>
                  </w:r>
                </w:p>
              </w:tc>
            </w:tr>
            <w:tr w14:paraId="2C09C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181" w:type="pct"/>
                  <w:vAlign w:val="center"/>
                </w:tcPr>
                <w:p w14:paraId="7D3F63CA">
                  <w:pPr>
                    <w:pStyle w:val="85"/>
                  </w:pPr>
                  <w:r>
                    <w:t>一般防渗区</w:t>
                  </w:r>
                </w:p>
              </w:tc>
              <w:tc>
                <w:tcPr>
                  <w:tcW w:w="1732" w:type="pct"/>
                  <w:vAlign w:val="center"/>
                </w:tcPr>
                <w:p w14:paraId="03E43F23">
                  <w:pPr>
                    <w:pStyle w:val="85"/>
                    <w:rPr>
                      <w:rFonts w:hint="eastAsia" w:eastAsia="宋体"/>
                      <w:lang w:val="en-US" w:eastAsia="zh-CN"/>
                    </w:rPr>
                  </w:pPr>
                  <w:r>
                    <w:rPr>
                      <w:rFonts w:hint="eastAsia"/>
                      <w:lang w:val="en-US" w:eastAsia="zh-CN"/>
                    </w:rPr>
                    <w:t>生产车间</w:t>
                  </w:r>
                  <w:r>
                    <w:rPr>
                      <w:rFonts w:hint="eastAsia"/>
                    </w:rPr>
                    <w:t>、</w:t>
                  </w:r>
                  <w:r>
                    <w:rPr>
                      <w:rFonts w:hint="eastAsia"/>
                      <w:lang w:val="en-US" w:eastAsia="zh-CN"/>
                    </w:rPr>
                    <w:t>原料仓库、</w:t>
                  </w:r>
                  <w:r>
                    <w:rPr>
                      <w:rFonts w:hint="eastAsia"/>
                    </w:rPr>
                    <w:t>一般固废暂存</w:t>
                  </w:r>
                  <w:r>
                    <w:rPr>
                      <w:rFonts w:hint="eastAsia"/>
                      <w:lang w:val="en-US" w:eastAsia="zh-CN"/>
                    </w:rPr>
                    <w:t>区</w:t>
                  </w:r>
                </w:p>
              </w:tc>
              <w:tc>
                <w:tcPr>
                  <w:tcW w:w="2087" w:type="pct"/>
                  <w:vAlign w:val="center"/>
                </w:tcPr>
                <w:p w14:paraId="6656D3D7">
                  <w:pPr>
                    <w:pStyle w:val="85"/>
                  </w:pPr>
                  <w:r>
                    <w:t>等效粘土防渗层Mb≥1.5m，K≤1.0×10</w:t>
                  </w:r>
                  <w:r>
                    <w:rPr>
                      <w:vertAlign w:val="superscript"/>
                    </w:rPr>
                    <w:t>-7</w:t>
                  </w:r>
                  <w:r>
                    <w:t>cm/s；或参照GB16889执行。</w:t>
                  </w:r>
                </w:p>
              </w:tc>
            </w:tr>
            <w:tr w14:paraId="216C9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181" w:type="pct"/>
                  <w:vAlign w:val="center"/>
                </w:tcPr>
                <w:p w14:paraId="0F02AB51">
                  <w:pPr>
                    <w:pStyle w:val="85"/>
                  </w:pPr>
                  <w:r>
                    <w:t>简单防渗区</w:t>
                  </w:r>
                </w:p>
              </w:tc>
              <w:tc>
                <w:tcPr>
                  <w:tcW w:w="1732" w:type="pct"/>
                  <w:vAlign w:val="center"/>
                </w:tcPr>
                <w:p w14:paraId="747309E8">
                  <w:pPr>
                    <w:pStyle w:val="85"/>
                  </w:pPr>
                  <w:r>
                    <w:rPr>
                      <w:rFonts w:hint="eastAsia"/>
                    </w:rPr>
                    <w:t>其他区域</w:t>
                  </w:r>
                </w:p>
              </w:tc>
              <w:tc>
                <w:tcPr>
                  <w:tcW w:w="2087" w:type="pct"/>
                  <w:vAlign w:val="center"/>
                </w:tcPr>
                <w:p w14:paraId="7C4FEE0E">
                  <w:pPr>
                    <w:pStyle w:val="85"/>
                  </w:pPr>
                  <w:r>
                    <w:rPr>
                      <w:rFonts w:hint="eastAsia"/>
                      <w:lang w:val="en-US" w:eastAsia="zh-CN"/>
                    </w:rPr>
                    <w:t>已作</w:t>
                  </w:r>
                  <w:r>
                    <w:t>一般地面硬化</w:t>
                  </w:r>
                </w:p>
              </w:tc>
            </w:tr>
          </w:tbl>
          <w:p w14:paraId="49284182">
            <w:pPr>
              <w:pStyle w:val="79"/>
            </w:pPr>
            <w:r>
              <w:rPr>
                <w:rFonts w:hint="eastAsia"/>
              </w:rPr>
              <w:t>6、环境风险影响及防范措施</w:t>
            </w:r>
          </w:p>
          <w:p w14:paraId="3F148722">
            <w:pPr>
              <w:pStyle w:val="51"/>
              <w:ind w:firstLine="482"/>
              <w:rPr>
                <w:b/>
                <w:bCs/>
              </w:rPr>
            </w:pPr>
            <w:r>
              <w:rPr>
                <w:rFonts w:hint="eastAsia"/>
                <w:color w:val="auto"/>
                <w:sz w:val="24"/>
              </w:rPr>
              <w:t>根据《建设项目环境影响报告表编制技术指南（污染影响类）（试行）》要求，需明确有毒有害和易燃易爆等危险物质和风险源分布情况及可能影响途径，并提出相应环境风险防范措施。</w:t>
            </w:r>
          </w:p>
          <w:p w14:paraId="21DC179A">
            <w:pPr>
              <w:pStyle w:val="51"/>
              <w:rPr>
                <w:color w:val="auto"/>
              </w:rPr>
            </w:pPr>
            <w:r>
              <w:rPr>
                <w:rFonts w:hint="eastAsia"/>
                <w:color w:val="auto"/>
              </w:rPr>
              <w:t>（1）物质危险性识别</w:t>
            </w:r>
          </w:p>
          <w:p w14:paraId="138230F6">
            <w:pPr>
              <w:spacing w:line="360" w:lineRule="auto"/>
              <w:ind w:firstLine="480" w:firstLineChars="200"/>
              <w:jc w:val="left"/>
              <w:rPr>
                <w:color w:val="auto"/>
                <w:sz w:val="24"/>
              </w:rPr>
            </w:pPr>
            <w:r>
              <w:rPr>
                <w:rFonts w:hint="eastAsia"/>
                <w:color w:val="auto"/>
                <w:sz w:val="24"/>
              </w:rPr>
              <w:t>参照《建设项目环境风险评价技术导则》（HJ 169-2018）“表B.1 突发环境事件风险物质及临界量”，拟建项目涉及危险物质主要有：</w:t>
            </w:r>
          </w:p>
          <w:p w14:paraId="12CF1275">
            <w:pPr>
              <w:widowControl/>
              <w:spacing w:line="360" w:lineRule="auto"/>
              <w:jc w:val="center"/>
              <w:rPr>
                <w:b/>
                <w:bCs/>
                <w:color w:val="auto"/>
                <w:kern w:val="0"/>
                <w:szCs w:val="21"/>
              </w:rPr>
            </w:pPr>
            <w:r>
              <w:rPr>
                <w:rFonts w:hint="eastAsia"/>
                <w:b/>
                <w:bCs/>
                <w:color w:val="auto"/>
                <w:kern w:val="0"/>
                <w:szCs w:val="21"/>
              </w:rPr>
              <w:t>表4-</w:t>
            </w:r>
            <w:r>
              <w:rPr>
                <w:rFonts w:hint="eastAsia"/>
                <w:b/>
                <w:bCs/>
                <w:color w:val="auto"/>
                <w:kern w:val="0"/>
                <w:szCs w:val="21"/>
                <w:lang w:val="en-US" w:eastAsia="zh-CN"/>
              </w:rPr>
              <w:t>18</w:t>
            </w:r>
            <w:r>
              <w:rPr>
                <w:rFonts w:hint="eastAsia"/>
                <w:b/>
                <w:bCs/>
                <w:color w:val="auto"/>
                <w:kern w:val="0"/>
                <w:szCs w:val="21"/>
              </w:rPr>
              <w:t xml:space="preserve">  环境风险物质数量与临界量比值情况一览表</w:t>
            </w:r>
          </w:p>
          <w:tbl>
            <w:tblPr>
              <w:tblStyle w:val="2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1247"/>
              <w:gridCol w:w="818"/>
              <w:gridCol w:w="977"/>
              <w:gridCol w:w="746"/>
              <w:gridCol w:w="820"/>
              <w:gridCol w:w="1046"/>
              <w:gridCol w:w="984"/>
              <w:gridCol w:w="986"/>
            </w:tblGrid>
            <w:tr w14:paraId="30D8A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488" w:type="dxa"/>
                  <w:vMerge w:val="restart"/>
                  <w:vAlign w:val="center"/>
                </w:tcPr>
                <w:p w14:paraId="2D03D6D7">
                  <w:pPr>
                    <w:jc w:val="center"/>
                    <w:rPr>
                      <w:b/>
                      <w:bCs/>
                      <w:color w:val="auto"/>
                      <w:szCs w:val="21"/>
                    </w:rPr>
                  </w:pPr>
                  <w:r>
                    <w:rPr>
                      <w:rFonts w:hint="eastAsia"/>
                      <w:b/>
                      <w:bCs/>
                      <w:color w:val="auto"/>
                      <w:szCs w:val="21"/>
                    </w:rPr>
                    <w:t>序号</w:t>
                  </w:r>
                </w:p>
              </w:tc>
              <w:tc>
                <w:tcPr>
                  <w:tcW w:w="1271" w:type="dxa"/>
                  <w:vMerge w:val="restart"/>
                  <w:vAlign w:val="center"/>
                </w:tcPr>
                <w:p w14:paraId="0755C2C3">
                  <w:pPr>
                    <w:jc w:val="center"/>
                    <w:rPr>
                      <w:b/>
                      <w:bCs/>
                      <w:color w:val="auto"/>
                      <w:szCs w:val="21"/>
                    </w:rPr>
                  </w:pPr>
                  <w:r>
                    <w:rPr>
                      <w:rFonts w:hint="eastAsia"/>
                      <w:b/>
                      <w:bCs/>
                      <w:color w:val="auto"/>
                      <w:szCs w:val="21"/>
                    </w:rPr>
                    <w:t>危险物料</w:t>
                  </w:r>
                </w:p>
              </w:tc>
              <w:tc>
                <w:tcPr>
                  <w:tcW w:w="832" w:type="dxa"/>
                  <w:vMerge w:val="restart"/>
                  <w:vAlign w:val="center"/>
                </w:tcPr>
                <w:p w14:paraId="001D5F5A">
                  <w:pPr>
                    <w:jc w:val="center"/>
                    <w:rPr>
                      <w:b/>
                      <w:bCs/>
                      <w:color w:val="auto"/>
                      <w:szCs w:val="21"/>
                    </w:rPr>
                  </w:pPr>
                  <w:r>
                    <w:rPr>
                      <w:rFonts w:hint="eastAsia"/>
                      <w:b/>
                      <w:bCs/>
                      <w:color w:val="auto"/>
                      <w:szCs w:val="21"/>
                    </w:rPr>
                    <w:t>最大储存量t</w:t>
                  </w:r>
                </w:p>
              </w:tc>
              <w:tc>
                <w:tcPr>
                  <w:tcW w:w="2588" w:type="dxa"/>
                  <w:gridSpan w:val="3"/>
                  <w:vAlign w:val="center"/>
                </w:tcPr>
                <w:p w14:paraId="01DFAF21">
                  <w:pPr>
                    <w:jc w:val="center"/>
                    <w:rPr>
                      <w:b/>
                      <w:bCs/>
                      <w:color w:val="auto"/>
                      <w:szCs w:val="21"/>
                    </w:rPr>
                  </w:pPr>
                  <w:r>
                    <w:rPr>
                      <w:rFonts w:hint="eastAsia"/>
                      <w:b/>
                      <w:bCs/>
                      <w:color w:val="auto"/>
                      <w:szCs w:val="21"/>
                    </w:rPr>
                    <w:t>危险物质及含量</w:t>
                  </w:r>
                </w:p>
              </w:tc>
              <w:tc>
                <w:tcPr>
                  <w:tcW w:w="1066" w:type="dxa"/>
                  <w:vMerge w:val="restart"/>
                  <w:vAlign w:val="center"/>
                </w:tcPr>
                <w:p w14:paraId="7D4E37A3">
                  <w:pPr>
                    <w:jc w:val="center"/>
                    <w:rPr>
                      <w:b/>
                      <w:bCs/>
                      <w:color w:val="auto"/>
                      <w:szCs w:val="21"/>
                    </w:rPr>
                  </w:pPr>
                  <w:r>
                    <w:rPr>
                      <w:rFonts w:hint="eastAsia"/>
                      <w:b/>
                      <w:bCs/>
                      <w:color w:val="auto"/>
                      <w:szCs w:val="21"/>
                    </w:rPr>
                    <w:t>CAS号</w:t>
                  </w:r>
                </w:p>
              </w:tc>
              <w:tc>
                <w:tcPr>
                  <w:tcW w:w="2006" w:type="dxa"/>
                  <w:gridSpan w:val="2"/>
                  <w:vAlign w:val="center"/>
                </w:tcPr>
                <w:p w14:paraId="3CB96EB3">
                  <w:pPr>
                    <w:jc w:val="center"/>
                    <w:rPr>
                      <w:b/>
                      <w:bCs/>
                      <w:color w:val="auto"/>
                      <w:szCs w:val="21"/>
                    </w:rPr>
                  </w:pPr>
                  <w:r>
                    <w:rPr>
                      <w:rFonts w:hint="eastAsia"/>
                      <w:b/>
                      <w:bCs/>
                      <w:color w:val="auto"/>
                      <w:szCs w:val="21"/>
                    </w:rPr>
                    <w:t>危险源辨识</w:t>
                  </w:r>
                </w:p>
              </w:tc>
            </w:tr>
            <w:tr w14:paraId="09A12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488" w:type="dxa"/>
                  <w:vMerge w:val="continue"/>
                  <w:vAlign w:val="center"/>
                </w:tcPr>
                <w:p w14:paraId="0237ACF6">
                  <w:pPr>
                    <w:jc w:val="center"/>
                    <w:rPr>
                      <w:b/>
                      <w:bCs/>
                      <w:color w:val="auto"/>
                    </w:rPr>
                  </w:pPr>
                </w:p>
              </w:tc>
              <w:tc>
                <w:tcPr>
                  <w:tcW w:w="1271" w:type="dxa"/>
                  <w:vMerge w:val="continue"/>
                  <w:vAlign w:val="center"/>
                </w:tcPr>
                <w:p w14:paraId="2CF31456">
                  <w:pPr>
                    <w:jc w:val="center"/>
                    <w:rPr>
                      <w:b/>
                      <w:bCs/>
                      <w:color w:val="auto"/>
                    </w:rPr>
                  </w:pPr>
                </w:p>
              </w:tc>
              <w:tc>
                <w:tcPr>
                  <w:tcW w:w="832" w:type="dxa"/>
                  <w:vMerge w:val="continue"/>
                  <w:vAlign w:val="center"/>
                </w:tcPr>
                <w:p w14:paraId="045FFF37">
                  <w:pPr>
                    <w:jc w:val="center"/>
                    <w:rPr>
                      <w:b/>
                      <w:bCs/>
                      <w:color w:val="auto"/>
                    </w:rPr>
                  </w:pPr>
                </w:p>
              </w:tc>
              <w:tc>
                <w:tcPr>
                  <w:tcW w:w="995" w:type="dxa"/>
                  <w:vAlign w:val="center"/>
                </w:tcPr>
                <w:p w14:paraId="71CE8E89">
                  <w:pPr>
                    <w:jc w:val="center"/>
                    <w:rPr>
                      <w:b/>
                      <w:bCs/>
                      <w:color w:val="auto"/>
                      <w:szCs w:val="21"/>
                    </w:rPr>
                  </w:pPr>
                  <w:r>
                    <w:rPr>
                      <w:rFonts w:hint="eastAsia"/>
                      <w:b/>
                      <w:bCs/>
                      <w:color w:val="auto"/>
                      <w:szCs w:val="21"/>
                    </w:rPr>
                    <w:t>名称</w:t>
                  </w:r>
                </w:p>
              </w:tc>
              <w:tc>
                <w:tcPr>
                  <w:tcW w:w="759" w:type="dxa"/>
                  <w:vAlign w:val="center"/>
                </w:tcPr>
                <w:p w14:paraId="1C3F0865">
                  <w:pPr>
                    <w:jc w:val="center"/>
                    <w:rPr>
                      <w:b/>
                      <w:bCs/>
                      <w:color w:val="auto"/>
                      <w:szCs w:val="21"/>
                    </w:rPr>
                  </w:pPr>
                  <w:r>
                    <w:rPr>
                      <w:rFonts w:hint="eastAsia"/>
                      <w:b/>
                      <w:bCs/>
                      <w:color w:val="auto"/>
                      <w:szCs w:val="21"/>
                    </w:rPr>
                    <w:t>含量</w:t>
                  </w:r>
                </w:p>
              </w:tc>
              <w:tc>
                <w:tcPr>
                  <w:tcW w:w="834" w:type="dxa"/>
                  <w:vAlign w:val="center"/>
                </w:tcPr>
                <w:p w14:paraId="3931D073">
                  <w:pPr>
                    <w:jc w:val="center"/>
                    <w:rPr>
                      <w:b/>
                      <w:bCs/>
                      <w:color w:val="auto"/>
                      <w:szCs w:val="21"/>
                    </w:rPr>
                  </w:pPr>
                  <w:r>
                    <w:rPr>
                      <w:rFonts w:hint="eastAsia"/>
                      <w:b/>
                      <w:bCs/>
                      <w:color w:val="auto"/>
                      <w:szCs w:val="21"/>
                    </w:rPr>
                    <w:t>重量</w:t>
                  </w:r>
                </w:p>
              </w:tc>
              <w:tc>
                <w:tcPr>
                  <w:tcW w:w="1066" w:type="dxa"/>
                  <w:vMerge w:val="continue"/>
                  <w:vAlign w:val="center"/>
                </w:tcPr>
                <w:p w14:paraId="4716A9BD">
                  <w:pPr>
                    <w:jc w:val="center"/>
                    <w:rPr>
                      <w:b/>
                      <w:bCs/>
                      <w:color w:val="auto"/>
                      <w:szCs w:val="21"/>
                    </w:rPr>
                  </w:pPr>
                </w:p>
              </w:tc>
              <w:tc>
                <w:tcPr>
                  <w:tcW w:w="1002" w:type="dxa"/>
                  <w:vAlign w:val="center"/>
                </w:tcPr>
                <w:p w14:paraId="4B7A88F5">
                  <w:pPr>
                    <w:jc w:val="center"/>
                    <w:rPr>
                      <w:b/>
                      <w:bCs/>
                      <w:color w:val="auto"/>
                      <w:szCs w:val="21"/>
                    </w:rPr>
                  </w:pPr>
                  <w:r>
                    <w:rPr>
                      <w:b/>
                      <w:bCs/>
                      <w:color w:val="auto"/>
                      <w:szCs w:val="21"/>
                    </w:rPr>
                    <w:t>临界量Q（t）</w:t>
                  </w:r>
                </w:p>
              </w:tc>
              <w:tc>
                <w:tcPr>
                  <w:tcW w:w="1004" w:type="dxa"/>
                  <w:vAlign w:val="center"/>
                </w:tcPr>
                <w:p w14:paraId="36E4FBEA">
                  <w:pPr>
                    <w:jc w:val="center"/>
                    <w:rPr>
                      <w:b/>
                      <w:bCs/>
                      <w:color w:val="auto"/>
                      <w:szCs w:val="21"/>
                    </w:rPr>
                  </w:pPr>
                  <w:r>
                    <w:rPr>
                      <w:b/>
                      <w:bCs/>
                      <w:color w:val="auto"/>
                      <w:szCs w:val="21"/>
                    </w:rPr>
                    <w:t>q/Q</w:t>
                  </w:r>
                </w:p>
              </w:tc>
            </w:tr>
            <w:tr w14:paraId="13299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jc w:val="center"/>
              </w:trPr>
              <w:tc>
                <w:tcPr>
                  <w:tcW w:w="488" w:type="dxa"/>
                  <w:vMerge w:val="restart"/>
                  <w:vAlign w:val="center"/>
                </w:tcPr>
                <w:p w14:paraId="05C25BFD">
                  <w:pPr>
                    <w:jc w:val="center"/>
                    <w:rPr>
                      <w:color w:val="auto"/>
                      <w:szCs w:val="21"/>
                    </w:rPr>
                  </w:pPr>
                  <w:r>
                    <w:rPr>
                      <w:rFonts w:hint="eastAsia"/>
                      <w:color w:val="auto"/>
                      <w:szCs w:val="21"/>
                    </w:rPr>
                    <w:t>1</w:t>
                  </w:r>
                </w:p>
              </w:tc>
              <w:tc>
                <w:tcPr>
                  <w:tcW w:w="1271" w:type="dxa"/>
                  <w:vMerge w:val="restart"/>
                  <w:vAlign w:val="center"/>
                </w:tcPr>
                <w:p w14:paraId="0C4FB023">
                  <w:pPr>
                    <w:jc w:val="center"/>
                    <w:rPr>
                      <w:color w:val="auto"/>
                      <w:szCs w:val="21"/>
                    </w:rPr>
                  </w:pPr>
                  <w:r>
                    <w:rPr>
                      <w:rFonts w:hint="eastAsia"/>
                      <w:color w:val="auto"/>
                      <w:szCs w:val="21"/>
                    </w:rPr>
                    <w:t>锡膏</w:t>
                  </w:r>
                </w:p>
              </w:tc>
              <w:tc>
                <w:tcPr>
                  <w:tcW w:w="832" w:type="dxa"/>
                  <w:vMerge w:val="restart"/>
                  <w:vAlign w:val="center"/>
                </w:tcPr>
                <w:p w14:paraId="6824DD2B">
                  <w:pPr>
                    <w:jc w:val="center"/>
                    <w:rPr>
                      <w:rFonts w:hint="default" w:eastAsia="宋体"/>
                      <w:color w:val="auto"/>
                      <w:szCs w:val="21"/>
                      <w:lang w:val="en-US" w:eastAsia="zh-CN"/>
                    </w:rPr>
                  </w:pPr>
                  <w:r>
                    <w:rPr>
                      <w:rFonts w:hint="eastAsia"/>
                      <w:color w:val="auto"/>
                      <w:szCs w:val="21"/>
                      <w:lang w:val="en-US" w:eastAsia="zh-CN"/>
                    </w:rPr>
                    <w:t>1.15</w:t>
                  </w:r>
                </w:p>
              </w:tc>
              <w:tc>
                <w:tcPr>
                  <w:tcW w:w="995" w:type="dxa"/>
                  <w:vAlign w:val="center"/>
                </w:tcPr>
                <w:p w14:paraId="6945AC23">
                  <w:pPr>
                    <w:jc w:val="center"/>
                    <w:rPr>
                      <w:color w:val="auto"/>
                      <w:szCs w:val="21"/>
                    </w:rPr>
                  </w:pPr>
                  <w:r>
                    <w:rPr>
                      <w:rFonts w:hint="eastAsia"/>
                      <w:color w:val="auto"/>
                      <w:szCs w:val="21"/>
                    </w:rPr>
                    <w:t>银</w:t>
                  </w:r>
                </w:p>
              </w:tc>
              <w:tc>
                <w:tcPr>
                  <w:tcW w:w="759" w:type="dxa"/>
                  <w:vAlign w:val="center"/>
                </w:tcPr>
                <w:p w14:paraId="30E99BAC">
                  <w:pPr>
                    <w:jc w:val="center"/>
                    <w:rPr>
                      <w:color w:val="auto"/>
                      <w:szCs w:val="21"/>
                    </w:rPr>
                  </w:pPr>
                  <w:r>
                    <w:rPr>
                      <w:rFonts w:hint="eastAsia"/>
                      <w:color w:val="auto"/>
                      <w:szCs w:val="21"/>
                    </w:rPr>
                    <w:t>2.</w:t>
                  </w:r>
                  <w:r>
                    <w:rPr>
                      <w:rFonts w:hint="eastAsia"/>
                      <w:color w:val="auto"/>
                      <w:szCs w:val="21"/>
                      <w:lang w:val="en-US" w:eastAsia="zh-CN"/>
                    </w:rPr>
                    <w:t>65</w:t>
                  </w:r>
                  <w:r>
                    <w:rPr>
                      <w:rFonts w:hint="eastAsia"/>
                      <w:color w:val="auto"/>
                      <w:szCs w:val="21"/>
                    </w:rPr>
                    <w:t>%</w:t>
                  </w:r>
                </w:p>
              </w:tc>
              <w:tc>
                <w:tcPr>
                  <w:tcW w:w="834" w:type="dxa"/>
                  <w:vAlign w:val="center"/>
                </w:tcPr>
                <w:p w14:paraId="0D05F0FA">
                  <w:pPr>
                    <w:jc w:val="center"/>
                    <w:rPr>
                      <w:rFonts w:hint="default" w:eastAsia="宋体"/>
                      <w:color w:val="auto"/>
                      <w:szCs w:val="21"/>
                      <w:lang w:val="en-US" w:eastAsia="zh-CN"/>
                    </w:rPr>
                  </w:pPr>
                  <w:r>
                    <w:rPr>
                      <w:rFonts w:hint="eastAsia"/>
                      <w:color w:val="auto"/>
                      <w:szCs w:val="21"/>
                    </w:rPr>
                    <w:t>0.0</w:t>
                  </w:r>
                  <w:r>
                    <w:rPr>
                      <w:rFonts w:hint="eastAsia"/>
                      <w:color w:val="auto"/>
                      <w:szCs w:val="21"/>
                      <w:lang w:val="en-US" w:eastAsia="zh-CN"/>
                    </w:rPr>
                    <w:t>30</w:t>
                  </w:r>
                </w:p>
              </w:tc>
              <w:tc>
                <w:tcPr>
                  <w:tcW w:w="1066" w:type="dxa"/>
                  <w:vAlign w:val="center"/>
                </w:tcPr>
                <w:p w14:paraId="37FA51FB">
                  <w:pPr>
                    <w:jc w:val="center"/>
                    <w:rPr>
                      <w:color w:val="auto"/>
                      <w:szCs w:val="21"/>
                    </w:rPr>
                  </w:pPr>
                  <w:r>
                    <w:rPr>
                      <w:rFonts w:hint="eastAsia"/>
                      <w:color w:val="auto"/>
                      <w:szCs w:val="21"/>
                    </w:rPr>
                    <w:t>7440-50-8</w:t>
                  </w:r>
                </w:p>
              </w:tc>
              <w:tc>
                <w:tcPr>
                  <w:tcW w:w="1002" w:type="dxa"/>
                  <w:vAlign w:val="center"/>
                </w:tcPr>
                <w:p w14:paraId="1927D5A4">
                  <w:pPr>
                    <w:jc w:val="center"/>
                    <w:rPr>
                      <w:color w:val="auto"/>
                      <w:szCs w:val="21"/>
                    </w:rPr>
                  </w:pPr>
                  <w:r>
                    <w:rPr>
                      <w:rFonts w:hint="eastAsia"/>
                      <w:color w:val="auto"/>
                      <w:szCs w:val="21"/>
                    </w:rPr>
                    <w:t>0.25</w:t>
                  </w:r>
                </w:p>
              </w:tc>
              <w:tc>
                <w:tcPr>
                  <w:tcW w:w="1004" w:type="dxa"/>
                  <w:vAlign w:val="center"/>
                </w:tcPr>
                <w:p w14:paraId="283BA4AF">
                  <w:pPr>
                    <w:jc w:val="center"/>
                    <w:rPr>
                      <w:rFonts w:hint="default" w:eastAsia="宋体"/>
                      <w:color w:val="auto"/>
                      <w:szCs w:val="21"/>
                      <w:lang w:val="en-US" w:eastAsia="zh-CN"/>
                    </w:rPr>
                  </w:pPr>
                  <w:r>
                    <w:rPr>
                      <w:rFonts w:hint="eastAsia"/>
                      <w:color w:val="auto"/>
                      <w:szCs w:val="21"/>
                    </w:rPr>
                    <w:t>0.</w:t>
                  </w:r>
                  <w:r>
                    <w:rPr>
                      <w:rFonts w:hint="eastAsia"/>
                      <w:color w:val="auto"/>
                      <w:szCs w:val="21"/>
                      <w:lang w:val="en-US" w:eastAsia="zh-CN"/>
                    </w:rPr>
                    <w:t>12</w:t>
                  </w:r>
                </w:p>
              </w:tc>
            </w:tr>
            <w:tr w14:paraId="7FF98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jc w:val="center"/>
              </w:trPr>
              <w:tc>
                <w:tcPr>
                  <w:tcW w:w="488" w:type="dxa"/>
                  <w:vMerge w:val="continue"/>
                  <w:vAlign w:val="center"/>
                </w:tcPr>
                <w:p w14:paraId="1D58F8CC">
                  <w:pPr>
                    <w:jc w:val="center"/>
                    <w:rPr>
                      <w:rFonts w:hint="eastAsia"/>
                      <w:color w:val="auto"/>
                      <w:szCs w:val="21"/>
                    </w:rPr>
                  </w:pPr>
                </w:p>
              </w:tc>
              <w:tc>
                <w:tcPr>
                  <w:tcW w:w="1271" w:type="dxa"/>
                  <w:vMerge w:val="continue"/>
                  <w:vAlign w:val="center"/>
                </w:tcPr>
                <w:p w14:paraId="3CE0F22C">
                  <w:pPr>
                    <w:jc w:val="center"/>
                    <w:rPr>
                      <w:rFonts w:hint="eastAsia"/>
                      <w:color w:val="auto"/>
                      <w:szCs w:val="21"/>
                    </w:rPr>
                  </w:pPr>
                </w:p>
              </w:tc>
              <w:tc>
                <w:tcPr>
                  <w:tcW w:w="832" w:type="dxa"/>
                  <w:vMerge w:val="continue"/>
                  <w:vAlign w:val="center"/>
                </w:tcPr>
                <w:p w14:paraId="3AA824FA">
                  <w:pPr>
                    <w:jc w:val="center"/>
                    <w:rPr>
                      <w:rFonts w:hint="eastAsia"/>
                      <w:color w:val="auto"/>
                      <w:szCs w:val="21"/>
                    </w:rPr>
                  </w:pPr>
                </w:p>
              </w:tc>
              <w:tc>
                <w:tcPr>
                  <w:tcW w:w="995" w:type="dxa"/>
                  <w:vAlign w:val="center"/>
                </w:tcPr>
                <w:p w14:paraId="0553F0E3">
                  <w:pPr>
                    <w:jc w:val="center"/>
                    <w:rPr>
                      <w:rFonts w:hint="eastAsia" w:eastAsia="宋体"/>
                      <w:color w:val="auto"/>
                      <w:szCs w:val="21"/>
                      <w:lang w:val="en-US" w:eastAsia="zh-CN"/>
                    </w:rPr>
                  </w:pPr>
                  <w:r>
                    <w:rPr>
                      <w:rFonts w:hint="eastAsia"/>
                      <w:color w:val="auto"/>
                      <w:szCs w:val="21"/>
                      <w:lang w:val="en-US" w:eastAsia="zh-CN"/>
                    </w:rPr>
                    <w:t>铜</w:t>
                  </w:r>
                </w:p>
              </w:tc>
              <w:tc>
                <w:tcPr>
                  <w:tcW w:w="759" w:type="dxa"/>
                  <w:vAlign w:val="center"/>
                </w:tcPr>
                <w:p w14:paraId="69D56B11">
                  <w:pPr>
                    <w:jc w:val="center"/>
                    <w:rPr>
                      <w:rFonts w:hint="default" w:eastAsia="宋体"/>
                      <w:color w:val="auto"/>
                      <w:szCs w:val="21"/>
                      <w:lang w:val="en-US" w:eastAsia="zh-CN"/>
                    </w:rPr>
                  </w:pPr>
                  <w:r>
                    <w:rPr>
                      <w:rFonts w:hint="eastAsia"/>
                      <w:color w:val="auto"/>
                      <w:szCs w:val="21"/>
                      <w:lang w:val="en-US" w:eastAsia="zh-CN"/>
                    </w:rPr>
                    <w:t>0.45%</w:t>
                  </w:r>
                </w:p>
              </w:tc>
              <w:tc>
                <w:tcPr>
                  <w:tcW w:w="834" w:type="dxa"/>
                  <w:vAlign w:val="center"/>
                </w:tcPr>
                <w:p w14:paraId="3F6F8820">
                  <w:pPr>
                    <w:jc w:val="center"/>
                    <w:rPr>
                      <w:rFonts w:hint="default" w:eastAsia="宋体"/>
                      <w:color w:val="auto"/>
                      <w:szCs w:val="21"/>
                      <w:lang w:val="en-US" w:eastAsia="zh-CN"/>
                    </w:rPr>
                  </w:pPr>
                  <w:r>
                    <w:rPr>
                      <w:rFonts w:hint="eastAsia"/>
                      <w:color w:val="auto"/>
                      <w:szCs w:val="21"/>
                      <w:lang w:val="en-US" w:eastAsia="zh-CN"/>
                    </w:rPr>
                    <w:t>0.005</w:t>
                  </w:r>
                </w:p>
              </w:tc>
              <w:tc>
                <w:tcPr>
                  <w:tcW w:w="1066" w:type="dxa"/>
                  <w:vAlign w:val="center"/>
                </w:tcPr>
                <w:p w14:paraId="791840B4">
                  <w:pPr>
                    <w:jc w:val="center"/>
                    <w:rPr>
                      <w:rFonts w:hint="eastAsia"/>
                      <w:color w:val="auto"/>
                      <w:szCs w:val="21"/>
                    </w:rPr>
                  </w:pPr>
                  <w:r>
                    <w:rPr>
                      <w:rFonts w:hint="eastAsia"/>
                      <w:color w:val="auto"/>
                      <w:szCs w:val="21"/>
                    </w:rPr>
                    <w:t>7440-50-8</w:t>
                  </w:r>
                </w:p>
              </w:tc>
              <w:tc>
                <w:tcPr>
                  <w:tcW w:w="1002" w:type="dxa"/>
                  <w:vAlign w:val="center"/>
                </w:tcPr>
                <w:p w14:paraId="3E44A2B9">
                  <w:pPr>
                    <w:jc w:val="center"/>
                    <w:rPr>
                      <w:rFonts w:hint="default" w:eastAsia="宋体"/>
                      <w:color w:val="auto"/>
                      <w:szCs w:val="21"/>
                      <w:lang w:val="en-US" w:eastAsia="zh-CN"/>
                    </w:rPr>
                  </w:pPr>
                  <w:r>
                    <w:rPr>
                      <w:rFonts w:hint="eastAsia"/>
                      <w:color w:val="auto"/>
                      <w:szCs w:val="21"/>
                      <w:lang w:val="en-US" w:eastAsia="zh-CN"/>
                    </w:rPr>
                    <w:t>0.25</w:t>
                  </w:r>
                </w:p>
              </w:tc>
              <w:tc>
                <w:tcPr>
                  <w:tcW w:w="1004" w:type="dxa"/>
                  <w:vAlign w:val="center"/>
                </w:tcPr>
                <w:p w14:paraId="0FA4D710">
                  <w:pPr>
                    <w:jc w:val="center"/>
                    <w:rPr>
                      <w:rFonts w:hint="default" w:eastAsia="宋体"/>
                      <w:color w:val="auto"/>
                      <w:szCs w:val="21"/>
                      <w:lang w:val="en-US" w:eastAsia="zh-CN"/>
                    </w:rPr>
                  </w:pPr>
                  <w:r>
                    <w:rPr>
                      <w:rFonts w:hint="eastAsia"/>
                      <w:color w:val="auto"/>
                      <w:szCs w:val="21"/>
                      <w:lang w:val="en-US" w:eastAsia="zh-CN"/>
                    </w:rPr>
                    <w:t>0.02</w:t>
                  </w:r>
                </w:p>
              </w:tc>
            </w:tr>
            <w:tr w14:paraId="19DC7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jc w:val="center"/>
              </w:trPr>
              <w:tc>
                <w:tcPr>
                  <w:tcW w:w="488" w:type="dxa"/>
                  <w:vAlign w:val="center"/>
                </w:tcPr>
                <w:p w14:paraId="222D5713">
                  <w:pPr>
                    <w:jc w:val="center"/>
                    <w:rPr>
                      <w:rFonts w:hint="eastAsia" w:eastAsia="宋体"/>
                      <w:color w:val="auto"/>
                      <w:szCs w:val="21"/>
                      <w:lang w:val="en-US" w:eastAsia="zh-CN"/>
                    </w:rPr>
                  </w:pPr>
                  <w:r>
                    <w:rPr>
                      <w:rFonts w:hint="eastAsia"/>
                      <w:color w:val="auto"/>
                      <w:szCs w:val="21"/>
                      <w:lang w:val="en-US" w:eastAsia="zh-CN"/>
                    </w:rPr>
                    <w:t>2</w:t>
                  </w:r>
                </w:p>
              </w:tc>
              <w:tc>
                <w:tcPr>
                  <w:tcW w:w="1271" w:type="dxa"/>
                  <w:vAlign w:val="center"/>
                </w:tcPr>
                <w:p w14:paraId="5737859E">
                  <w:pPr>
                    <w:jc w:val="center"/>
                    <w:rPr>
                      <w:rFonts w:hint="eastAsia" w:eastAsia="宋体"/>
                      <w:color w:val="auto"/>
                      <w:szCs w:val="21"/>
                      <w:lang w:val="en-US" w:eastAsia="zh-CN"/>
                    </w:rPr>
                  </w:pPr>
                  <w:r>
                    <w:rPr>
                      <w:rFonts w:hint="eastAsia"/>
                      <w:color w:val="auto"/>
                      <w:szCs w:val="21"/>
                      <w:lang w:val="en-US" w:eastAsia="zh-CN"/>
                    </w:rPr>
                    <w:t>锡丝</w:t>
                  </w:r>
                </w:p>
              </w:tc>
              <w:tc>
                <w:tcPr>
                  <w:tcW w:w="832" w:type="dxa"/>
                  <w:vAlign w:val="center"/>
                </w:tcPr>
                <w:p w14:paraId="00E20BE5">
                  <w:pPr>
                    <w:jc w:val="center"/>
                    <w:rPr>
                      <w:rFonts w:hint="default" w:eastAsia="宋体"/>
                      <w:color w:val="auto"/>
                      <w:szCs w:val="21"/>
                      <w:lang w:val="en-US" w:eastAsia="zh-CN"/>
                    </w:rPr>
                  </w:pPr>
                  <w:r>
                    <w:rPr>
                      <w:rFonts w:hint="eastAsia"/>
                      <w:color w:val="auto"/>
                      <w:szCs w:val="21"/>
                      <w:lang w:val="en-US" w:eastAsia="zh-CN"/>
                    </w:rPr>
                    <w:t>0.02</w:t>
                  </w:r>
                </w:p>
              </w:tc>
              <w:tc>
                <w:tcPr>
                  <w:tcW w:w="995" w:type="dxa"/>
                  <w:vAlign w:val="center"/>
                </w:tcPr>
                <w:p w14:paraId="6B84EAA1">
                  <w:pPr>
                    <w:jc w:val="center"/>
                    <w:rPr>
                      <w:rFonts w:hint="default" w:eastAsia="宋体"/>
                      <w:color w:val="auto"/>
                      <w:szCs w:val="21"/>
                      <w:lang w:val="en-US" w:eastAsia="zh-CN"/>
                    </w:rPr>
                  </w:pPr>
                  <w:r>
                    <w:rPr>
                      <w:rFonts w:hint="eastAsia"/>
                      <w:color w:val="auto"/>
                      <w:szCs w:val="21"/>
                      <w:lang w:val="en-US" w:eastAsia="zh-CN"/>
                    </w:rPr>
                    <w:t>铜</w:t>
                  </w:r>
                </w:p>
              </w:tc>
              <w:tc>
                <w:tcPr>
                  <w:tcW w:w="759" w:type="dxa"/>
                  <w:vAlign w:val="center"/>
                </w:tcPr>
                <w:p w14:paraId="66ABCA85">
                  <w:pPr>
                    <w:jc w:val="center"/>
                    <w:rPr>
                      <w:rFonts w:hint="default" w:eastAsia="宋体"/>
                      <w:color w:val="auto"/>
                      <w:szCs w:val="21"/>
                      <w:lang w:val="en-US" w:eastAsia="zh-CN"/>
                    </w:rPr>
                  </w:pPr>
                  <w:r>
                    <w:rPr>
                      <w:rFonts w:hint="eastAsia"/>
                      <w:color w:val="auto"/>
                      <w:szCs w:val="21"/>
                      <w:lang w:val="en-US" w:eastAsia="zh-CN"/>
                    </w:rPr>
                    <w:t>0.7%</w:t>
                  </w:r>
                </w:p>
              </w:tc>
              <w:tc>
                <w:tcPr>
                  <w:tcW w:w="834" w:type="dxa"/>
                  <w:vAlign w:val="center"/>
                </w:tcPr>
                <w:p w14:paraId="09520E60">
                  <w:pPr>
                    <w:jc w:val="center"/>
                    <w:rPr>
                      <w:rFonts w:hint="default" w:eastAsia="宋体"/>
                      <w:color w:val="auto"/>
                      <w:szCs w:val="21"/>
                      <w:lang w:val="en-US" w:eastAsia="zh-CN"/>
                    </w:rPr>
                  </w:pPr>
                  <w:r>
                    <w:rPr>
                      <w:rFonts w:hint="eastAsia"/>
                      <w:color w:val="auto"/>
                      <w:szCs w:val="21"/>
                      <w:lang w:val="en-US" w:eastAsia="zh-CN"/>
                    </w:rPr>
                    <w:t>0.0001</w:t>
                  </w:r>
                </w:p>
              </w:tc>
              <w:tc>
                <w:tcPr>
                  <w:tcW w:w="1066" w:type="dxa"/>
                  <w:vAlign w:val="center"/>
                </w:tcPr>
                <w:p w14:paraId="302F4B69">
                  <w:pPr>
                    <w:jc w:val="center"/>
                    <w:rPr>
                      <w:rFonts w:hint="eastAsia"/>
                      <w:color w:val="auto"/>
                      <w:szCs w:val="21"/>
                    </w:rPr>
                  </w:pPr>
                  <w:r>
                    <w:rPr>
                      <w:rFonts w:hint="eastAsia"/>
                      <w:color w:val="auto"/>
                      <w:szCs w:val="21"/>
                    </w:rPr>
                    <w:t>7440-50-8</w:t>
                  </w:r>
                </w:p>
              </w:tc>
              <w:tc>
                <w:tcPr>
                  <w:tcW w:w="1002" w:type="dxa"/>
                  <w:vAlign w:val="center"/>
                </w:tcPr>
                <w:p w14:paraId="492B3243">
                  <w:pPr>
                    <w:jc w:val="center"/>
                    <w:rPr>
                      <w:rFonts w:hint="default" w:eastAsia="宋体"/>
                      <w:color w:val="auto"/>
                      <w:szCs w:val="21"/>
                      <w:lang w:val="en-US" w:eastAsia="zh-CN"/>
                    </w:rPr>
                  </w:pPr>
                  <w:r>
                    <w:rPr>
                      <w:rFonts w:hint="eastAsia"/>
                      <w:color w:val="auto"/>
                      <w:szCs w:val="21"/>
                      <w:lang w:val="en-US" w:eastAsia="zh-CN"/>
                    </w:rPr>
                    <w:t>0.25</w:t>
                  </w:r>
                </w:p>
              </w:tc>
              <w:tc>
                <w:tcPr>
                  <w:tcW w:w="1004" w:type="dxa"/>
                  <w:vAlign w:val="center"/>
                </w:tcPr>
                <w:p w14:paraId="2A2A347D">
                  <w:pPr>
                    <w:jc w:val="center"/>
                    <w:rPr>
                      <w:rFonts w:hint="default" w:eastAsia="宋体"/>
                      <w:color w:val="auto"/>
                      <w:szCs w:val="21"/>
                      <w:lang w:val="en-US" w:eastAsia="zh-CN"/>
                    </w:rPr>
                  </w:pPr>
                  <w:r>
                    <w:rPr>
                      <w:rFonts w:hint="eastAsia"/>
                      <w:color w:val="auto"/>
                      <w:szCs w:val="21"/>
                      <w:lang w:val="en-US" w:eastAsia="zh-CN"/>
                    </w:rPr>
                    <w:t>0.0004</w:t>
                  </w:r>
                </w:p>
              </w:tc>
            </w:tr>
            <w:tr w14:paraId="1DDBB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3" w:hRule="atLeast"/>
                <w:jc w:val="center"/>
              </w:trPr>
              <w:tc>
                <w:tcPr>
                  <w:tcW w:w="488" w:type="dxa"/>
                  <w:vAlign w:val="center"/>
                </w:tcPr>
                <w:p w14:paraId="3DCF38C9">
                  <w:pPr>
                    <w:jc w:val="center"/>
                    <w:rPr>
                      <w:rFonts w:hint="eastAsia" w:eastAsia="宋体"/>
                      <w:color w:val="auto"/>
                      <w:szCs w:val="21"/>
                      <w:lang w:eastAsia="zh-CN"/>
                    </w:rPr>
                  </w:pPr>
                  <w:r>
                    <w:rPr>
                      <w:rFonts w:hint="eastAsia"/>
                      <w:color w:val="auto"/>
                      <w:szCs w:val="21"/>
                      <w:lang w:val="en-US" w:eastAsia="zh-CN"/>
                    </w:rPr>
                    <w:t>3</w:t>
                  </w:r>
                </w:p>
              </w:tc>
              <w:tc>
                <w:tcPr>
                  <w:tcW w:w="1271" w:type="dxa"/>
                  <w:vAlign w:val="center"/>
                </w:tcPr>
                <w:p w14:paraId="51C25AC0">
                  <w:pPr>
                    <w:jc w:val="center"/>
                    <w:rPr>
                      <w:rFonts w:hint="eastAsia" w:eastAsia="宋体"/>
                      <w:color w:val="auto"/>
                      <w:szCs w:val="21"/>
                      <w:lang w:eastAsia="zh-CN"/>
                    </w:rPr>
                  </w:pPr>
                  <w:r>
                    <w:rPr>
                      <w:rFonts w:hint="eastAsia"/>
                      <w:color w:val="auto"/>
                      <w:szCs w:val="21"/>
                      <w:lang w:val="en-US" w:eastAsia="zh-CN"/>
                    </w:rPr>
                    <w:t>酒精（98%）</w:t>
                  </w:r>
                </w:p>
              </w:tc>
              <w:tc>
                <w:tcPr>
                  <w:tcW w:w="832" w:type="dxa"/>
                  <w:vAlign w:val="center"/>
                </w:tcPr>
                <w:p w14:paraId="28204886">
                  <w:pPr>
                    <w:jc w:val="center"/>
                    <w:rPr>
                      <w:rFonts w:hint="eastAsia" w:eastAsia="宋体"/>
                      <w:color w:val="auto"/>
                      <w:szCs w:val="21"/>
                      <w:lang w:eastAsia="zh-CN"/>
                    </w:rPr>
                  </w:pPr>
                  <w:r>
                    <w:rPr>
                      <w:rFonts w:hint="eastAsia"/>
                      <w:color w:val="auto"/>
                      <w:szCs w:val="21"/>
                    </w:rPr>
                    <w:t>0.0</w:t>
                  </w:r>
                  <w:r>
                    <w:rPr>
                      <w:rFonts w:hint="eastAsia"/>
                      <w:color w:val="auto"/>
                      <w:szCs w:val="21"/>
                      <w:lang w:val="en-US" w:eastAsia="zh-CN"/>
                    </w:rPr>
                    <w:t>2</w:t>
                  </w:r>
                </w:p>
              </w:tc>
              <w:tc>
                <w:tcPr>
                  <w:tcW w:w="995" w:type="dxa"/>
                  <w:vAlign w:val="center"/>
                </w:tcPr>
                <w:p w14:paraId="798B0F2C">
                  <w:pPr>
                    <w:jc w:val="center"/>
                    <w:rPr>
                      <w:color w:val="auto"/>
                      <w:szCs w:val="21"/>
                    </w:rPr>
                  </w:pPr>
                  <w:r>
                    <w:rPr>
                      <w:rFonts w:hint="eastAsia"/>
                      <w:color w:val="auto"/>
                      <w:szCs w:val="21"/>
                    </w:rPr>
                    <w:t>乙醇</w:t>
                  </w:r>
                </w:p>
              </w:tc>
              <w:tc>
                <w:tcPr>
                  <w:tcW w:w="759" w:type="dxa"/>
                  <w:vAlign w:val="center"/>
                </w:tcPr>
                <w:p w14:paraId="66D20AA9">
                  <w:pPr>
                    <w:jc w:val="center"/>
                    <w:rPr>
                      <w:color w:val="auto"/>
                      <w:szCs w:val="21"/>
                    </w:rPr>
                  </w:pPr>
                  <w:r>
                    <w:rPr>
                      <w:rFonts w:hint="eastAsia"/>
                      <w:color w:val="auto"/>
                      <w:szCs w:val="21"/>
                    </w:rPr>
                    <w:t>9</w:t>
                  </w:r>
                  <w:r>
                    <w:rPr>
                      <w:rFonts w:hint="eastAsia"/>
                      <w:color w:val="auto"/>
                      <w:szCs w:val="21"/>
                      <w:lang w:val="en-US" w:eastAsia="zh-CN"/>
                    </w:rPr>
                    <w:t>8</w:t>
                  </w:r>
                  <w:r>
                    <w:rPr>
                      <w:rFonts w:hint="eastAsia"/>
                      <w:color w:val="auto"/>
                      <w:szCs w:val="21"/>
                    </w:rPr>
                    <w:t>%</w:t>
                  </w:r>
                </w:p>
              </w:tc>
              <w:tc>
                <w:tcPr>
                  <w:tcW w:w="834" w:type="dxa"/>
                  <w:vAlign w:val="center"/>
                </w:tcPr>
                <w:p w14:paraId="22EFE304">
                  <w:pPr>
                    <w:jc w:val="center"/>
                    <w:rPr>
                      <w:rFonts w:hint="default"/>
                      <w:color w:val="auto"/>
                      <w:szCs w:val="21"/>
                      <w:lang w:val="en-US"/>
                    </w:rPr>
                  </w:pPr>
                  <w:r>
                    <w:rPr>
                      <w:rFonts w:hint="eastAsia"/>
                      <w:color w:val="auto"/>
                      <w:szCs w:val="21"/>
                    </w:rPr>
                    <w:t>0.</w:t>
                  </w:r>
                  <w:r>
                    <w:rPr>
                      <w:rFonts w:hint="eastAsia"/>
                      <w:color w:val="auto"/>
                      <w:szCs w:val="21"/>
                      <w:lang w:val="en-US" w:eastAsia="zh-CN"/>
                    </w:rPr>
                    <w:t>020</w:t>
                  </w:r>
                </w:p>
              </w:tc>
              <w:tc>
                <w:tcPr>
                  <w:tcW w:w="1066" w:type="dxa"/>
                  <w:vAlign w:val="center"/>
                </w:tcPr>
                <w:p w14:paraId="67E4E053">
                  <w:pPr>
                    <w:jc w:val="center"/>
                    <w:rPr>
                      <w:color w:val="auto"/>
                      <w:szCs w:val="21"/>
                    </w:rPr>
                  </w:pPr>
                  <w:r>
                    <w:rPr>
                      <w:rFonts w:hint="eastAsia"/>
                      <w:color w:val="auto"/>
                      <w:szCs w:val="21"/>
                    </w:rPr>
                    <w:t>64-17-5</w:t>
                  </w:r>
                </w:p>
              </w:tc>
              <w:tc>
                <w:tcPr>
                  <w:tcW w:w="1002" w:type="dxa"/>
                  <w:vAlign w:val="center"/>
                </w:tcPr>
                <w:p w14:paraId="527EC21E">
                  <w:pPr>
                    <w:jc w:val="center"/>
                    <w:rPr>
                      <w:color w:val="auto"/>
                      <w:szCs w:val="21"/>
                    </w:rPr>
                  </w:pPr>
                  <w:r>
                    <w:rPr>
                      <w:rFonts w:hint="eastAsia"/>
                      <w:color w:val="auto"/>
                      <w:szCs w:val="21"/>
                    </w:rPr>
                    <w:t>500</w:t>
                  </w:r>
                </w:p>
              </w:tc>
              <w:tc>
                <w:tcPr>
                  <w:tcW w:w="1004" w:type="dxa"/>
                  <w:vAlign w:val="center"/>
                </w:tcPr>
                <w:p w14:paraId="63E9DD4D">
                  <w:pPr>
                    <w:jc w:val="center"/>
                    <w:rPr>
                      <w:rFonts w:hint="default" w:eastAsia="宋体"/>
                      <w:color w:val="auto"/>
                      <w:szCs w:val="21"/>
                      <w:lang w:val="en-US" w:eastAsia="zh-CN"/>
                    </w:rPr>
                  </w:pPr>
                  <w:r>
                    <w:rPr>
                      <w:rFonts w:hint="eastAsia"/>
                      <w:color w:val="auto"/>
                      <w:szCs w:val="21"/>
                      <w:lang w:val="en-US" w:eastAsia="zh-CN"/>
                    </w:rPr>
                    <w:t>0.00004</w:t>
                  </w:r>
                </w:p>
              </w:tc>
            </w:tr>
            <w:tr w14:paraId="79D72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488" w:type="dxa"/>
                  <w:vAlign w:val="center"/>
                </w:tcPr>
                <w:p w14:paraId="56B99B1D">
                  <w:pPr>
                    <w:jc w:val="center"/>
                    <w:rPr>
                      <w:rFonts w:hint="default"/>
                      <w:color w:val="FF0000"/>
                      <w:szCs w:val="21"/>
                      <w:lang w:val="en-US" w:eastAsia="zh-CN"/>
                    </w:rPr>
                  </w:pPr>
                  <w:r>
                    <w:rPr>
                      <w:rFonts w:hint="eastAsia"/>
                      <w:color w:val="FF0000"/>
                      <w:szCs w:val="21"/>
                      <w:lang w:val="en-US" w:eastAsia="zh-CN"/>
                    </w:rPr>
                    <w:t>4</w:t>
                  </w:r>
                </w:p>
              </w:tc>
              <w:tc>
                <w:tcPr>
                  <w:tcW w:w="1271" w:type="dxa"/>
                  <w:vAlign w:val="center"/>
                </w:tcPr>
                <w:p w14:paraId="79685BA5">
                  <w:pPr>
                    <w:jc w:val="center"/>
                    <w:rPr>
                      <w:rFonts w:hint="default"/>
                      <w:color w:val="FF0000"/>
                      <w:szCs w:val="21"/>
                      <w:lang w:val="en-US" w:eastAsia="zh-CN"/>
                    </w:rPr>
                  </w:pPr>
                  <w:r>
                    <w:rPr>
                      <w:rFonts w:hint="eastAsia"/>
                      <w:color w:val="FF0000"/>
                      <w:szCs w:val="21"/>
                      <w:lang w:val="en-US" w:eastAsia="zh-CN"/>
                    </w:rPr>
                    <w:t>硅胶</w:t>
                  </w:r>
                </w:p>
              </w:tc>
              <w:tc>
                <w:tcPr>
                  <w:tcW w:w="832" w:type="dxa"/>
                  <w:vAlign w:val="center"/>
                </w:tcPr>
                <w:p w14:paraId="3CA31355">
                  <w:pPr>
                    <w:jc w:val="center"/>
                    <w:rPr>
                      <w:rFonts w:hint="default" w:eastAsia="宋体"/>
                      <w:color w:val="FF0000"/>
                      <w:szCs w:val="21"/>
                      <w:lang w:val="en-US" w:eastAsia="zh-CN"/>
                    </w:rPr>
                  </w:pPr>
                  <w:r>
                    <w:rPr>
                      <w:rFonts w:hint="eastAsia"/>
                      <w:color w:val="FF0000"/>
                      <w:szCs w:val="21"/>
                      <w:lang w:val="en-US" w:eastAsia="zh-CN"/>
                    </w:rPr>
                    <w:t>10</w:t>
                  </w:r>
                </w:p>
              </w:tc>
              <w:tc>
                <w:tcPr>
                  <w:tcW w:w="995" w:type="dxa"/>
                  <w:vAlign w:val="center"/>
                </w:tcPr>
                <w:p w14:paraId="42126BC5">
                  <w:pPr>
                    <w:jc w:val="center"/>
                    <w:rPr>
                      <w:rFonts w:hint="default" w:eastAsia="宋体"/>
                      <w:color w:val="FF0000"/>
                      <w:szCs w:val="21"/>
                      <w:lang w:val="en-US" w:eastAsia="zh-CN"/>
                    </w:rPr>
                  </w:pPr>
                  <w:r>
                    <w:rPr>
                      <w:rFonts w:hint="eastAsia"/>
                      <w:color w:val="FF0000"/>
                      <w:szCs w:val="21"/>
                      <w:lang w:val="en-US" w:eastAsia="zh-CN"/>
                    </w:rPr>
                    <w:t>危害水环境物质</w:t>
                  </w:r>
                </w:p>
              </w:tc>
              <w:tc>
                <w:tcPr>
                  <w:tcW w:w="759" w:type="dxa"/>
                  <w:vAlign w:val="center"/>
                </w:tcPr>
                <w:p w14:paraId="5BF24B33">
                  <w:pPr>
                    <w:jc w:val="center"/>
                    <w:rPr>
                      <w:rFonts w:hint="default" w:eastAsia="宋体"/>
                      <w:color w:val="FF0000"/>
                      <w:szCs w:val="21"/>
                      <w:lang w:val="en-US" w:eastAsia="zh-CN"/>
                    </w:rPr>
                  </w:pPr>
                  <w:r>
                    <w:rPr>
                      <w:rFonts w:hint="eastAsia"/>
                      <w:color w:val="FF0000"/>
                      <w:szCs w:val="21"/>
                      <w:lang w:val="en-US" w:eastAsia="zh-CN"/>
                    </w:rPr>
                    <w:t>100%</w:t>
                  </w:r>
                </w:p>
              </w:tc>
              <w:tc>
                <w:tcPr>
                  <w:tcW w:w="834" w:type="dxa"/>
                  <w:vAlign w:val="center"/>
                </w:tcPr>
                <w:p w14:paraId="07CBDE7C">
                  <w:pPr>
                    <w:jc w:val="center"/>
                    <w:rPr>
                      <w:rFonts w:hint="default" w:eastAsia="宋体"/>
                      <w:color w:val="FF0000"/>
                      <w:szCs w:val="21"/>
                      <w:lang w:val="en-US" w:eastAsia="zh-CN"/>
                    </w:rPr>
                  </w:pPr>
                  <w:r>
                    <w:rPr>
                      <w:rFonts w:hint="eastAsia"/>
                      <w:color w:val="FF0000"/>
                      <w:szCs w:val="21"/>
                      <w:lang w:val="en-US" w:eastAsia="zh-CN"/>
                    </w:rPr>
                    <w:t>10</w:t>
                  </w:r>
                </w:p>
              </w:tc>
              <w:tc>
                <w:tcPr>
                  <w:tcW w:w="1066" w:type="dxa"/>
                  <w:vAlign w:val="center"/>
                </w:tcPr>
                <w:p w14:paraId="4CFC1281">
                  <w:pPr>
                    <w:jc w:val="center"/>
                    <w:rPr>
                      <w:rFonts w:hint="eastAsia" w:eastAsia="宋体"/>
                      <w:color w:val="FF0000"/>
                      <w:szCs w:val="21"/>
                      <w:lang w:val="en-US" w:eastAsia="zh-CN"/>
                    </w:rPr>
                  </w:pPr>
                  <w:r>
                    <w:rPr>
                      <w:rFonts w:hint="eastAsia"/>
                      <w:color w:val="FF0000"/>
                      <w:szCs w:val="21"/>
                      <w:lang w:val="en-US" w:eastAsia="zh-CN"/>
                    </w:rPr>
                    <w:t>/</w:t>
                  </w:r>
                </w:p>
              </w:tc>
              <w:tc>
                <w:tcPr>
                  <w:tcW w:w="1002" w:type="dxa"/>
                  <w:vAlign w:val="center"/>
                </w:tcPr>
                <w:p w14:paraId="444AF882">
                  <w:pPr>
                    <w:jc w:val="center"/>
                    <w:rPr>
                      <w:rFonts w:hint="default" w:eastAsia="宋体"/>
                      <w:color w:val="FF0000"/>
                      <w:szCs w:val="21"/>
                      <w:lang w:val="en-US" w:eastAsia="zh-CN"/>
                    </w:rPr>
                  </w:pPr>
                  <w:r>
                    <w:rPr>
                      <w:rFonts w:hint="eastAsia"/>
                      <w:color w:val="FF0000"/>
                      <w:szCs w:val="21"/>
                      <w:lang w:val="en-US" w:eastAsia="zh-CN"/>
                    </w:rPr>
                    <w:t>100</w:t>
                  </w:r>
                </w:p>
              </w:tc>
              <w:tc>
                <w:tcPr>
                  <w:tcW w:w="1004" w:type="dxa"/>
                  <w:vAlign w:val="center"/>
                </w:tcPr>
                <w:p w14:paraId="2030B14B">
                  <w:pPr>
                    <w:jc w:val="center"/>
                    <w:rPr>
                      <w:rFonts w:hint="default"/>
                      <w:color w:val="FF0000"/>
                      <w:szCs w:val="21"/>
                      <w:lang w:val="en-US" w:eastAsia="zh-CN"/>
                    </w:rPr>
                  </w:pPr>
                  <w:r>
                    <w:rPr>
                      <w:rFonts w:hint="eastAsia"/>
                      <w:color w:val="FF0000"/>
                      <w:szCs w:val="21"/>
                      <w:lang w:val="en-US" w:eastAsia="zh-CN"/>
                    </w:rPr>
                    <w:t>0.1</w:t>
                  </w:r>
                </w:p>
              </w:tc>
            </w:tr>
            <w:tr w14:paraId="29318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jc w:val="center"/>
              </w:trPr>
              <w:tc>
                <w:tcPr>
                  <w:tcW w:w="488" w:type="dxa"/>
                  <w:vAlign w:val="center"/>
                </w:tcPr>
                <w:p w14:paraId="11CBDEDB">
                  <w:pPr>
                    <w:jc w:val="center"/>
                    <w:rPr>
                      <w:rFonts w:hint="eastAsia" w:eastAsia="宋体"/>
                      <w:color w:val="auto"/>
                      <w:szCs w:val="21"/>
                      <w:lang w:eastAsia="zh-CN"/>
                    </w:rPr>
                  </w:pPr>
                  <w:r>
                    <w:rPr>
                      <w:rFonts w:hint="eastAsia"/>
                      <w:color w:val="auto"/>
                      <w:szCs w:val="21"/>
                      <w:lang w:val="en-US" w:eastAsia="zh-CN"/>
                    </w:rPr>
                    <w:t>5</w:t>
                  </w:r>
                </w:p>
              </w:tc>
              <w:tc>
                <w:tcPr>
                  <w:tcW w:w="1271" w:type="dxa"/>
                  <w:vAlign w:val="center"/>
                </w:tcPr>
                <w:p w14:paraId="55312DE1">
                  <w:pPr>
                    <w:jc w:val="center"/>
                    <w:rPr>
                      <w:color w:val="auto"/>
                      <w:szCs w:val="21"/>
                    </w:rPr>
                  </w:pPr>
                  <w:r>
                    <w:rPr>
                      <w:rFonts w:hint="eastAsia"/>
                      <w:color w:val="auto"/>
                      <w:szCs w:val="21"/>
                      <w:lang w:val="en-US" w:eastAsia="zh-CN"/>
                    </w:rPr>
                    <w:t>废机油</w:t>
                  </w:r>
                </w:p>
              </w:tc>
              <w:tc>
                <w:tcPr>
                  <w:tcW w:w="832" w:type="dxa"/>
                  <w:vAlign w:val="center"/>
                </w:tcPr>
                <w:p w14:paraId="5ABA0507">
                  <w:pPr>
                    <w:jc w:val="center"/>
                    <w:rPr>
                      <w:color w:val="auto"/>
                      <w:szCs w:val="21"/>
                    </w:rPr>
                  </w:pPr>
                  <w:r>
                    <w:rPr>
                      <w:rFonts w:hint="eastAsia"/>
                      <w:color w:val="auto"/>
                      <w:szCs w:val="21"/>
                    </w:rPr>
                    <w:t>0.</w:t>
                  </w:r>
                  <w:r>
                    <w:rPr>
                      <w:rFonts w:hint="eastAsia"/>
                      <w:color w:val="auto"/>
                      <w:szCs w:val="21"/>
                      <w:lang w:val="en-US" w:eastAsia="zh-CN"/>
                    </w:rPr>
                    <w:t>05</w:t>
                  </w:r>
                </w:p>
              </w:tc>
              <w:tc>
                <w:tcPr>
                  <w:tcW w:w="995" w:type="dxa"/>
                  <w:vAlign w:val="center"/>
                </w:tcPr>
                <w:p w14:paraId="2D5FB3C9">
                  <w:pPr>
                    <w:jc w:val="center"/>
                    <w:rPr>
                      <w:rFonts w:hint="default" w:eastAsia="宋体"/>
                      <w:color w:val="auto"/>
                      <w:szCs w:val="21"/>
                      <w:lang w:val="en-US" w:eastAsia="zh-CN"/>
                    </w:rPr>
                  </w:pPr>
                  <w:r>
                    <w:rPr>
                      <w:rFonts w:hint="eastAsia"/>
                      <w:color w:val="auto"/>
                      <w:szCs w:val="21"/>
                      <w:lang w:val="en-US" w:eastAsia="zh-CN"/>
                    </w:rPr>
                    <w:t>油类物质</w:t>
                  </w:r>
                </w:p>
              </w:tc>
              <w:tc>
                <w:tcPr>
                  <w:tcW w:w="759" w:type="dxa"/>
                  <w:vAlign w:val="center"/>
                </w:tcPr>
                <w:p w14:paraId="4B81027B">
                  <w:pPr>
                    <w:jc w:val="center"/>
                    <w:rPr>
                      <w:color w:val="auto"/>
                      <w:szCs w:val="21"/>
                    </w:rPr>
                  </w:pPr>
                  <w:r>
                    <w:rPr>
                      <w:rFonts w:hint="eastAsia"/>
                      <w:color w:val="auto"/>
                      <w:szCs w:val="21"/>
                    </w:rPr>
                    <w:t>100%</w:t>
                  </w:r>
                </w:p>
              </w:tc>
              <w:tc>
                <w:tcPr>
                  <w:tcW w:w="834" w:type="dxa"/>
                  <w:vAlign w:val="center"/>
                </w:tcPr>
                <w:p w14:paraId="2F490812">
                  <w:pPr>
                    <w:jc w:val="center"/>
                    <w:rPr>
                      <w:color w:val="auto"/>
                      <w:szCs w:val="21"/>
                    </w:rPr>
                  </w:pPr>
                  <w:r>
                    <w:rPr>
                      <w:rFonts w:hint="eastAsia"/>
                      <w:color w:val="auto"/>
                      <w:szCs w:val="21"/>
                    </w:rPr>
                    <w:t>0.</w:t>
                  </w:r>
                  <w:r>
                    <w:rPr>
                      <w:rFonts w:hint="eastAsia"/>
                      <w:color w:val="auto"/>
                      <w:szCs w:val="21"/>
                      <w:lang w:val="en-US" w:eastAsia="zh-CN"/>
                    </w:rPr>
                    <w:t>05</w:t>
                  </w:r>
                </w:p>
              </w:tc>
              <w:tc>
                <w:tcPr>
                  <w:tcW w:w="1066" w:type="dxa"/>
                  <w:vAlign w:val="center"/>
                </w:tcPr>
                <w:p w14:paraId="1FC756C9">
                  <w:pPr>
                    <w:jc w:val="center"/>
                    <w:rPr>
                      <w:color w:val="auto"/>
                      <w:szCs w:val="21"/>
                    </w:rPr>
                  </w:pPr>
                  <w:r>
                    <w:rPr>
                      <w:rFonts w:hint="eastAsia"/>
                      <w:color w:val="auto"/>
                      <w:szCs w:val="21"/>
                    </w:rPr>
                    <w:t>/</w:t>
                  </w:r>
                </w:p>
              </w:tc>
              <w:tc>
                <w:tcPr>
                  <w:tcW w:w="1002" w:type="dxa"/>
                  <w:vAlign w:val="center"/>
                </w:tcPr>
                <w:p w14:paraId="3D5911FF">
                  <w:pPr>
                    <w:jc w:val="center"/>
                    <w:rPr>
                      <w:rFonts w:hint="default" w:eastAsia="宋体"/>
                      <w:color w:val="auto"/>
                      <w:szCs w:val="21"/>
                      <w:lang w:val="en-US" w:eastAsia="zh-CN"/>
                    </w:rPr>
                  </w:pPr>
                  <w:r>
                    <w:rPr>
                      <w:rFonts w:hint="eastAsia"/>
                      <w:color w:val="auto"/>
                      <w:szCs w:val="21"/>
                      <w:lang w:val="en-US" w:eastAsia="zh-CN"/>
                    </w:rPr>
                    <w:t>2500</w:t>
                  </w:r>
                </w:p>
              </w:tc>
              <w:tc>
                <w:tcPr>
                  <w:tcW w:w="1004" w:type="dxa"/>
                  <w:vAlign w:val="center"/>
                </w:tcPr>
                <w:p w14:paraId="1D142739">
                  <w:pPr>
                    <w:jc w:val="center"/>
                    <w:rPr>
                      <w:rFonts w:hint="default" w:eastAsia="宋体"/>
                      <w:color w:val="auto"/>
                      <w:szCs w:val="21"/>
                      <w:lang w:val="en-US" w:eastAsia="zh-CN"/>
                    </w:rPr>
                  </w:pPr>
                  <w:r>
                    <w:rPr>
                      <w:rFonts w:hint="eastAsia"/>
                      <w:color w:val="auto"/>
                      <w:szCs w:val="21"/>
                      <w:lang w:val="en-US" w:eastAsia="zh-CN"/>
                    </w:rPr>
                    <w:t>0.00002</w:t>
                  </w:r>
                </w:p>
              </w:tc>
            </w:tr>
            <w:tr w14:paraId="2E3CB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7247" w:type="dxa"/>
                  <w:gridSpan w:val="8"/>
                  <w:vAlign w:val="center"/>
                </w:tcPr>
                <w:p w14:paraId="6C710A22">
                  <w:pPr>
                    <w:jc w:val="center"/>
                    <w:rPr>
                      <w:color w:val="auto"/>
                      <w:szCs w:val="21"/>
                    </w:rPr>
                  </w:pPr>
                  <w:r>
                    <w:rPr>
                      <w:rFonts w:hint="eastAsia"/>
                      <w:color w:val="auto"/>
                      <w:szCs w:val="21"/>
                    </w:rPr>
                    <w:t>合计</w:t>
                  </w:r>
                </w:p>
              </w:tc>
              <w:tc>
                <w:tcPr>
                  <w:tcW w:w="1004" w:type="dxa"/>
                  <w:vAlign w:val="center"/>
                </w:tcPr>
                <w:p w14:paraId="479EB2C3">
                  <w:pPr>
                    <w:jc w:val="center"/>
                    <w:rPr>
                      <w:rFonts w:hint="default" w:eastAsia="宋体"/>
                      <w:color w:val="auto"/>
                      <w:szCs w:val="21"/>
                      <w:lang w:val="en-US" w:eastAsia="zh-CN"/>
                    </w:rPr>
                  </w:pPr>
                  <w:r>
                    <w:rPr>
                      <w:rFonts w:hint="eastAsia" w:eastAsia="宋体"/>
                      <w:color w:val="FF0000"/>
                      <w:szCs w:val="21"/>
                      <w:lang w:val="en-US" w:eastAsia="zh-CN"/>
                    </w:rPr>
                    <w:t>0.</w:t>
                  </w:r>
                  <w:r>
                    <w:rPr>
                      <w:rFonts w:hint="eastAsia"/>
                      <w:color w:val="FF0000"/>
                      <w:szCs w:val="21"/>
                      <w:lang w:val="en-US" w:eastAsia="zh-CN"/>
                    </w:rPr>
                    <w:t>2</w:t>
                  </w:r>
                  <w:r>
                    <w:rPr>
                      <w:rFonts w:hint="eastAsia" w:eastAsia="宋体"/>
                      <w:color w:val="FF0000"/>
                      <w:szCs w:val="21"/>
                      <w:lang w:val="en-US" w:eastAsia="zh-CN"/>
                    </w:rPr>
                    <w:t>4</w:t>
                  </w:r>
                </w:p>
              </w:tc>
            </w:tr>
          </w:tbl>
          <w:p w14:paraId="6A89B79B">
            <w:pPr>
              <w:spacing w:before="120" w:beforeLines="50" w:line="360" w:lineRule="auto"/>
              <w:ind w:firstLine="480" w:firstLineChars="200"/>
              <w:rPr>
                <w:color w:val="auto"/>
                <w:sz w:val="24"/>
              </w:rPr>
            </w:pPr>
            <w:r>
              <w:rPr>
                <w:rFonts w:hint="eastAsia"/>
                <w:color w:val="auto"/>
                <w:sz w:val="24"/>
              </w:rPr>
              <w:t>经计算，本项目的Q＜1，则建设项目环境风险潜势为</w:t>
            </w:r>
            <w:r>
              <w:rPr>
                <w:color w:val="auto"/>
                <w:sz w:val="24"/>
              </w:rPr>
              <w:t>Ⅰ。</w:t>
            </w:r>
          </w:p>
          <w:p w14:paraId="4055A52D">
            <w:pPr>
              <w:pStyle w:val="51"/>
              <w:rPr>
                <w:color w:val="auto"/>
              </w:rPr>
            </w:pPr>
            <w:r>
              <w:rPr>
                <w:rFonts w:hint="eastAsia"/>
                <w:color w:val="auto"/>
              </w:rPr>
              <w:t>（2）风险识别</w:t>
            </w:r>
          </w:p>
          <w:p w14:paraId="30AE9075">
            <w:pPr>
              <w:pStyle w:val="52"/>
              <w:rPr>
                <w:color w:val="auto"/>
              </w:rPr>
            </w:pPr>
            <w:r>
              <w:rPr>
                <w:rFonts w:hint="eastAsia"/>
                <w:color w:val="auto"/>
              </w:rPr>
              <w:t>表4</w:t>
            </w:r>
            <w:r>
              <w:rPr>
                <w:color w:val="auto"/>
              </w:rPr>
              <w:t>-</w:t>
            </w:r>
            <w:r>
              <w:rPr>
                <w:rFonts w:hint="eastAsia"/>
                <w:color w:val="auto"/>
                <w:lang w:val="en-US" w:eastAsia="zh-CN"/>
              </w:rPr>
              <w:t>19</w:t>
            </w:r>
            <w:r>
              <w:rPr>
                <w:color w:val="auto"/>
              </w:rPr>
              <w:t xml:space="preserve">  </w:t>
            </w:r>
            <w:r>
              <w:rPr>
                <w:rFonts w:hint="eastAsia"/>
                <w:color w:val="auto"/>
              </w:rPr>
              <w:t>建设项目环境风险识别表</w:t>
            </w:r>
          </w:p>
          <w:tbl>
            <w:tblPr>
              <w:tblStyle w:val="2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8"/>
              <w:gridCol w:w="1223"/>
              <w:gridCol w:w="1724"/>
              <w:gridCol w:w="1249"/>
              <w:gridCol w:w="1126"/>
              <w:gridCol w:w="1555"/>
            </w:tblGrid>
            <w:tr w14:paraId="70D414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57" w:type="pct"/>
                  <w:vAlign w:val="center"/>
                </w:tcPr>
                <w:p w14:paraId="33E89B91">
                  <w:pPr>
                    <w:adjustRightInd w:val="0"/>
                    <w:snapToGrid w:val="0"/>
                    <w:jc w:val="center"/>
                    <w:rPr>
                      <w:b/>
                      <w:bCs/>
                      <w:color w:val="auto"/>
                      <w:szCs w:val="21"/>
                    </w:rPr>
                  </w:pPr>
                  <w:r>
                    <w:rPr>
                      <w:rFonts w:hint="eastAsia"/>
                      <w:b/>
                      <w:bCs/>
                      <w:color w:val="auto"/>
                      <w:szCs w:val="21"/>
                    </w:rPr>
                    <w:t>危险源</w:t>
                  </w:r>
                </w:p>
              </w:tc>
              <w:tc>
                <w:tcPr>
                  <w:tcW w:w="754" w:type="pct"/>
                  <w:vAlign w:val="center"/>
                </w:tcPr>
                <w:p w14:paraId="7DA4D2F4">
                  <w:pPr>
                    <w:adjustRightInd w:val="0"/>
                    <w:snapToGrid w:val="0"/>
                    <w:jc w:val="center"/>
                    <w:rPr>
                      <w:b/>
                      <w:bCs/>
                      <w:color w:val="auto"/>
                      <w:szCs w:val="21"/>
                    </w:rPr>
                  </w:pPr>
                  <w:r>
                    <w:rPr>
                      <w:rFonts w:hint="eastAsia"/>
                      <w:b/>
                      <w:bCs/>
                      <w:color w:val="auto"/>
                      <w:szCs w:val="21"/>
                    </w:rPr>
                    <w:t>风险源</w:t>
                  </w:r>
                </w:p>
              </w:tc>
              <w:tc>
                <w:tcPr>
                  <w:tcW w:w="1063" w:type="pct"/>
                  <w:vAlign w:val="center"/>
                </w:tcPr>
                <w:p w14:paraId="373DCD35">
                  <w:pPr>
                    <w:adjustRightInd w:val="0"/>
                    <w:snapToGrid w:val="0"/>
                    <w:jc w:val="center"/>
                    <w:rPr>
                      <w:b/>
                      <w:bCs/>
                      <w:color w:val="auto"/>
                      <w:szCs w:val="21"/>
                    </w:rPr>
                  </w:pPr>
                  <w:r>
                    <w:rPr>
                      <w:rFonts w:hint="eastAsia"/>
                      <w:b/>
                      <w:bCs/>
                      <w:color w:val="auto"/>
                      <w:szCs w:val="21"/>
                    </w:rPr>
                    <w:t>主要风险物质</w:t>
                  </w:r>
                </w:p>
              </w:tc>
              <w:tc>
                <w:tcPr>
                  <w:tcW w:w="770" w:type="pct"/>
                  <w:vAlign w:val="center"/>
                </w:tcPr>
                <w:p w14:paraId="58F639C0">
                  <w:pPr>
                    <w:adjustRightInd w:val="0"/>
                    <w:snapToGrid w:val="0"/>
                    <w:jc w:val="center"/>
                    <w:rPr>
                      <w:b/>
                      <w:bCs/>
                      <w:color w:val="auto"/>
                      <w:szCs w:val="21"/>
                    </w:rPr>
                  </w:pPr>
                  <w:r>
                    <w:rPr>
                      <w:rFonts w:hint="eastAsia"/>
                      <w:b/>
                      <w:bCs/>
                      <w:color w:val="auto"/>
                      <w:szCs w:val="21"/>
                    </w:rPr>
                    <w:t>环境风险类型</w:t>
                  </w:r>
                </w:p>
              </w:tc>
              <w:tc>
                <w:tcPr>
                  <w:tcW w:w="694" w:type="pct"/>
                  <w:vAlign w:val="center"/>
                </w:tcPr>
                <w:p w14:paraId="7912703C">
                  <w:pPr>
                    <w:adjustRightInd w:val="0"/>
                    <w:snapToGrid w:val="0"/>
                    <w:jc w:val="center"/>
                    <w:rPr>
                      <w:b/>
                      <w:bCs/>
                      <w:color w:val="auto"/>
                      <w:szCs w:val="21"/>
                    </w:rPr>
                  </w:pPr>
                  <w:r>
                    <w:rPr>
                      <w:rFonts w:hint="eastAsia"/>
                      <w:b/>
                      <w:bCs/>
                      <w:color w:val="auto"/>
                      <w:szCs w:val="21"/>
                    </w:rPr>
                    <w:t>环境影响途径</w:t>
                  </w:r>
                </w:p>
              </w:tc>
              <w:tc>
                <w:tcPr>
                  <w:tcW w:w="959" w:type="pct"/>
                  <w:vAlign w:val="center"/>
                </w:tcPr>
                <w:p w14:paraId="5368A6CE">
                  <w:pPr>
                    <w:adjustRightInd w:val="0"/>
                    <w:snapToGrid w:val="0"/>
                    <w:jc w:val="center"/>
                    <w:rPr>
                      <w:b/>
                      <w:bCs/>
                      <w:color w:val="auto"/>
                      <w:szCs w:val="21"/>
                    </w:rPr>
                  </w:pPr>
                  <w:r>
                    <w:rPr>
                      <w:rFonts w:hint="eastAsia"/>
                      <w:b/>
                      <w:bCs/>
                      <w:color w:val="auto"/>
                      <w:szCs w:val="21"/>
                    </w:rPr>
                    <w:t>可能受影响的环敏感目标</w:t>
                  </w:r>
                </w:p>
              </w:tc>
            </w:tr>
            <w:tr w14:paraId="25A7E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57" w:type="pct"/>
                  <w:vAlign w:val="center"/>
                </w:tcPr>
                <w:p w14:paraId="1316553E">
                  <w:pPr>
                    <w:adjustRightInd w:val="0"/>
                    <w:snapToGrid w:val="0"/>
                    <w:jc w:val="center"/>
                    <w:rPr>
                      <w:color w:val="auto"/>
                      <w:szCs w:val="21"/>
                      <w:highlight w:val="none"/>
                    </w:rPr>
                  </w:pPr>
                  <w:r>
                    <w:rPr>
                      <w:rFonts w:hint="eastAsia"/>
                      <w:color w:val="auto"/>
                      <w:szCs w:val="21"/>
                      <w:highlight w:val="none"/>
                    </w:rPr>
                    <w:t>危废暂存间</w:t>
                  </w:r>
                </w:p>
              </w:tc>
              <w:tc>
                <w:tcPr>
                  <w:tcW w:w="754" w:type="pct"/>
                  <w:vAlign w:val="center"/>
                </w:tcPr>
                <w:p w14:paraId="5AD0F82C">
                  <w:pPr>
                    <w:adjustRightInd w:val="0"/>
                    <w:snapToGrid w:val="0"/>
                    <w:jc w:val="center"/>
                    <w:rPr>
                      <w:color w:val="auto"/>
                      <w:szCs w:val="21"/>
                      <w:highlight w:val="none"/>
                    </w:rPr>
                  </w:pPr>
                  <w:r>
                    <w:rPr>
                      <w:rFonts w:hint="eastAsia"/>
                      <w:color w:val="auto"/>
                      <w:szCs w:val="21"/>
                      <w:highlight w:val="none"/>
                    </w:rPr>
                    <w:t>危险废物储存</w:t>
                  </w:r>
                </w:p>
              </w:tc>
              <w:tc>
                <w:tcPr>
                  <w:tcW w:w="1063" w:type="pct"/>
                  <w:vAlign w:val="center"/>
                </w:tcPr>
                <w:p w14:paraId="1DCDA939">
                  <w:pPr>
                    <w:adjustRightInd w:val="0"/>
                    <w:snapToGrid w:val="0"/>
                    <w:jc w:val="center"/>
                    <w:rPr>
                      <w:color w:val="auto"/>
                      <w:szCs w:val="21"/>
                      <w:highlight w:val="none"/>
                    </w:rPr>
                  </w:pPr>
                  <w:r>
                    <w:rPr>
                      <w:rFonts w:hint="eastAsia"/>
                      <w:color w:val="auto"/>
                      <w:szCs w:val="21"/>
                      <w:highlight w:val="none"/>
                    </w:rPr>
                    <w:t>废机油</w:t>
                  </w:r>
                </w:p>
              </w:tc>
              <w:tc>
                <w:tcPr>
                  <w:tcW w:w="770" w:type="pct"/>
                  <w:vMerge w:val="restart"/>
                  <w:vAlign w:val="center"/>
                </w:tcPr>
                <w:p w14:paraId="75E19F22">
                  <w:pPr>
                    <w:adjustRightInd w:val="0"/>
                    <w:snapToGrid w:val="0"/>
                    <w:jc w:val="center"/>
                    <w:rPr>
                      <w:color w:val="auto"/>
                      <w:szCs w:val="21"/>
                      <w:lang w:val="zh-CN"/>
                    </w:rPr>
                  </w:pPr>
                  <w:r>
                    <w:rPr>
                      <w:rFonts w:hint="eastAsia"/>
                      <w:color w:val="auto"/>
                      <w:szCs w:val="21"/>
                      <w:lang w:val="zh-CN"/>
                    </w:rPr>
                    <w:t>泄漏、火灾、爆炸等引发的伴生/次生污染物排放</w:t>
                  </w:r>
                </w:p>
              </w:tc>
              <w:tc>
                <w:tcPr>
                  <w:tcW w:w="694" w:type="pct"/>
                  <w:vMerge w:val="restart"/>
                  <w:vAlign w:val="center"/>
                </w:tcPr>
                <w:p w14:paraId="6BA2DABA">
                  <w:pPr>
                    <w:adjustRightInd w:val="0"/>
                    <w:snapToGrid w:val="0"/>
                    <w:jc w:val="center"/>
                    <w:rPr>
                      <w:color w:val="auto"/>
                      <w:szCs w:val="21"/>
                      <w:lang w:val="zh-CN"/>
                    </w:rPr>
                  </w:pPr>
                  <w:r>
                    <w:rPr>
                      <w:rFonts w:hint="eastAsia"/>
                      <w:color w:val="auto"/>
                      <w:szCs w:val="21"/>
                      <w:lang w:val="zh-CN"/>
                    </w:rPr>
                    <w:t>大气、地表水、地下水、土壤</w:t>
                  </w:r>
                </w:p>
              </w:tc>
              <w:tc>
                <w:tcPr>
                  <w:tcW w:w="959" w:type="pct"/>
                  <w:vMerge w:val="restart"/>
                  <w:vAlign w:val="center"/>
                </w:tcPr>
                <w:p w14:paraId="61AE09AE">
                  <w:pPr>
                    <w:adjustRightInd w:val="0"/>
                    <w:snapToGrid w:val="0"/>
                    <w:jc w:val="center"/>
                    <w:rPr>
                      <w:color w:val="auto"/>
                      <w:szCs w:val="21"/>
                      <w:lang w:val="zh-CN"/>
                    </w:rPr>
                  </w:pPr>
                  <w:r>
                    <w:rPr>
                      <w:rFonts w:hint="eastAsia"/>
                      <w:color w:val="auto"/>
                      <w:szCs w:val="21"/>
                    </w:rPr>
                    <w:t>周边居民、</w:t>
                  </w:r>
                  <w:r>
                    <w:rPr>
                      <w:rFonts w:hint="eastAsia"/>
                      <w:color w:val="auto"/>
                      <w:szCs w:val="21"/>
                      <w:lang w:val="zh-CN"/>
                    </w:rPr>
                    <w:t>大气、地表水、地</w:t>
                  </w:r>
                </w:p>
                <w:p w14:paraId="6CB638A4">
                  <w:pPr>
                    <w:adjustRightInd w:val="0"/>
                    <w:snapToGrid w:val="0"/>
                    <w:jc w:val="center"/>
                    <w:rPr>
                      <w:color w:val="auto"/>
                      <w:szCs w:val="21"/>
                      <w:lang w:val="zh-CN"/>
                    </w:rPr>
                  </w:pPr>
                  <w:r>
                    <w:rPr>
                      <w:rFonts w:hint="eastAsia"/>
                      <w:color w:val="auto"/>
                      <w:szCs w:val="21"/>
                      <w:lang w:val="zh-CN"/>
                    </w:rPr>
                    <w:t>下水、土壤</w:t>
                  </w:r>
                </w:p>
              </w:tc>
            </w:tr>
            <w:tr w14:paraId="5678B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57" w:type="pct"/>
                  <w:vAlign w:val="center"/>
                </w:tcPr>
                <w:p w14:paraId="34BCD89C">
                  <w:pPr>
                    <w:adjustRightInd w:val="0"/>
                    <w:snapToGrid w:val="0"/>
                    <w:jc w:val="center"/>
                    <w:rPr>
                      <w:color w:val="auto"/>
                      <w:szCs w:val="21"/>
                    </w:rPr>
                  </w:pPr>
                  <w:r>
                    <w:rPr>
                      <w:rFonts w:hint="eastAsia"/>
                      <w:color w:val="auto"/>
                      <w:szCs w:val="21"/>
                    </w:rPr>
                    <w:t>生产车间</w:t>
                  </w:r>
                </w:p>
              </w:tc>
              <w:tc>
                <w:tcPr>
                  <w:tcW w:w="754" w:type="pct"/>
                  <w:vAlign w:val="center"/>
                </w:tcPr>
                <w:p w14:paraId="4BCEAF70">
                  <w:pPr>
                    <w:adjustRightInd w:val="0"/>
                    <w:snapToGrid w:val="0"/>
                    <w:jc w:val="center"/>
                    <w:rPr>
                      <w:color w:val="auto"/>
                      <w:szCs w:val="21"/>
                    </w:rPr>
                  </w:pPr>
                  <w:r>
                    <w:rPr>
                      <w:rFonts w:hint="eastAsia"/>
                      <w:color w:val="auto"/>
                      <w:szCs w:val="21"/>
                    </w:rPr>
                    <w:t>化学品使用</w:t>
                  </w:r>
                </w:p>
              </w:tc>
              <w:tc>
                <w:tcPr>
                  <w:tcW w:w="1063" w:type="pct"/>
                  <w:vAlign w:val="center"/>
                </w:tcPr>
                <w:p w14:paraId="532D4290">
                  <w:pPr>
                    <w:adjustRightInd w:val="0"/>
                    <w:snapToGrid w:val="0"/>
                    <w:jc w:val="center"/>
                    <w:rPr>
                      <w:rFonts w:hint="default"/>
                      <w:color w:val="auto"/>
                      <w:szCs w:val="21"/>
                      <w:lang w:val="en-US"/>
                    </w:rPr>
                  </w:pPr>
                  <w:r>
                    <w:rPr>
                      <w:rFonts w:hint="eastAsia"/>
                      <w:color w:val="auto"/>
                      <w:szCs w:val="21"/>
                    </w:rPr>
                    <w:t>无铅锡膏、</w:t>
                  </w:r>
                  <w:r>
                    <w:rPr>
                      <w:rFonts w:hint="eastAsia"/>
                      <w:color w:val="auto"/>
                      <w:szCs w:val="21"/>
                      <w:lang w:val="en-US" w:eastAsia="zh-CN"/>
                    </w:rPr>
                    <w:t>无水乙醇、硅胶</w:t>
                  </w:r>
                </w:p>
              </w:tc>
              <w:tc>
                <w:tcPr>
                  <w:tcW w:w="770" w:type="pct"/>
                  <w:vMerge w:val="continue"/>
                  <w:vAlign w:val="center"/>
                </w:tcPr>
                <w:p w14:paraId="0A5F7737">
                  <w:pPr>
                    <w:adjustRightInd w:val="0"/>
                    <w:snapToGrid w:val="0"/>
                    <w:jc w:val="center"/>
                    <w:rPr>
                      <w:color w:val="auto"/>
                      <w:szCs w:val="21"/>
                    </w:rPr>
                  </w:pPr>
                </w:p>
              </w:tc>
              <w:tc>
                <w:tcPr>
                  <w:tcW w:w="694" w:type="pct"/>
                  <w:vMerge w:val="continue"/>
                  <w:vAlign w:val="center"/>
                </w:tcPr>
                <w:p w14:paraId="0B6D37D9">
                  <w:pPr>
                    <w:adjustRightInd w:val="0"/>
                    <w:snapToGrid w:val="0"/>
                    <w:jc w:val="center"/>
                    <w:rPr>
                      <w:color w:val="auto"/>
                      <w:szCs w:val="21"/>
                    </w:rPr>
                  </w:pPr>
                </w:p>
              </w:tc>
              <w:tc>
                <w:tcPr>
                  <w:tcW w:w="959" w:type="pct"/>
                  <w:vMerge w:val="continue"/>
                  <w:vAlign w:val="center"/>
                </w:tcPr>
                <w:p w14:paraId="78044284">
                  <w:pPr>
                    <w:adjustRightInd w:val="0"/>
                    <w:snapToGrid w:val="0"/>
                    <w:jc w:val="center"/>
                    <w:rPr>
                      <w:color w:val="auto"/>
                      <w:szCs w:val="21"/>
                    </w:rPr>
                  </w:pPr>
                </w:p>
              </w:tc>
            </w:tr>
            <w:tr w14:paraId="04BC7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57" w:type="pct"/>
                  <w:vAlign w:val="center"/>
                </w:tcPr>
                <w:p w14:paraId="6FC920C7">
                  <w:pPr>
                    <w:adjustRightInd w:val="0"/>
                    <w:snapToGrid w:val="0"/>
                    <w:jc w:val="center"/>
                    <w:rPr>
                      <w:color w:val="auto"/>
                      <w:szCs w:val="21"/>
                    </w:rPr>
                  </w:pPr>
                  <w:r>
                    <w:rPr>
                      <w:rFonts w:hint="eastAsia"/>
                      <w:color w:val="auto"/>
                      <w:szCs w:val="21"/>
                    </w:rPr>
                    <w:t>废气处理设施</w:t>
                  </w:r>
                </w:p>
              </w:tc>
              <w:tc>
                <w:tcPr>
                  <w:tcW w:w="754" w:type="pct"/>
                  <w:vAlign w:val="center"/>
                </w:tcPr>
                <w:p w14:paraId="11FB6D2E">
                  <w:pPr>
                    <w:adjustRightInd w:val="0"/>
                    <w:snapToGrid w:val="0"/>
                    <w:jc w:val="center"/>
                    <w:rPr>
                      <w:color w:val="auto"/>
                      <w:szCs w:val="21"/>
                    </w:rPr>
                  </w:pPr>
                  <w:r>
                    <w:rPr>
                      <w:rFonts w:hint="eastAsia"/>
                      <w:color w:val="auto"/>
                      <w:szCs w:val="21"/>
                    </w:rPr>
                    <w:t>废气收集处理措施失效</w:t>
                  </w:r>
                </w:p>
              </w:tc>
              <w:tc>
                <w:tcPr>
                  <w:tcW w:w="1063" w:type="pct"/>
                  <w:vAlign w:val="center"/>
                </w:tcPr>
                <w:p w14:paraId="75982CFD">
                  <w:pPr>
                    <w:adjustRightInd w:val="0"/>
                    <w:snapToGrid w:val="0"/>
                    <w:jc w:val="center"/>
                    <w:rPr>
                      <w:color w:val="auto"/>
                      <w:szCs w:val="21"/>
                    </w:rPr>
                  </w:pPr>
                  <w:r>
                    <w:rPr>
                      <w:rFonts w:hint="eastAsia"/>
                      <w:color w:val="auto"/>
                      <w:szCs w:val="21"/>
                    </w:rPr>
                    <w:t>锡及其化合物、</w:t>
                  </w:r>
                  <w:r>
                    <w:rPr>
                      <w:rFonts w:hint="eastAsia"/>
                      <w:color w:val="auto"/>
                      <w:szCs w:val="21"/>
                      <w:lang w:val="en-US" w:eastAsia="zh-CN"/>
                    </w:rPr>
                    <w:t>颗粒物、</w:t>
                  </w:r>
                  <w:r>
                    <w:rPr>
                      <w:rFonts w:hint="eastAsia"/>
                      <w:color w:val="auto"/>
                      <w:szCs w:val="21"/>
                    </w:rPr>
                    <w:t>非甲烷总烃</w:t>
                  </w:r>
                </w:p>
              </w:tc>
              <w:tc>
                <w:tcPr>
                  <w:tcW w:w="770" w:type="pct"/>
                  <w:vAlign w:val="center"/>
                </w:tcPr>
                <w:p w14:paraId="6A02D759">
                  <w:pPr>
                    <w:adjustRightInd w:val="0"/>
                    <w:snapToGrid w:val="0"/>
                    <w:jc w:val="center"/>
                    <w:rPr>
                      <w:color w:val="auto"/>
                      <w:szCs w:val="21"/>
                    </w:rPr>
                  </w:pPr>
                  <w:r>
                    <w:rPr>
                      <w:rFonts w:hint="eastAsia"/>
                      <w:color w:val="auto"/>
                      <w:szCs w:val="21"/>
                    </w:rPr>
                    <w:t xml:space="preserve">废气未经有效收集处理排放 </w:t>
                  </w:r>
                </w:p>
              </w:tc>
              <w:tc>
                <w:tcPr>
                  <w:tcW w:w="694" w:type="pct"/>
                  <w:vAlign w:val="center"/>
                </w:tcPr>
                <w:p w14:paraId="0A0C71D6">
                  <w:pPr>
                    <w:adjustRightInd w:val="0"/>
                    <w:snapToGrid w:val="0"/>
                    <w:jc w:val="center"/>
                    <w:rPr>
                      <w:color w:val="auto"/>
                      <w:szCs w:val="21"/>
                    </w:rPr>
                  </w:pPr>
                  <w:r>
                    <w:rPr>
                      <w:rFonts w:hint="eastAsia"/>
                      <w:color w:val="auto"/>
                      <w:szCs w:val="21"/>
                    </w:rPr>
                    <w:t>大气</w:t>
                  </w:r>
                </w:p>
              </w:tc>
              <w:tc>
                <w:tcPr>
                  <w:tcW w:w="959" w:type="pct"/>
                  <w:vAlign w:val="center"/>
                </w:tcPr>
                <w:p w14:paraId="1A77E5ED">
                  <w:pPr>
                    <w:adjustRightInd w:val="0"/>
                    <w:snapToGrid w:val="0"/>
                    <w:jc w:val="center"/>
                    <w:rPr>
                      <w:color w:val="auto"/>
                      <w:szCs w:val="21"/>
                    </w:rPr>
                  </w:pPr>
                  <w:r>
                    <w:rPr>
                      <w:rFonts w:hint="eastAsia"/>
                      <w:color w:val="auto"/>
                      <w:szCs w:val="21"/>
                    </w:rPr>
                    <w:t>周边居民、周围空气</w:t>
                  </w:r>
                </w:p>
              </w:tc>
            </w:tr>
          </w:tbl>
          <w:p w14:paraId="49C131B1">
            <w:pPr>
              <w:pStyle w:val="51"/>
              <w:rPr>
                <w:rFonts w:hint="eastAsia"/>
                <w:b/>
                <w:bCs/>
                <w:color w:val="auto"/>
              </w:rPr>
            </w:pPr>
            <w:r>
              <w:rPr>
                <w:rFonts w:hint="eastAsia"/>
                <w:b/>
                <w:bCs/>
                <w:color w:val="auto"/>
              </w:rPr>
              <w:t>（3）环境风险防范措施</w:t>
            </w:r>
          </w:p>
          <w:p w14:paraId="2D3D7378">
            <w:pPr>
              <w:pStyle w:val="51"/>
              <w:keepNext w:val="0"/>
              <w:keepLines w:val="0"/>
              <w:suppressLineNumbers w:val="0"/>
              <w:spacing w:before="0" w:beforeAutospacing="0" w:after="0" w:afterAutospacing="0"/>
              <w:ind w:left="0" w:right="0"/>
              <w:rPr>
                <w:rFonts w:hint="default"/>
              </w:rPr>
            </w:pPr>
            <w:r>
              <w:rPr>
                <w:rFonts w:hint="eastAsia"/>
              </w:rPr>
              <w:t>1）泄漏风险防范措施</w:t>
            </w:r>
          </w:p>
          <w:p w14:paraId="52EB8205">
            <w:pPr>
              <w:pStyle w:val="51"/>
              <w:keepNext w:val="0"/>
              <w:keepLines w:val="0"/>
              <w:suppressLineNumbers w:val="0"/>
              <w:spacing w:before="0" w:beforeAutospacing="0" w:after="0" w:afterAutospacing="0"/>
              <w:ind w:left="0" w:right="0"/>
              <w:rPr>
                <w:rFonts w:hint="default"/>
              </w:rPr>
            </w:pPr>
            <w:r>
              <w:rPr>
                <w:rFonts w:hint="eastAsia"/>
              </w:rPr>
              <w:t>①危废暂存间</w:t>
            </w:r>
          </w:p>
          <w:p w14:paraId="130FB520">
            <w:pPr>
              <w:pStyle w:val="51"/>
              <w:keepNext w:val="0"/>
              <w:keepLines w:val="0"/>
              <w:suppressLineNumbers w:val="0"/>
              <w:spacing w:before="0" w:beforeAutospacing="0" w:after="0" w:afterAutospacing="0"/>
              <w:ind w:left="0" w:right="0"/>
              <w:rPr>
                <w:rFonts w:hint="default"/>
              </w:rPr>
            </w:pPr>
            <w:r>
              <w:rPr>
                <w:rFonts w:hint="eastAsia"/>
              </w:rPr>
              <w:t>A.项目危险废物仓库的建设和储存应严格按照《危险废物贮存污染控制标准》（GB18597-2023）进行。</w:t>
            </w:r>
          </w:p>
          <w:p w14:paraId="19E8C3AD">
            <w:pPr>
              <w:pStyle w:val="51"/>
              <w:keepNext w:val="0"/>
              <w:keepLines w:val="0"/>
              <w:suppressLineNumbers w:val="0"/>
              <w:spacing w:before="0" w:beforeAutospacing="0" w:after="0" w:afterAutospacing="0"/>
              <w:ind w:left="0" w:right="0"/>
              <w:rPr>
                <w:rFonts w:hint="default"/>
                <w:color w:val="auto"/>
              </w:rPr>
            </w:pPr>
            <w:r>
              <w:rPr>
                <w:rFonts w:hint="eastAsia"/>
              </w:rPr>
              <w:t>B.危险废物转运过程严</w:t>
            </w:r>
            <w:r>
              <w:rPr>
                <w:rFonts w:hint="eastAsia"/>
                <w:color w:val="auto"/>
              </w:rPr>
              <w:t>格执行</w:t>
            </w:r>
            <w:r>
              <w:rPr>
                <w:rFonts w:hint="eastAsia"/>
                <w:color w:val="auto"/>
                <w:lang w:eastAsia="zh-CN"/>
              </w:rPr>
              <w:t>《危险废物转移管理办法》（部令2021年第23号）</w:t>
            </w:r>
            <w:r>
              <w:rPr>
                <w:rFonts w:hint="eastAsia"/>
                <w:color w:val="auto"/>
              </w:rPr>
              <w:t>的相关规定。</w:t>
            </w:r>
          </w:p>
          <w:p w14:paraId="40A5D54E">
            <w:pPr>
              <w:pStyle w:val="51"/>
              <w:keepNext w:val="0"/>
              <w:keepLines w:val="0"/>
              <w:suppressLineNumbers w:val="0"/>
              <w:spacing w:before="0" w:beforeAutospacing="0" w:after="0" w:afterAutospacing="0"/>
              <w:ind w:left="0" w:right="0"/>
              <w:rPr>
                <w:rFonts w:hint="default"/>
                <w:color w:val="auto"/>
              </w:rPr>
            </w:pPr>
            <w:r>
              <w:rPr>
                <w:rFonts w:hint="eastAsia"/>
                <w:color w:val="auto"/>
              </w:rPr>
              <w:t>C</w:t>
            </w:r>
            <w:r>
              <w:rPr>
                <w:rFonts w:hint="default"/>
                <w:color w:val="auto"/>
              </w:rPr>
              <w:t>.</w:t>
            </w:r>
            <w:r>
              <w:rPr>
                <w:rFonts w:hint="eastAsia"/>
                <w:color w:val="auto"/>
              </w:rPr>
              <w:t>各类危险废物应分区存放，危废间应当阴凉、干燥、通风良好，且为重点防渗区；液体危险废物置于托盘上，防止液体危险废物泄露后地面漫流；危废暂存间附近设置消防沙池和消防设施进行吸附和灭火，并设置备用物料收集容器和水泵，及时收集泄漏物质。</w:t>
            </w:r>
          </w:p>
          <w:p w14:paraId="153D6C9F">
            <w:pPr>
              <w:pStyle w:val="3"/>
              <w:suppressLineNumbers w:val="0"/>
              <w:spacing w:before="0" w:beforeAutospacing="0" w:after="0" w:afterAutospacing="0" w:line="360" w:lineRule="auto"/>
              <w:ind w:left="0" w:right="0" w:firstLine="480" w:firstLineChars="200"/>
              <w:rPr>
                <w:rFonts w:hint="default" w:eastAsia="宋体"/>
                <w:b w:val="0"/>
                <w:bCs w:val="0"/>
                <w:color w:val="auto"/>
                <w:kern w:val="0"/>
                <w:sz w:val="24"/>
                <w:szCs w:val="24"/>
              </w:rPr>
            </w:pPr>
            <w:r>
              <w:rPr>
                <w:rFonts w:hint="eastAsia" w:eastAsia="宋体"/>
                <w:b w:val="0"/>
                <w:bCs w:val="0"/>
                <w:color w:val="auto"/>
                <w:kern w:val="0"/>
                <w:sz w:val="24"/>
                <w:szCs w:val="24"/>
              </w:rPr>
              <w:t>②生产车间</w:t>
            </w:r>
          </w:p>
          <w:p w14:paraId="0CA108AE">
            <w:pPr>
              <w:pStyle w:val="3"/>
              <w:suppressLineNumbers w:val="0"/>
              <w:spacing w:before="0" w:beforeAutospacing="0" w:after="0" w:afterAutospacing="0" w:line="360" w:lineRule="auto"/>
              <w:ind w:left="0" w:right="0" w:firstLine="480" w:firstLineChars="200"/>
              <w:rPr>
                <w:rFonts w:hint="default" w:eastAsia="宋体"/>
                <w:b w:val="0"/>
                <w:bCs w:val="0"/>
                <w:color w:val="auto"/>
                <w:kern w:val="0"/>
                <w:sz w:val="24"/>
                <w:szCs w:val="24"/>
              </w:rPr>
            </w:pPr>
            <w:r>
              <w:rPr>
                <w:rFonts w:hint="eastAsia" w:eastAsia="宋体"/>
                <w:b w:val="0"/>
                <w:bCs w:val="0"/>
                <w:color w:val="auto"/>
                <w:kern w:val="0"/>
                <w:sz w:val="24"/>
                <w:szCs w:val="24"/>
              </w:rPr>
              <w:t>A.严格按照相关设计规范和要求落实防护设施，制定安全操作规章制度，加强安全意识教育，加强监督管理，消除事故隐患；</w:t>
            </w:r>
          </w:p>
          <w:p w14:paraId="47CFA9DA">
            <w:pPr>
              <w:pStyle w:val="3"/>
              <w:suppressLineNumbers w:val="0"/>
              <w:spacing w:before="0" w:beforeAutospacing="0" w:after="0" w:afterAutospacing="0" w:line="360" w:lineRule="auto"/>
              <w:ind w:left="0" w:right="0" w:firstLine="480" w:firstLineChars="200"/>
              <w:rPr>
                <w:rFonts w:hint="default" w:eastAsia="宋体"/>
                <w:b w:val="0"/>
                <w:bCs w:val="0"/>
                <w:color w:val="auto"/>
                <w:kern w:val="0"/>
                <w:sz w:val="24"/>
                <w:szCs w:val="24"/>
              </w:rPr>
            </w:pPr>
            <w:r>
              <w:rPr>
                <w:rFonts w:hint="eastAsia" w:eastAsia="宋体"/>
                <w:b w:val="0"/>
                <w:bCs w:val="0"/>
                <w:color w:val="auto"/>
                <w:kern w:val="0"/>
                <w:sz w:val="24"/>
                <w:szCs w:val="24"/>
              </w:rPr>
              <w:t>B.生产车间应做一般防渗，地面硬化，等效黏土防渗层Mb≥1.5m，K≤10</w:t>
            </w:r>
            <w:r>
              <w:rPr>
                <w:rFonts w:hint="eastAsia" w:eastAsia="宋体"/>
                <w:b w:val="0"/>
                <w:bCs w:val="0"/>
                <w:color w:val="auto"/>
                <w:kern w:val="0"/>
                <w:sz w:val="24"/>
                <w:szCs w:val="24"/>
                <w:vertAlign w:val="superscript"/>
              </w:rPr>
              <w:t>-7</w:t>
            </w:r>
            <w:r>
              <w:rPr>
                <w:rFonts w:hint="eastAsia" w:eastAsia="宋体"/>
                <w:b w:val="0"/>
                <w:bCs w:val="0"/>
                <w:color w:val="auto"/>
                <w:kern w:val="0"/>
                <w:sz w:val="24"/>
                <w:szCs w:val="24"/>
              </w:rPr>
              <w:t>cm/s；</w:t>
            </w:r>
          </w:p>
          <w:p w14:paraId="70A9DB8D">
            <w:pPr>
              <w:pStyle w:val="51"/>
              <w:keepNext w:val="0"/>
              <w:keepLines w:val="0"/>
              <w:suppressLineNumbers w:val="0"/>
              <w:spacing w:before="0" w:beforeAutospacing="0" w:after="0" w:afterAutospacing="0"/>
              <w:ind w:left="0" w:right="0"/>
              <w:rPr>
                <w:rFonts w:hint="eastAsia"/>
                <w:color w:val="auto"/>
              </w:rPr>
            </w:pPr>
            <w:r>
              <w:rPr>
                <w:rFonts w:hint="eastAsia"/>
                <w:color w:val="auto"/>
              </w:rPr>
              <w:t>C.加强作业时巡视检查，建立系统规范的车间用料管理制度；</w:t>
            </w:r>
          </w:p>
          <w:p w14:paraId="6F2B07C5">
            <w:pPr>
              <w:pStyle w:val="51"/>
              <w:keepNext w:val="0"/>
              <w:keepLines w:val="0"/>
              <w:suppressLineNumbers w:val="0"/>
              <w:spacing w:before="0" w:beforeAutospacing="0" w:after="0" w:afterAutospacing="0"/>
              <w:ind w:left="0" w:right="0"/>
              <w:rPr>
                <w:rFonts w:hint="default"/>
              </w:rPr>
            </w:pPr>
            <w:r>
              <w:rPr>
                <w:rFonts w:hint="eastAsia"/>
              </w:rPr>
              <w:t>2）火灾环境风险防范措施</w:t>
            </w:r>
          </w:p>
          <w:p w14:paraId="65DE9F1F">
            <w:pPr>
              <w:keepNext w:val="0"/>
              <w:keepLines w:val="0"/>
              <w:suppressLineNumbers w:val="0"/>
              <w:spacing w:before="0" w:beforeAutospacing="0" w:after="0" w:afterAutospacing="0" w:line="360" w:lineRule="auto"/>
              <w:ind w:left="0" w:right="0" w:firstLine="480" w:firstLineChars="200"/>
              <w:rPr>
                <w:rFonts w:hint="default"/>
                <w:sz w:val="24"/>
              </w:rPr>
            </w:pPr>
            <w:r>
              <w:rPr>
                <w:rFonts w:hint="default"/>
                <w:sz w:val="24"/>
              </w:rPr>
              <w:t>本项目</w:t>
            </w:r>
            <w:r>
              <w:rPr>
                <w:rFonts w:hint="eastAsia"/>
                <w:sz w:val="24"/>
              </w:rPr>
              <w:t>原辅材料部分具有可燃性，</w:t>
            </w:r>
            <w:r>
              <w:rPr>
                <w:rFonts w:hint="default"/>
                <w:sz w:val="24"/>
              </w:rPr>
              <w:t>若由于员工操作不当等原因发生辅料遇到明火，将发生火灾事故，造成火灾伴生污染物产生，因受到外来的热量其相互传热，燃烧产生颗粒物及浓烟，对周围大气环境造成一定程度的污染。如果贮存过程管理不善，与空气中的氧气相混合而着火，有可能发生火灾事故，燃烧产生的高温、浓烟会对人体和周边环境会造成伤害。</w:t>
            </w:r>
          </w:p>
          <w:p w14:paraId="7536D215">
            <w:pPr>
              <w:keepNext w:val="0"/>
              <w:keepLines w:val="0"/>
              <w:suppressLineNumbers w:val="0"/>
              <w:spacing w:before="0" w:beforeAutospacing="0" w:after="0" w:afterAutospacing="0" w:line="360" w:lineRule="auto"/>
              <w:ind w:left="0" w:right="0" w:firstLine="480" w:firstLineChars="200"/>
              <w:rPr>
                <w:rFonts w:hint="default"/>
                <w:sz w:val="24"/>
              </w:rPr>
            </w:pPr>
            <w:r>
              <w:rPr>
                <w:rFonts w:hint="eastAsia"/>
                <w:sz w:val="24"/>
              </w:rPr>
              <w:t>针对火灾事故的环境风险防范措施建议如下：</w:t>
            </w:r>
          </w:p>
          <w:p w14:paraId="1219AB43">
            <w:pPr>
              <w:pStyle w:val="204"/>
              <w:keepNext w:val="0"/>
              <w:keepLines w:val="0"/>
              <w:suppressLineNumbers w:val="0"/>
              <w:spacing w:before="0" w:beforeAutospacing="0" w:after="0" w:afterAutospacing="0" w:line="360" w:lineRule="auto"/>
              <w:ind w:left="0" w:right="0"/>
              <w:rPr>
                <w:rFonts w:hint="default"/>
                <w:kern w:val="0"/>
              </w:rPr>
            </w:pPr>
            <w:r>
              <w:rPr>
                <w:rFonts w:hint="eastAsia"/>
                <w:kern w:val="0"/>
              </w:rPr>
              <w:t>①建设单位要求采取分区防渗措施，确保发生环境事故时，风险物质等不会通过地面渗入地下而污染地下水和土壤；</w:t>
            </w:r>
          </w:p>
          <w:p w14:paraId="14BB60F1">
            <w:pPr>
              <w:pStyle w:val="204"/>
              <w:keepNext w:val="0"/>
              <w:keepLines w:val="0"/>
              <w:suppressLineNumbers w:val="0"/>
              <w:spacing w:before="0" w:beforeAutospacing="0" w:after="0" w:afterAutospacing="0" w:line="360" w:lineRule="auto"/>
              <w:ind w:left="0" w:right="0"/>
              <w:rPr>
                <w:rFonts w:hint="default"/>
                <w:kern w:val="0"/>
              </w:rPr>
            </w:pPr>
            <w:r>
              <w:rPr>
                <w:rFonts w:hint="eastAsia"/>
                <w:kern w:val="0"/>
              </w:rPr>
              <w:t>②本项目化学品需使用二氧化碳进行灭火，在危废暂存间附近设置灭火器等应急物资；</w:t>
            </w:r>
          </w:p>
          <w:p w14:paraId="5879B358">
            <w:pPr>
              <w:pStyle w:val="3"/>
              <w:suppressLineNumbers w:val="0"/>
              <w:spacing w:before="0" w:beforeAutospacing="0" w:after="0" w:afterAutospacing="0" w:line="360" w:lineRule="auto"/>
              <w:ind w:left="0" w:right="0" w:firstLine="480" w:firstLineChars="200"/>
              <w:rPr>
                <w:rFonts w:hint="default" w:eastAsia="宋体"/>
                <w:b w:val="0"/>
                <w:bCs w:val="0"/>
                <w:kern w:val="0"/>
                <w:sz w:val="24"/>
                <w:szCs w:val="24"/>
              </w:rPr>
            </w:pPr>
            <w:r>
              <w:rPr>
                <w:rFonts w:hint="eastAsia" w:eastAsia="宋体"/>
                <w:b w:val="0"/>
                <w:bCs w:val="0"/>
                <w:kern w:val="0"/>
                <w:sz w:val="24"/>
                <w:szCs w:val="24"/>
              </w:rPr>
              <w:t>3）废气处置装置故障</w:t>
            </w:r>
          </w:p>
          <w:p w14:paraId="65FDFBB4">
            <w:pPr>
              <w:pStyle w:val="3"/>
              <w:suppressLineNumbers w:val="0"/>
              <w:spacing w:before="0" w:beforeAutospacing="0" w:after="0" w:afterAutospacing="0" w:line="360" w:lineRule="auto"/>
              <w:ind w:left="0" w:right="0" w:firstLine="480" w:firstLineChars="200"/>
              <w:rPr>
                <w:rFonts w:hint="default" w:eastAsia="宋体"/>
                <w:b w:val="0"/>
                <w:bCs w:val="0"/>
                <w:kern w:val="0"/>
                <w:sz w:val="24"/>
                <w:szCs w:val="24"/>
              </w:rPr>
            </w:pPr>
            <w:r>
              <w:rPr>
                <w:rFonts w:hint="eastAsia" w:eastAsia="宋体"/>
                <w:b w:val="0"/>
                <w:bCs w:val="0"/>
                <w:kern w:val="0"/>
                <w:sz w:val="24"/>
                <w:szCs w:val="24"/>
              </w:rPr>
              <w:t>项目有机废气采用二级活性炭吸附装置处理，锡及其化合物采用过滤棉处理，当废气处置装置发生故障导致废气排放浓度变化明显，会对大气环境造成一定影响。针对废气处置装置故障事故的风险防范措施建议如下：</w:t>
            </w:r>
          </w:p>
          <w:p w14:paraId="18BAA69C">
            <w:pPr>
              <w:pStyle w:val="3"/>
              <w:suppressLineNumbers w:val="0"/>
              <w:spacing w:before="0" w:beforeAutospacing="0" w:after="0" w:afterAutospacing="0" w:line="360" w:lineRule="auto"/>
              <w:ind w:left="0" w:right="0" w:firstLine="480" w:firstLineChars="200"/>
              <w:rPr>
                <w:rFonts w:hint="default" w:eastAsia="宋体"/>
                <w:b w:val="0"/>
                <w:bCs w:val="0"/>
                <w:kern w:val="0"/>
                <w:sz w:val="24"/>
                <w:szCs w:val="24"/>
              </w:rPr>
            </w:pPr>
            <w:r>
              <w:rPr>
                <w:rFonts w:hint="eastAsia" w:eastAsia="宋体"/>
                <w:b w:val="0"/>
                <w:bCs w:val="0"/>
                <w:kern w:val="0"/>
                <w:sz w:val="24"/>
                <w:szCs w:val="24"/>
              </w:rPr>
              <w:t>①故障工段紧急停车；</w:t>
            </w:r>
          </w:p>
          <w:p w14:paraId="3CD7E2D4">
            <w:pPr>
              <w:pStyle w:val="3"/>
              <w:suppressLineNumbers w:val="0"/>
              <w:spacing w:before="0" w:beforeAutospacing="0" w:after="0" w:afterAutospacing="0" w:line="360" w:lineRule="auto"/>
              <w:ind w:left="0" w:right="0" w:firstLine="480" w:firstLineChars="200"/>
              <w:rPr>
                <w:rFonts w:hint="default" w:eastAsia="宋体"/>
                <w:b w:val="0"/>
                <w:bCs w:val="0"/>
                <w:kern w:val="0"/>
                <w:sz w:val="24"/>
                <w:szCs w:val="24"/>
              </w:rPr>
            </w:pPr>
            <w:r>
              <w:rPr>
                <w:rFonts w:hint="eastAsia" w:eastAsia="宋体"/>
                <w:b w:val="0"/>
                <w:bCs w:val="0"/>
                <w:kern w:val="0"/>
                <w:sz w:val="24"/>
                <w:szCs w:val="24"/>
              </w:rPr>
              <w:t>②通知相关人员疏散，立即上报环保管理专员，并通知检修人员立即到场；</w:t>
            </w:r>
          </w:p>
          <w:p w14:paraId="05DE2CAC">
            <w:pPr>
              <w:pStyle w:val="3"/>
              <w:suppressLineNumbers w:val="0"/>
              <w:spacing w:before="0" w:beforeAutospacing="0" w:after="0" w:afterAutospacing="0" w:line="360" w:lineRule="auto"/>
              <w:ind w:left="0" w:right="0" w:firstLine="480" w:firstLineChars="200"/>
              <w:rPr>
                <w:rFonts w:hint="default" w:eastAsia="宋体"/>
                <w:b w:val="0"/>
                <w:bCs w:val="0"/>
                <w:kern w:val="0"/>
                <w:sz w:val="24"/>
                <w:szCs w:val="24"/>
              </w:rPr>
            </w:pPr>
            <w:r>
              <w:rPr>
                <w:rFonts w:hint="eastAsia" w:eastAsia="宋体"/>
                <w:b w:val="0"/>
                <w:bCs w:val="0"/>
                <w:kern w:val="0"/>
                <w:sz w:val="24"/>
                <w:szCs w:val="24"/>
              </w:rPr>
              <w:t>③车间内开门、开窗或采取强制性通风措施；</w:t>
            </w:r>
          </w:p>
          <w:p w14:paraId="25A0C6D6">
            <w:pPr>
              <w:pStyle w:val="51"/>
              <w:rPr>
                <w:rFonts w:hint="eastAsia"/>
                <w:color w:val="auto"/>
              </w:rPr>
            </w:pPr>
            <w:r>
              <w:rPr>
                <w:rFonts w:hint="eastAsia"/>
                <w:kern w:val="0"/>
              </w:rPr>
              <w:t>④待现场检修人员检修完成，废气处理设施可正常运行后，方可恢复生产。</w:t>
            </w:r>
          </w:p>
          <w:p w14:paraId="771CF3A7">
            <w:pPr>
              <w:pStyle w:val="51"/>
              <w:ind w:firstLine="482"/>
              <w:rPr>
                <w:b/>
                <w:bCs/>
              </w:rPr>
            </w:pPr>
            <w:r>
              <w:rPr>
                <w:rFonts w:hint="eastAsia"/>
                <w:b/>
                <w:bCs/>
                <w:lang w:val="en-US" w:eastAsia="zh-CN"/>
              </w:rPr>
              <w:t>7</w:t>
            </w:r>
            <w:r>
              <w:rPr>
                <w:rFonts w:hint="eastAsia"/>
                <w:b/>
                <w:bCs/>
              </w:rPr>
              <w:t>、建设项目环保投资一览表</w:t>
            </w:r>
          </w:p>
          <w:p w14:paraId="293BE877">
            <w:pPr>
              <w:pStyle w:val="51"/>
              <w:ind w:firstLine="480"/>
            </w:pPr>
            <w:r>
              <w:rPr>
                <w:rFonts w:hint="eastAsia"/>
              </w:rPr>
              <w:t>该项目环保投资为</w:t>
            </w:r>
            <w:r>
              <w:rPr>
                <w:rFonts w:hint="eastAsia"/>
                <w:lang w:val="en-US" w:eastAsia="zh-CN"/>
              </w:rPr>
              <w:t>43</w:t>
            </w:r>
            <w:r>
              <w:rPr>
                <w:rFonts w:hint="eastAsia"/>
              </w:rPr>
              <w:t>万元，占项目总投资</w:t>
            </w:r>
            <w:r>
              <w:rPr>
                <w:rFonts w:hint="eastAsia"/>
                <w:lang w:val="en-US" w:eastAsia="zh-CN"/>
              </w:rPr>
              <w:t>35000</w:t>
            </w:r>
            <w:r>
              <w:rPr>
                <w:rFonts w:hint="eastAsia"/>
              </w:rPr>
              <w:t>万元的</w:t>
            </w:r>
            <w:r>
              <w:t>0.</w:t>
            </w:r>
            <w:r>
              <w:rPr>
                <w:rFonts w:hint="eastAsia"/>
                <w:lang w:val="en-US" w:eastAsia="zh-CN"/>
              </w:rPr>
              <w:t>12</w:t>
            </w:r>
            <w:r>
              <w:rPr>
                <w:rFonts w:hint="eastAsia"/>
              </w:rPr>
              <w:t>%，环保投资估算详见表4-</w:t>
            </w:r>
            <w:r>
              <w:rPr>
                <w:rFonts w:hint="eastAsia"/>
                <w:lang w:val="en-US" w:eastAsia="zh-CN"/>
              </w:rPr>
              <w:t>20</w:t>
            </w:r>
            <w:r>
              <w:rPr>
                <w:rFonts w:hint="eastAsia"/>
              </w:rPr>
              <w:t>。</w:t>
            </w:r>
          </w:p>
          <w:p w14:paraId="490D6D5C">
            <w:pPr>
              <w:pStyle w:val="52"/>
            </w:pPr>
            <w:r>
              <w:rPr>
                <w:rFonts w:hint="eastAsia"/>
              </w:rPr>
              <w:t>表4</w:t>
            </w:r>
            <w:r>
              <w:t>-</w:t>
            </w:r>
            <w:r>
              <w:rPr>
                <w:rFonts w:hint="eastAsia"/>
                <w:lang w:val="en-US" w:eastAsia="zh-CN"/>
              </w:rPr>
              <w:t>20</w:t>
            </w:r>
            <w:r>
              <w:t xml:space="preserve">  </w:t>
            </w:r>
            <w:r>
              <w:rPr>
                <w:rFonts w:hint="eastAsia"/>
              </w:rPr>
              <w:t>环保投资一览表</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935"/>
              <w:gridCol w:w="5112"/>
              <w:gridCol w:w="1133"/>
            </w:tblGrid>
            <w:tr w14:paraId="4ABA6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70" w:type="dxa"/>
                  <w:gridSpan w:val="2"/>
                  <w:shd w:val="clear" w:color="auto" w:fill="auto"/>
                  <w:vAlign w:val="center"/>
                </w:tcPr>
                <w:p w14:paraId="737B17FE">
                  <w:pPr>
                    <w:pStyle w:val="52"/>
                    <w:spacing w:before="0" w:beforeLines="0"/>
                  </w:pPr>
                  <w:r>
                    <w:rPr>
                      <w:rFonts w:hint="eastAsia"/>
                    </w:rPr>
                    <w:t>类别</w:t>
                  </w:r>
                </w:p>
              </w:tc>
              <w:tc>
                <w:tcPr>
                  <w:tcW w:w="5112" w:type="dxa"/>
                  <w:shd w:val="clear" w:color="auto" w:fill="auto"/>
                  <w:vAlign w:val="center"/>
                </w:tcPr>
                <w:p w14:paraId="545452C0">
                  <w:pPr>
                    <w:pStyle w:val="52"/>
                    <w:spacing w:before="0" w:beforeLines="0"/>
                  </w:pPr>
                  <w:r>
                    <w:rPr>
                      <w:rFonts w:hint="eastAsia"/>
                    </w:rPr>
                    <w:t>主要环保措施</w:t>
                  </w:r>
                </w:p>
              </w:tc>
              <w:tc>
                <w:tcPr>
                  <w:tcW w:w="1133" w:type="dxa"/>
                  <w:shd w:val="clear" w:color="auto" w:fill="auto"/>
                  <w:vAlign w:val="center"/>
                </w:tcPr>
                <w:p w14:paraId="67E2F7F4">
                  <w:pPr>
                    <w:jc w:val="center"/>
                    <w:rPr>
                      <w:b/>
                      <w:bCs/>
                      <w:szCs w:val="21"/>
                    </w:rPr>
                  </w:pPr>
                  <w:r>
                    <w:rPr>
                      <w:rFonts w:hint="eastAsia"/>
                      <w:b/>
                      <w:bCs/>
                      <w:szCs w:val="21"/>
                    </w:rPr>
                    <w:t>投资估算</w:t>
                  </w:r>
                </w:p>
                <w:p w14:paraId="41F763BF">
                  <w:pPr>
                    <w:pStyle w:val="52"/>
                    <w:spacing w:before="0" w:beforeLines="0"/>
                  </w:pPr>
                  <w:r>
                    <w:rPr>
                      <w:rFonts w:hint="eastAsia"/>
                    </w:rPr>
                    <w:t>（万元）</w:t>
                  </w:r>
                </w:p>
              </w:tc>
            </w:tr>
            <w:tr w14:paraId="2E744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35" w:type="dxa"/>
                  <w:shd w:val="clear" w:color="auto" w:fill="auto"/>
                  <w:vAlign w:val="center"/>
                </w:tcPr>
                <w:p w14:paraId="6B3FABF5">
                  <w:pPr>
                    <w:pStyle w:val="52"/>
                    <w:spacing w:before="0" w:beforeLines="0"/>
                    <w:rPr>
                      <w:b w:val="0"/>
                      <w:bCs w:val="0"/>
                    </w:rPr>
                  </w:pPr>
                  <w:r>
                    <w:rPr>
                      <w:rFonts w:hint="eastAsia"/>
                      <w:b w:val="0"/>
                      <w:bCs w:val="0"/>
                    </w:rPr>
                    <w:t>废气</w:t>
                  </w:r>
                </w:p>
              </w:tc>
              <w:tc>
                <w:tcPr>
                  <w:tcW w:w="935" w:type="dxa"/>
                  <w:shd w:val="clear" w:color="auto" w:fill="auto"/>
                  <w:vAlign w:val="center"/>
                </w:tcPr>
                <w:p w14:paraId="04B4D3BD">
                  <w:pPr>
                    <w:pStyle w:val="52"/>
                    <w:spacing w:before="0" w:beforeLines="0"/>
                    <w:rPr>
                      <w:b w:val="0"/>
                      <w:bCs w:val="0"/>
                    </w:rPr>
                  </w:pPr>
                  <w:r>
                    <w:rPr>
                      <w:rFonts w:hint="eastAsia"/>
                      <w:b w:val="0"/>
                      <w:bCs w:val="0"/>
                      <w:lang w:val="en-US" w:eastAsia="zh-CN"/>
                    </w:rPr>
                    <w:t>擦拭、回流焊、手工焊、固化</w:t>
                  </w:r>
                  <w:r>
                    <w:rPr>
                      <w:rFonts w:hint="eastAsia"/>
                      <w:b w:val="0"/>
                      <w:bCs w:val="0"/>
                    </w:rPr>
                    <w:t>废气</w:t>
                  </w:r>
                </w:p>
              </w:tc>
              <w:tc>
                <w:tcPr>
                  <w:tcW w:w="5112" w:type="dxa"/>
                  <w:shd w:val="clear" w:color="auto" w:fill="auto"/>
                  <w:vAlign w:val="center"/>
                </w:tcPr>
                <w:p w14:paraId="282BA558">
                  <w:pPr>
                    <w:pStyle w:val="52"/>
                    <w:spacing w:before="0" w:beforeLines="0"/>
                    <w:jc w:val="both"/>
                    <w:rPr>
                      <w:b w:val="0"/>
                      <w:bCs w:val="0"/>
                    </w:rPr>
                  </w:pPr>
                  <w:r>
                    <w:rPr>
                      <w:rFonts w:hint="eastAsia"/>
                      <w:b w:val="0"/>
                      <w:bCs w:val="0"/>
                      <w:color w:val="FF0000"/>
                      <w:highlight w:val="none"/>
                      <w:lang w:val="en-US" w:eastAsia="zh-CN"/>
                    </w:rPr>
                    <w:t>回流焊机、隧道炉</w:t>
                  </w:r>
                  <w:r>
                    <w:rPr>
                      <w:rFonts w:hint="eastAsia"/>
                      <w:b w:val="0"/>
                      <w:bCs w:val="0"/>
                      <w:color w:val="FF0000"/>
                      <w:highlight w:val="none"/>
                    </w:rPr>
                    <w:t>密闭设置，</w:t>
                  </w:r>
                  <w:r>
                    <w:rPr>
                      <w:rFonts w:hint="eastAsia"/>
                      <w:b w:val="0"/>
                      <w:bCs w:val="0"/>
                      <w:color w:val="FF0000"/>
                      <w:highlight w:val="none"/>
                      <w:lang w:val="en-US" w:eastAsia="zh-CN"/>
                    </w:rPr>
                    <w:t>锡膏印刷机和手工焊接工位设置集气罩，</w:t>
                  </w:r>
                  <w:r>
                    <w:rPr>
                      <w:rFonts w:hint="eastAsia"/>
                      <w:b w:val="0"/>
                      <w:bCs w:val="0"/>
                      <w:color w:val="FF0000"/>
                      <w:highlight w:val="none"/>
                    </w:rPr>
                    <w:t>废气经集气管道</w:t>
                  </w:r>
                  <w:r>
                    <w:rPr>
                      <w:rFonts w:hint="eastAsia"/>
                      <w:b w:val="0"/>
                      <w:bCs w:val="0"/>
                      <w:color w:val="FF0000"/>
                      <w:highlight w:val="none"/>
                      <w:lang w:val="en-US" w:eastAsia="zh-CN"/>
                    </w:rPr>
                    <w:t>和集气罩</w:t>
                  </w:r>
                  <w:r>
                    <w:rPr>
                      <w:rFonts w:hint="eastAsia"/>
                      <w:b w:val="0"/>
                      <w:bCs w:val="0"/>
                      <w:color w:val="FF0000"/>
                      <w:highlight w:val="none"/>
                    </w:rPr>
                    <w:t>收集后，通过一套过滤棉+二级活性炭吸附装置处理后，尾气经一根2</w:t>
                  </w:r>
                  <w:r>
                    <w:rPr>
                      <w:rFonts w:hint="eastAsia"/>
                      <w:b w:val="0"/>
                      <w:bCs w:val="0"/>
                      <w:color w:val="FF0000"/>
                      <w:highlight w:val="none"/>
                      <w:lang w:val="en-US" w:eastAsia="zh-CN"/>
                    </w:rPr>
                    <w:t>5</w:t>
                  </w:r>
                  <w:r>
                    <w:rPr>
                      <w:rFonts w:hint="eastAsia"/>
                      <w:b w:val="0"/>
                      <w:bCs w:val="0"/>
                      <w:color w:val="FF0000"/>
                      <w:highlight w:val="none"/>
                    </w:rPr>
                    <w:t>m高的排气筒（DA001）排放。</w:t>
                  </w:r>
                </w:p>
              </w:tc>
              <w:tc>
                <w:tcPr>
                  <w:tcW w:w="1133" w:type="dxa"/>
                  <w:shd w:val="clear" w:color="auto" w:fill="auto"/>
                  <w:vAlign w:val="center"/>
                </w:tcPr>
                <w:p w14:paraId="2D72F6D7">
                  <w:pPr>
                    <w:pStyle w:val="52"/>
                    <w:spacing w:before="0" w:beforeLines="0"/>
                    <w:rPr>
                      <w:b w:val="0"/>
                      <w:bCs w:val="0"/>
                    </w:rPr>
                  </w:pPr>
                  <w:r>
                    <w:rPr>
                      <w:rFonts w:hint="eastAsia"/>
                      <w:b w:val="0"/>
                      <w:bCs w:val="0"/>
                    </w:rPr>
                    <w:t>2</w:t>
                  </w:r>
                  <w:r>
                    <w:rPr>
                      <w:b w:val="0"/>
                      <w:bCs w:val="0"/>
                    </w:rPr>
                    <w:t>0</w:t>
                  </w:r>
                </w:p>
              </w:tc>
            </w:tr>
            <w:tr w14:paraId="3F8D8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35" w:type="dxa"/>
                  <w:shd w:val="clear" w:color="auto" w:fill="auto"/>
                  <w:vAlign w:val="center"/>
                </w:tcPr>
                <w:p w14:paraId="52B26995">
                  <w:pPr>
                    <w:pStyle w:val="52"/>
                    <w:spacing w:before="0" w:beforeLines="0"/>
                    <w:rPr>
                      <w:b w:val="0"/>
                      <w:bCs w:val="0"/>
                    </w:rPr>
                  </w:pPr>
                  <w:r>
                    <w:rPr>
                      <w:rFonts w:hint="eastAsia"/>
                      <w:b w:val="0"/>
                      <w:bCs w:val="0"/>
                    </w:rPr>
                    <w:t>废水</w:t>
                  </w:r>
                </w:p>
              </w:tc>
              <w:tc>
                <w:tcPr>
                  <w:tcW w:w="935" w:type="dxa"/>
                  <w:shd w:val="clear" w:color="auto" w:fill="auto"/>
                  <w:vAlign w:val="center"/>
                </w:tcPr>
                <w:p w14:paraId="46B77DBC">
                  <w:pPr>
                    <w:pStyle w:val="52"/>
                    <w:spacing w:before="0" w:beforeLines="0"/>
                    <w:rPr>
                      <w:rFonts w:hint="default" w:eastAsia="宋体"/>
                      <w:b w:val="0"/>
                      <w:bCs w:val="0"/>
                      <w:lang w:val="en-US" w:eastAsia="zh-CN"/>
                    </w:rPr>
                  </w:pPr>
                  <w:r>
                    <w:rPr>
                      <w:rFonts w:hint="eastAsia"/>
                      <w:b w:val="0"/>
                      <w:bCs w:val="0"/>
                      <w:lang w:val="en-US" w:eastAsia="zh-CN"/>
                    </w:rPr>
                    <w:t>生活污水</w:t>
                  </w:r>
                </w:p>
              </w:tc>
              <w:tc>
                <w:tcPr>
                  <w:tcW w:w="5112" w:type="dxa"/>
                  <w:shd w:val="clear" w:color="auto" w:fill="auto"/>
                  <w:vAlign w:val="center"/>
                </w:tcPr>
                <w:p w14:paraId="218969C0">
                  <w:pPr>
                    <w:pStyle w:val="52"/>
                    <w:spacing w:before="0" w:beforeLines="0"/>
                    <w:jc w:val="both"/>
                    <w:rPr>
                      <w:b w:val="0"/>
                      <w:bCs w:val="0"/>
                    </w:rPr>
                  </w:pPr>
                  <w:r>
                    <w:rPr>
                      <w:rFonts w:hint="eastAsia"/>
                      <w:b w:val="0"/>
                      <w:bCs w:val="0"/>
                    </w:rPr>
                    <w:t>生活污水依托园区化粪预处理后排入江南产业集中区第一污水处理厂，处理达标后经九华河排入长江</w:t>
                  </w:r>
                </w:p>
              </w:tc>
              <w:tc>
                <w:tcPr>
                  <w:tcW w:w="1133" w:type="dxa"/>
                  <w:shd w:val="clear" w:color="auto" w:fill="auto"/>
                  <w:vAlign w:val="center"/>
                </w:tcPr>
                <w:p w14:paraId="2FAA9E74">
                  <w:pPr>
                    <w:pStyle w:val="52"/>
                    <w:spacing w:before="0" w:beforeLines="0"/>
                    <w:rPr>
                      <w:rFonts w:hint="eastAsia" w:eastAsia="宋体"/>
                      <w:b w:val="0"/>
                      <w:bCs w:val="0"/>
                      <w:lang w:eastAsia="zh-CN"/>
                    </w:rPr>
                  </w:pPr>
                  <w:r>
                    <w:rPr>
                      <w:rFonts w:hint="eastAsia"/>
                      <w:b w:val="0"/>
                      <w:bCs w:val="0"/>
                      <w:lang w:val="en-US" w:eastAsia="zh-CN"/>
                    </w:rPr>
                    <w:t>/</w:t>
                  </w:r>
                </w:p>
              </w:tc>
            </w:tr>
            <w:tr w14:paraId="516BD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70" w:type="dxa"/>
                  <w:gridSpan w:val="2"/>
                  <w:shd w:val="clear" w:color="auto" w:fill="auto"/>
                  <w:vAlign w:val="center"/>
                </w:tcPr>
                <w:p w14:paraId="3BD29358">
                  <w:pPr>
                    <w:pStyle w:val="52"/>
                    <w:spacing w:before="0" w:beforeLines="0"/>
                    <w:rPr>
                      <w:b w:val="0"/>
                      <w:bCs w:val="0"/>
                    </w:rPr>
                  </w:pPr>
                  <w:r>
                    <w:rPr>
                      <w:rFonts w:hint="eastAsia"/>
                      <w:b w:val="0"/>
                      <w:bCs w:val="0"/>
                    </w:rPr>
                    <w:t>固废</w:t>
                  </w:r>
                </w:p>
              </w:tc>
              <w:tc>
                <w:tcPr>
                  <w:tcW w:w="5112" w:type="dxa"/>
                  <w:shd w:val="clear" w:color="auto" w:fill="auto"/>
                  <w:vAlign w:val="center"/>
                </w:tcPr>
                <w:p w14:paraId="186B5829">
                  <w:pPr>
                    <w:pStyle w:val="52"/>
                    <w:spacing w:before="0" w:beforeLines="0"/>
                    <w:jc w:val="both"/>
                    <w:rPr>
                      <w:b w:val="0"/>
                      <w:bCs w:val="0"/>
                    </w:rPr>
                  </w:pPr>
                  <w:r>
                    <w:rPr>
                      <w:rFonts w:hint="eastAsia"/>
                      <w:b w:val="0"/>
                      <w:bCs w:val="0"/>
                    </w:rPr>
                    <w:t>建设一般固废暂存</w:t>
                  </w:r>
                  <w:r>
                    <w:rPr>
                      <w:rFonts w:hint="eastAsia"/>
                      <w:b w:val="0"/>
                      <w:bCs w:val="0"/>
                      <w:lang w:val="en-US" w:eastAsia="zh-CN"/>
                    </w:rPr>
                    <w:t>区</w:t>
                  </w:r>
                  <w:r>
                    <w:rPr>
                      <w:rFonts w:hint="eastAsia"/>
                      <w:b w:val="0"/>
                      <w:bCs w:val="0"/>
                    </w:rPr>
                    <w:t>、危险废物暂存间等</w:t>
                  </w:r>
                </w:p>
              </w:tc>
              <w:tc>
                <w:tcPr>
                  <w:tcW w:w="1133" w:type="dxa"/>
                  <w:shd w:val="clear" w:color="auto" w:fill="auto"/>
                  <w:vAlign w:val="center"/>
                </w:tcPr>
                <w:p w14:paraId="6921D16B">
                  <w:pPr>
                    <w:pStyle w:val="52"/>
                    <w:spacing w:before="0" w:beforeLines="0"/>
                    <w:rPr>
                      <w:b w:val="0"/>
                      <w:bCs w:val="0"/>
                    </w:rPr>
                  </w:pPr>
                  <w:r>
                    <w:rPr>
                      <w:b w:val="0"/>
                      <w:bCs w:val="0"/>
                    </w:rPr>
                    <w:t>1</w:t>
                  </w:r>
                  <w:r>
                    <w:rPr>
                      <w:rFonts w:hint="eastAsia"/>
                      <w:b w:val="0"/>
                      <w:bCs w:val="0"/>
                    </w:rPr>
                    <w:t>5</w:t>
                  </w:r>
                </w:p>
              </w:tc>
            </w:tr>
            <w:tr w14:paraId="785BC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870" w:type="dxa"/>
                  <w:gridSpan w:val="2"/>
                  <w:shd w:val="clear" w:color="auto" w:fill="auto"/>
                  <w:vAlign w:val="center"/>
                </w:tcPr>
                <w:p w14:paraId="6D688AA2">
                  <w:pPr>
                    <w:pStyle w:val="52"/>
                    <w:spacing w:before="0" w:beforeLines="0"/>
                    <w:rPr>
                      <w:b w:val="0"/>
                      <w:bCs w:val="0"/>
                    </w:rPr>
                  </w:pPr>
                  <w:r>
                    <w:rPr>
                      <w:rFonts w:hint="eastAsia"/>
                      <w:b w:val="0"/>
                      <w:bCs w:val="0"/>
                    </w:rPr>
                    <w:t>地下水</w:t>
                  </w:r>
                </w:p>
              </w:tc>
              <w:tc>
                <w:tcPr>
                  <w:tcW w:w="5112" w:type="dxa"/>
                  <w:shd w:val="clear" w:color="auto" w:fill="auto"/>
                  <w:vAlign w:val="center"/>
                </w:tcPr>
                <w:p w14:paraId="5E9B5B91">
                  <w:pPr>
                    <w:pStyle w:val="52"/>
                    <w:spacing w:before="0" w:beforeLines="0"/>
                    <w:jc w:val="both"/>
                    <w:rPr>
                      <w:b w:val="0"/>
                      <w:bCs w:val="0"/>
                    </w:rPr>
                  </w:pPr>
                  <w:r>
                    <w:rPr>
                      <w:rFonts w:hint="eastAsia"/>
                      <w:b w:val="0"/>
                      <w:bCs w:val="0"/>
                    </w:rPr>
                    <w:t>分区防渗</w:t>
                  </w:r>
                </w:p>
              </w:tc>
              <w:tc>
                <w:tcPr>
                  <w:tcW w:w="1133" w:type="dxa"/>
                  <w:shd w:val="clear" w:color="auto" w:fill="auto"/>
                  <w:vAlign w:val="center"/>
                </w:tcPr>
                <w:p w14:paraId="0914A71D">
                  <w:pPr>
                    <w:pStyle w:val="52"/>
                    <w:spacing w:before="0" w:beforeLines="0"/>
                    <w:rPr>
                      <w:b w:val="0"/>
                      <w:bCs w:val="0"/>
                    </w:rPr>
                  </w:pPr>
                  <w:r>
                    <w:rPr>
                      <w:b w:val="0"/>
                      <w:bCs w:val="0"/>
                    </w:rPr>
                    <w:t>8</w:t>
                  </w:r>
                </w:p>
              </w:tc>
            </w:tr>
            <w:tr w14:paraId="5ABB7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982" w:type="dxa"/>
                  <w:gridSpan w:val="3"/>
                  <w:shd w:val="clear" w:color="auto" w:fill="auto"/>
                  <w:vAlign w:val="center"/>
                </w:tcPr>
                <w:p w14:paraId="6DF9B6B2">
                  <w:pPr>
                    <w:pStyle w:val="52"/>
                    <w:spacing w:before="0" w:beforeLines="0"/>
                    <w:rPr>
                      <w:b w:val="0"/>
                      <w:bCs w:val="0"/>
                    </w:rPr>
                  </w:pPr>
                  <w:r>
                    <w:rPr>
                      <w:rFonts w:hint="eastAsia"/>
                      <w:b w:val="0"/>
                      <w:bCs w:val="0"/>
                    </w:rPr>
                    <w:t>总计</w:t>
                  </w:r>
                </w:p>
              </w:tc>
              <w:tc>
                <w:tcPr>
                  <w:tcW w:w="1133" w:type="dxa"/>
                  <w:shd w:val="clear" w:color="auto" w:fill="auto"/>
                  <w:vAlign w:val="center"/>
                </w:tcPr>
                <w:p w14:paraId="1FE2CC11">
                  <w:pPr>
                    <w:pStyle w:val="52"/>
                    <w:spacing w:before="0" w:beforeLines="0"/>
                    <w:rPr>
                      <w:rFonts w:hint="default" w:eastAsia="宋体"/>
                      <w:b w:val="0"/>
                      <w:bCs w:val="0"/>
                      <w:lang w:val="en-US" w:eastAsia="zh-CN"/>
                    </w:rPr>
                  </w:pPr>
                  <w:r>
                    <w:rPr>
                      <w:rFonts w:hint="eastAsia"/>
                      <w:b w:val="0"/>
                      <w:bCs w:val="0"/>
                      <w:lang w:val="en-US" w:eastAsia="zh-CN"/>
                    </w:rPr>
                    <w:t>43</w:t>
                  </w:r>
                </w:p>
              </w:tc>
            </w:tr>
          </w:tbl>
          <w:p w14:paraId="459F692F">
            <w:pPr>
              <w:pStyle w:val="51"/>
              <w:ind w:firstLine="480"/>
            </w:pPr>
          </w:p>
          <w:p w14:paraId="71BA53F6">
            <w:pPr>
              <w:pStyle w:val="51"/>
              <w:ind w:firstLine="480"/>
            </w:pPr>
          </w:p>
          <w:p w14:paraId="60A12945">
            <w:pPr>
              <w:pStyle w:val="51"/>
              <w:ind w:firstLine="480"/>
            </w:pPr>
          </w:p>
          <w:p w14:paraId="038EB5F4">
            <w:pPr>
              <w:pStyle w:val="51"/>
              <w:ind w:left="0" w:leftChars="0" w:firstLine="0" w:firstLineChars="0"/>
              <w:rPr>
                <w:rFonts w:hint="eastAsia"/>
              </w:rPr>
            </w:pPr>
          </w:p>
          <w:p w14:paraId="18B96D61">
            <w:pPr>
              <w:pStyle w:val="51"/>
              <w:ind w:firstLine="480"/>
            </w:pPr>
          </w:p>
          <w:p w14:paraId="42EEA0C3">
            <w:pPr>
              <w:pStyle w:val="51"/>
              <w:ind w:firstLine="480"/>
            </w:pPr>
            <w:r>
              <w:rPr>
                <w:rFonts w:hint="eastAsia"/>
              </w:rPr>
              <w:t xml:space="preserve"> </w:t>
            </w:r>
          </w:p>
        </w:tc>
      </w:tr>
    </w:tbl>
    <w:p w14:paraId="541DD1C9">
      <w:pPr>
        <w:adjustRightInd w:val="0"/>
        <w:snapToGrid w:val="0"/>
        <w:spacing w:line="360" w:lineRule="auto"/>
        <w:rPr>
          <w:rFonts w:ascii="宋体" w:cs="宋体"/>
          <w:b/>
          <w:kern w:val="0"/>
          <w:sz w:val="28"/>
          <w:szCs w:val="28"/>
        </w:rPr>
        <w:sectPr>
          <w:pgSz w:w="11907" w:h="16840"/>
          <w:pgMar w:top="1701" w:right="1531" w:bottom="2127" w:left="1531" w:header="851" w:footer="851" w:gutter="0"/>
          <w:pgBorders>
            <w:top w:val="none" w:sz="0" w:space="0"/>
            <w:left w:val="none" w:sz="0" w:space="0"/>
            <w:bottom w:val="none" w:sz="0" w:space="0"/>
            <w:right w:val="none" w:sz="0" w:space="0"/>
          </w:pgBorders>
          <w:cols w:space="720" w:num="1"/>
          <w:docGrid w:linePitch="312" w:charSpace="0"/>
        </w:sectPr>
      </w:pPr>
    </w:p>
    <w:p w14:paraId="1705DEE5">
      <w:pPr>
        <w:pStyle w:val="20"/>
        <w:jc w:val="center"/>
        <w:outlineLvl w:val="0"/>
        <w:rPr>
          <w:rFonts w:hint="eastAsia" w:ascii="黑体" w:hAnsi="黑体" w:eastAsia="黑体"/>
          <w:snapToGrid w:val="0"/>
          <w:sz w:val="30"/>
          <w:szCs w:val="30"/>
        </w:rPr>
      </w:pPr>
      <w:r>
        <w:rPr>
          <w:rFonts w:hint="eastAsia" w:ascii="黑体" w:hAnsi="黑体" w:eastAsia="黑体"/>
          <w:snapToGrid w:val="0"/>
          <w:sz w:val="30"/>
          <w:szCs w:val="30"/>
        </w:rPr>
        <w:t>五、</w:t>
      </w:r>
      <w:bookmarkStart w:id="10" w:name="_Hlk54167917"/>
      <w:r>
        <w:rPr>
          <w:rFonts w:hint="eastAsia" w:ascii="黑体" w:hAnsi="黑体" w:eastAsia="黑体"/>
          <w:snapToGrid w:val="0"/>
          <w:sz w:val="30"/>
          <w:szCs w:val="30"/>
        </w:rPr>
        <w:t>环境保护措施监督检查清单</w:t>
      </w:r>
      <w:bookmarkEnd w:id="10"/>
    </w:p>
    <w:tbl>
      <w:tblPr>
        <w:tblStyle w:val="2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1689"/>
        <w:gridCol w:w="1417"/>
        <w:gridCol w:w="2410"/>
        <w:gridCol w:w="1876"/>
      </w:tblGrid>
      <w:tr w14:paraId="205BA0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08" w:type="dxa"/>
            <w:tcBorders>
              <w:tl2br w:val="single" w:color="auto" w:sz="4" w:space="0"/>
            </w:tcBorders>
          </w:tcPr>
          <w:p w14:paraId="5744A69F">
            <w:pPr>
              <w:adjustRightInd w:val="0"/>
              <w:snapToGrid w:val="0"/>
              <w:ind w:firstLine="632" w:firstLineChars="300"/>
              <w:rPr>
                <w:b/>
                <w:bCs/>
                <w:szCs w:val="21"/>
              </w:rPr>
            </w:pPr>
            <w:r>
              <w:rPr>
                <w:b/>
                <w:bCs/>
                <w:szCs w:val="21"/>
              </w:rPr>
              <w:t>内容</w:t>
            </w:r>
          </w:p>
          <w:p w14:paraId="7FB8FAC6">
            <w:pPr>
              <w:adjustRightInd w:val="0"/>
              <w:snapToGrid w:val="0"/>
              <w:rPr>
                <w:b/>
                <w:bCs/>
                <w:szCs w:val="21"/>
              </w:rPr>
            </w:pPr>
            <w:r>
              <w:rPr>
                <w:b/>
                <w:bCs/>
                <w:szCs w:val="21"/>
              </w:rPr>
              <w:t>要素</w:t>
            </w:r>
          </w:p>
        </w:tc>
        <w:tc>
          <w:tcPr>
            <w:tcW w:w="1689" w:type="dxa"/>
            <w:vAlign w:val="center"/>
          </w:tcPr>
          <w:p w14:paraId="76797609">
            <w:pPr>
              <w:adjustRightInd w:val="0"/>
              <w:snapToGrid w:val="0"/>
              <w:jc w:val="center"/>
              <w:rPr>
                <w:b/>
                <w:bCs/>
                <w:szCs w:val="21"/>
              </w:rPr>
            </w:pPr>
            <w:r>
              <w:rPr>
                <w:b/>
                <w:bCs/>
                <w:szCs w:val="21"/>
              </w:rPr>
              <w:t>排放口(编号、</w:t>
            </w:r>
          </w:p>
          <w:p w14:paraId="2CB23E11">
            <w:pPr>
              <w:adjustRightInd w:val="0"/>
              <w:snapToGrid w:val="0"/>
              <w:jc w:val="center"/>
              <w:rPr>
                <w:b/>
                <w:bCs/>
                <w:szCs w:val="21"/>
              </w:rPr>
            </w:pPr>
            <w:r>
              <w:rPr>
                <w:b/>
                <w:bCs/>
                <w:szCs w:val="21"/>
              </w:rPr>
              <w:t>名称)/污染源</w:t>
            </w:r>
          </w:p>
        </w:tc>
        <w:tc>
          <w:tcPr>
            <w:tcW w:w="1417" w:type="dxa"/>
            <w:vAlign w:val="center"/>
          </w:tcPr>
          <w:p w14:paraId="4D03E353">
            <w:pPr>
              <w:adjustRightInd w:val="0"/>
              <w:snapToGrid w:val="0"/>
              <w:jc w:val="center"/>
              <w:rPr>
                <w:b/>
                <w:bCs/>
                <w:szCs w:val="21"/>
              </w:rPr>
            </w:pPr>
            <w:r>
              <w:rPr>
                <w:b/>
                <w:bCs/>
                <w:szCs w:val="21"/>
              </w:rPr>
              <w:t>污染物项目</w:t>
            </w:r>
          </w:p>
        </w:tc>
        <w:tc>
          <w:tcPr>
            <w:tcW w:w="2410" w:type="dxa"/>
            <w:vAlign w:val="center"/>
          </w:tcPr>
          <w:p w14:paraId="2934B621">
            <w:pPr>
              <w:adjustRightInd w:val="0"/>
              <w:snapToGrid w:val="0"/>
              <w:jc w:val="center"/>
              <w:rPr>
                <w:b/>
                <w:bCs/>
                <w:szCs w:val="21"/>
              </w:rPr>
            </w:pPr>
            <w:r>
              <w:rPr>
                <w:b/>
                <w:bCs/>
                <w:szCs w:val="21"/>
              </w:rPr>
              <w:t>环境保护措施</w:t>
            </w:r>
          </w:p>
        </w:tc>
        <w:tc>
          <w:tcPr>
            <w:tcW w:w="1876" w:type="dxa"/>
            <w:vAlign w:val="center"/>
          </w:tcPr>
          <w:p w14:paraId="663BD4B2">
            <w:pPr>
              <w:adjustRightInd w:val="0"/>
              <w:snapToGrid w:val="0"/>
              <w:jc w:val="center"/>
              <w:rPr>
                <w:b/>
                <w:bCs/>
                <w:szCs w:val="21"/>
              </w:rPr>
            </w:pPr>
            <w:r>
              <w:rPr>
                <w:b/>
                <w:bCs/>
                <w:szCs w:val="21"/>
              </w:rPr>
              <w:t>执行标准</w:t>
            </w:r>
          </w:p>
        </w:tc>
      </w:tr>
      <w:tr w14:paraId="6F56EB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1408" w:type="dxa"/>
            <w:vMerge w:val="restart"/>
            <w:vAlign w:val="center"/>
          </w:tcPr>
          <w:p w14:paraId="761C0328">
            <w:pPr>
              <w:adjustRightInd w:val="0"/>
              <w:snapToGrid w:val="0"/>
              <w:jc w:val="center"/>
              <w:rPr>
                <w:szCs w:val="21"/>
              </w:rPr>
            </w:pPr>
            <w:r>
              <w:rPr>
                <w:szCs w:val="21"/>
              </w:rPr>
              <w:t>大气环境</w:t>
            </w:r>
          </w:p>
        </w:tc>
        <w:tc>
          <w:tcPr>
            <w:tcW w:w="1689" w:type="dxa"/>
            <w:vMerge w:val="restart"/>
            <w:vAlign w:val="center"/>
          </w:tcPr>
          <w:p w14:paraId="2BB21390">
            <w:pPr>
              <w:adjustRightInd w:val="0"/>
              <w:snapToGrid w:val="0"/>
              <w:jc w:val="center"/>
              <w:rPr>
                <w:rFonts w:hint="default" w:eastAsia="宋体"/>
                <w:szCs w:val="21"/>
                <w:lang w:val="en-US" w:eastAsia="zh-CN"/>
              </w:rPr>
            </w:pPr>
            <w:r>
              <w:rPr>
                <w:color w:val="FF0000"/>
                <w:szCs w:val="21"/>
              </w:rPr>
              <w:t>DA001/</w:t>
            </w:r>
            <w:r>
              <w:rPr>
                <w:rFonts w:hint="eastAsia"/>
                <w:color w:val="FF0000"/>
                <w:szCs w:val="21"/>
                <w:lang w:val="en-US" w:eastAsia="zh-CN"/>
              </w:rPr>
              <w:t>擦拭废气、回流焊废气、手工焊废气、固化废气</w:t>
            </w:r>
          </w:p>
        </w:tc>
        <w:tc>
          <w:tcPr>
            <w:tcW w:w="1417" w:type="dxa"/>
            <w:vAlign w:val="center"/>
          </w:tcPr>
          <w:p w14:paraId="69A542DE">
            <w:pPr>
              <w:adjustRightInd w:val="0"/>
              <w:snapToGrid w:val="0"/>
              <w:jc w:val="center"/>
              <w:rPr>
                <w:rFonts w:hint="default" w:eastAsia="宋体"/>
                <w:szCs w:val="21"/>
                <w:lang w:val="en-US" w:eastAsia="zh-CN"/>
              </w:rPr>
            </w:pPr>
            <w:r>
              <w:rPr>
                <w:kern w:val="0"/>
                <w:szCs w:val="21"/>
              </w:rPr>
              <w:t>非甲烷总烃</w:t>
            </w:r>
          </w:p>
        </w:tc>
        <w:tc>
          <w:tcPr>
            <w:tcW w:w="2410" w:type="dxa"/>
            <w:vMerge w:val="restart"/>
            <w:vAlign w:val="center"/>
          </w:tcPr>
          <w:p w14:paraId="04032A66">
            <w:pPr>
              <w:adjustRightInd w:val="0"/>
              <w:snapToGrid w:val="0"/>
              <w:jc w:val="center"/>
              <w:rPr>
                <w:rFonts w:hint="eastAsia" w:eastAsia="宋体"/>
                <w:kern w:val="0"/>
                <w:szCs w:val="21"/>
                <w:lang w:val="en-US" w:eastAsia="zh-CN"/>
              </w:rPr>
            </w:pPr>
            <w:r>
              <w:rPr>
                <w:rFonts w:hint="eastAsia"/>
                <w:bCs/>
                <w:color w:val="FF0000"/>
                <w:szCs w:val="21"/>
              </w:rPr>
              <w:t>回流焊机、隧道炉密闭，</w:t>
            </w:r>
            <w:r>
              <w:rPr>
                <w:rFonts w:hint="eastAsia"/>
                <w:bCs/>
                <w:color w:val="FF0000"/>
                <w:szCs w:val="21"/>
                <w:lang w:val="en-US" w:eastAsia="zh-CN"/>
              </w:rPr>
              <w:t>锡膏涂覆机和</w:t>
            </w:r>
            <w:r>
              <w:rPr>
                <w:rFonts w:hint="eastAsia"/>
                <w:bCs/>
                <w:color w:val="FF0000"/>
                <w:szCs w:val="21"/>
              </w:rPr>
              <w:t>手工焊接工位</w:t>
            </w:r>
            <w:r>
              <w:rPr>
                <w:rFonts w:hint="eastAsia"/>
                <w:bCs/>
                <w:color w:val="FF0000"/>
                <w:szCs w:val="21"/>
                <w:lang w:val="en-US" w:eastAsia="zh-CN"/>
              </w:rPr>
              <w:t>上方</w:t>
            </w:r>
            <w:r>
              <w:rPr>
                <w:rFonts w:hint="eastAsia"/>
                <w:bCs/>
                <w:color w:val="FF0000"/>
                <w:szCs w:val="21"/>
              </w:rPr>
              <w:t>设置集气罩，废气经集气管道和集气罩收集后，通过一套过滤棉+二级活性炭吸附装置处理后，尾气经一根2</w:t>
            </w:r>
            <w:r>
              <w:rPr>
                <w:rFonts w:hint="eastAsia"/>
                <w:bCs/>
                <w:color w:val="FF0000"/>
                <w:szCs w:val="21"/>
                <w:lang w:val="en-US" w:eastAsia="zh-CN"/>
              </w:rPr>
              <w:t>5</w:t>
            </w:r>
            <w:r>
              <w:rPr>
                <w:rFonts w:hint="eastAsia"/>
                <w:bCs/>
                <w:color w:val="FF0000"/>
                <w:szCs w:val="21"/>
              </w:rPr>
              <w:t>m高的排气筒（DA001）排放</w:t>
            </w:r>
          </w:p>
        </w:tc>
        <w:tc>
          <w:tcPr>
            <w:tcW w:w="1876" w:type="dxa"/>
            <w:vAlign w:val="center"/>
          </w:tcPr>
          <w:p w14:paraId="087E462D">
            <w:pPr>
              <w:adjustRightInd w:val="0"/>
              <w:snapToGrid w:val="0"/>
              <w:jc w:val="center"/>
              <w:rPr>
                <w:szCs w:val="21"/>
              </w:rPr>
            </w:pPr>
            <w:r>
              <w:rPr>
                <w:rFonts w:hint="eastAsia"/>
                <w:szCs w:val="21"/>
              </w:rPr>
              <w:t>《固定源挥发性有机物综合排放标准第5部分：电子工业》（DB34/4812.5-2024）</w:t>
            </w:r>
          </w:p>
        </w:tc>
      </w:tr>
      <w:tr w14:paraId="21F5F9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1408" w:type="dxa"/>
            <w:vMerge w:val="continue"/>
            <w:vAlign w:val="center"/>
          </w:tcPr>
          <w:p w14:paraId="1CC012FA">
            <w:pPr>
              <w:adjustRightInd w:val="0"/>
              <w:snapToGrid w:val="0"/>
            </w:pPr>
          </w:p>
        </w:tc>
        <w:tc>
          <w:tcPr>
            <w:tcW w:w="1689" w:type="dxa"/>
            <w:vMerge w:val="continue"/>
            <w:vAlign w:val="center"/>
          </w:tcPr>
          <w:p w14:paraId="2A8C5FCD">
            <w:pPr>
              <w:adjustRightInd w:val="0"/>
              <w:snapToGrid w:val="0"/>
            </w:pPr>
          </w:p>
        </w:tc>
        <w:tc>
          <w:tcPr>
            <w:tcW w:w="1417" w:type="dxa"/>
            <w:vAlign w:val="center"/>
          </w:tcPr>
          <w:p w14:paraId="76DC6D45">
            <w:pPr>
              <w:adjustRightInd w:val="0"/>
              <w:snapToGrid w:val="0"/>
              <w:jc w:val="center"/>
              <w:rPr>
                <w:kern w:val="0"/>
                <w:szCs w:val="21"/>
              </w:rPr>
            </w:pPr>
            <w:r>
              <w:rPr>
                <w:rFonts w:hint="eastAsia"/>
                <w:kern w:val="0"/>
                <w:szCs w:val="21"/>
                <w:lang w:val="en-US" w:eastAsia="zh-CN"/>
              </w:rPr>
              <w:t>颗粒物</w:t>
            </w:r>
          </w:p>
        </w:tc>
        <w:tc>
          <w:tcPr>
            <w:tcW w:w="2410" w:type="dxa"/>
            <w:vMerge w:val="continue"/>
            <w:vAlign w:val="center"/>
          </w:tcPr>
          <w:p w14:paraId="1BBE5B0C">
            <w:pPr>
              <w:adjustRightInd w:val="0"/>
              <w:snapToGrid w:val="0"/>
              <w:rPr>
                <w:kern w:val="0"/>
                <w:szCs w:val="21"/>
              </w:rPr>
            </w:pPr>
          </w:p>
        </w:tc>
        <w:tc>
          <w:tcPr>
            <w:tcW w:w="1876" w:type="dxa"/>
            <w:vMerge w:val="restart"/>
            <w:vAlign w:val="center"/>
          </w:tcPr>
          <w:p w14:paraId="66B85717">
            <w:pPr>
              <w:adjustRightInd w:val="0"/>
              <w:snapToGrid w:val="0"/>
              <w:jc w:val="center"/>
              <w:rPr>
                <w:kern w:val="0"/>
                <w:szCs w:val="21"/>
              </w:rPr>
            </w:pPr>
            <w:r>
              <w:rPr>
                <w:rFonts w:hint="eastAsia"/>
                <w:color w:val="auto"/>
                <w:szCs w:val="21"/>
              </w:rPr>
              <w:t>《大气污染物综合排放标准》（GB16297-1996）</w:t>
            </w:r>
          </w:p>
        </w:tc>
      </w:tr>
      <w:tr w14:paraId="5F0F60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1408" w:type="dxa"/>
            <w:vMerge w:val="continue"/>
            <w:vAlign w:val="center"/>
          </w:tcPr>
          <w:p w14:paraId="39D73688">
            <w:pPr>
              <w:adjustRightInd w:val="0"/>
              <w:snapToGrid w:val="0"/>
              <w:rPr>
                <w:kern w:val="0"/>
                <w:szCs w:val="21"/>
              </w:rPr>
            </w:pPr>
          </w:p>
        </w:tc>
        <w:tc>
          <w:tcPr>
            <w:tcW w:w="1689" w:type="dxa"/>
            <w:vMerge w:val="continue"/>
            <w:vAlign w:val="center"/>
          </w:tcPr>
          <w:p w14:paraId="7B064BDE">
            <w:pPr>
              <w:adjustRightInd w:val="0"/>
              <w:snapToGrid w:val="0"/>
              <w:rPr>
                <w:kern w:val="0"/>
                <w:szCs w:val="21"/>
              </w:rPr>
            </w:pPr>
          </w:p>
        </w:tc>
        <w:tc>
          <w:tcPr>
            <w:tcW w:w="1417" w:type="dxa"/>
            <w:vAlign w:val="center"/>
          </w:tcPr>
          <w:p w14:paraId="05469C3F">
            <w:pPr>
              <w:adjustRightInd w:val="0"/>
              <w:snapToGrid w:val="0"/>
              <w:jc w:val="center"/>
              <w:rPr>
                <w:rFonts w:hint="default" w:eastAsia="宋体"/>
                <w:kern w:val="0"/>
                <w:szCs w:val="21"/>
                <w:lang w:val="en-US" w:eastAsia="zh-CN"/>
              </w:rPr>
            </w:pPr>
            <w:r>
              <w:rPr>
                <w:rFonts w:hint="eastAsia"/>
                <w:kern w:val="0"/>
                <w:szCs w:val="21"/>
                <w:lang w:val="en-US" w:eastAsia="zh-CN"/>
              </w:rPr>
              <w:t>锡及其化合物</w:t>
            </w:r>
          </w:p>
        </w:tc>
        <w:tc>
          <w:tcPr>
            <w:tcW w:w="2410" w:type="dxa"/>
            <w:vMerge w:val="continue"/>
            <w:vAlign w:val="center"/>
          </w:tcPr>
          <w:p w14:paraId="4A4003B9">
            <w:pPr>
              <w:adjustRightInd w:val="0"/>
              <w:snapToGrid w:val="0"/>
              <w:rPr>
                <w:kern w:val="0"/>
                <w:szCs w:val="21"/>
              </w:rPr>
            </w:pPr>
          </w:p>
        </w:tc>
        <w:tc>
          <w:tcPr>
            <w:tcW w:w="1876" w:type="dxa"/>
            <w:vMerge w:val="continue"/>
            <w:vAlign w:val="center"/>
          </w:tcPr>
          <w:p w14:paraId="0BCFBAF7">
            <w:pPr>
              <w:adjustRightInd w:val="0"/>
              <w:snapToGrid w:val="0"/>
              <w:rPr>
                <w:kern w:val="0"/>
                <w:szCs w:val="21"/>
              </w:rPr>
            </w:pPr>
          </w:p>
        </w:tc>
      </w:tr>
      <w:tr w14:paraId="4E83E5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08" w:type="dxa"/>
            <w:vAlign w:val="center"/>
          </w:tcPr>
          <w:p w14:paraId="6B6C85AC">
            <w:pPr>
              <w:adjustRightInd w:val="0"/>
              <w:snapToGrid w:val="0"/>
              <w:jc w:val="center"/>
              <w:rPr>
                <w:szCs w:val="21"/>
              </w:rPr>
            </w:pPr>
            <w:r>
              <w:rPr>
                <w:szCs w:val="21"/>
              </w:rPr>
              <w:t>地表水环境</w:t>
            </w:r>
          </w:p>
        </w:tc>
        <w:tc>
          <w:tcPr>
            <w:tcW w:w="1689" w:type="dxa"/>
            <w:vAlign w:val="center"/>
          </w:tcPr>
          <w:p w14:paraId="3D5116B7">
            <w:pPr>
              <w:adjustRightInd w:val="0"/>
              <w:snapToGrid w:val="0"/>
              <w:jc w:val="center"/>
              <w:rPr>
                <w:szCs w:val="21"/>
              </w:rPr>
            </w:pPr>
            <w:r>
              <w:rPr>
                <w:rFonts w:hint="eastAsia"/>
                <w:szCs w:val="21"/>
              </w:rPr>
              <w:t>D</w:t>
            </w:r>
            <w:r>
              <w:rPr>
                <w:szCs w:val="21"/>
              </w:rPr>
              <w:t>W001/</w:t>
            </w:r>
            <w:r>
              <w:rPr>
                <w:rFonts w:hint="eastAsia"/>
                <w:szCs w:val="21"/>
              </w:rPr>
              <w:t>厂区污水总排口</w:t>
            </w:r>
          </w:p>
        </w:tc>
        <w:tc>
          <w:tcPr>
            <w:tcW w:w="1417" w:type="dxa"/>
            <w:vAlign w:val="center"/>
          </w:tcPr>
          <w:p w14:paraId="6AE12E70">
            <w:pPr>
              <w:adjustRightInd w:val="0"/>
              <w:snapToGrid w:val="0"/>
              <w:jc w:val="center"/>
              <w:rPr>
                <w:szCs w:val="21"/>
              </w:rPr>
            </w:pPr>
            <w:r>
              <w:rPr>
                <w:rFonts w:hint="eastAsia"/>
                <w:szCs w:val="21"/>
              </w:rPr>
              <w:t>COD、TN、TP、氨氮、BOD</w:t>
            </w:r>
            <w:r>
              <w:rPr>
                <w:rFonts w:hint="eastAsia"/>
                <w:szCs w:val="21"/>
                <w:vertAlign w:val="subscript"/>
              </w:rPr>
              <w:t>5</w:t>
            </w:r>
            <w:r>
              <w:rPr>
                <w:rFonts w:hint="eastAsia"/>
                <w:szCs w:val="21"/>
              </w:rPr>
              <w:t>、SS</w:t>
            </w:r>
          </w:p>
        </w:tc>
        <w:tc>
          <w:tcPr>
            <w:tcW w:w="2410" w:type="dxa"/>
            <w:vAlign w:val="center"/>
          </w:tcPr>
          <w:p w14:paraId="5BBF7539">
            <w:pPr>
              <w:adjustRightInd w:val="0"/>
              <w:snapToGrid w:val="0"/>
              <w:jc w:val="center"/>
              <w:rPr>
                <w:szCs w:val="21"/>
              </w:rPr>
            </w:pPr>
            <w:r>
              <w:rPr>
                <w:rFonts w:hint="eastAsia"/>
                <w:szCs w:val="21"/>
              </w:rPr>
              <w:t>化粪池预处理后由污水总排口接管市政污水管网进入皖江江南新兴产业集中区第一污水处理厂</w:t>
            </w:r>
          </w:p>
        </w:tc>
        <w:tc>
          <w:tcPr>
            <w:tcW w:w="1876" w:type="dxa"/>
            <w:vAlign w:val="center"/>
          </w:tcPr>
          <w:p w14:paraId="5B00F355">
            <w:pPr>
              <w:adjustRightInd w:val="0"/>
              <w:snapToGrid w:val="0"/>
              <w:jc w:val="center"/>
              <w:rPr>
                <w:szCs w:val="21"/>
              </w:rPr>
            </w:pPr>
            <w:r>
              <w:rPr>
                <w:rFonts w:hint="eastAsia"/>
                <w:szCs w:val="21"/>
              </w:rPr>
              <w:t>皖江江南新兴产业集中区第一污水处理厂接管标准及《污水综合排放标准》（GB8978-1996）表4中三级排放标准</w:t>
            </w:r>
          </w:p>
        </w:tc>
      </w:tr>
      <w:tr w14:paraId="18C9E9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08" w:type="dxa"/>
            <w:vAlign w:val="center"/>
          </w:tcPr>
          <w:p w14:paraId="4618D39B">
            <w:pPr>
              <w:adjustRightInd w:val="0"/>
              <w:snapToGrid w:val="0"/>
              <w:jc w:val="center"/>
              <w:rPr>
                <w:szCs w:val="21"/>
              </w:rPr>
            </w:pPr>
            <w:r>
              <w:rPr>
                <w:szCs w:val="21"/>
              </w:rPr>
              <w:t>声环境</w:t>
            </w:r>
          </w:p>
        </w:tc>
        <w:tc>
          <w:tcPr>
            <w:tcW w:w="1689" w:type="dxa"/>
            <w:vAlign w:val="center"/>
          </w:tcPr>
          <w:p w14:paraId="417ACE41">
            <w:pPr>
              <w:adjustRightInd w:val="0"/>
              <w:snapToGrid w:val="0"/>
              <w:jc w:val="center"/>
              <w:rPr>
                <w:szCs w:val="21"/>
              </w:rPr>
            </w:pPr>
            <w:r>
              <w:rPr>
                <w:rFonts w:hint="eastAsia"/>
                <w:szCs w:val="21"/>
              </w:rPr>
              <w:t>设备运行噪声</w:t>
            </w:r>
          </w:p>
        </w:tc>
        <w:tc>
          <w:tcPr>
            <w:tcW w:w="1417" w:type="dxa"/>
            <w:vAlign w:val="center"/>
          </w:tcPr>
          <w:p w14:paraId="1F477180">
            <w:pPr>
              <w:adjustRightInd w:val="0"/>
              <w:snapToGrid w:val="0"/>
              <w:jc w:val="center"/>
              <w:rPr>
                <w:szCs w:val="21"/>
              </w:rPr>
            </w:pPr>
            <w:r>
              <w:rPr>
                <w:rFonts w:hint="eastAsia"/>
                <w:szCs w:val="21"/>
              </w:rPr>
              <w:t>噪声</w:t>
            </w:r>
          </w:p>
        </w:tc>
        <w:tc>
          <w:tcPr>
            <w:tcW w:w="2410" w:type="dxa"/>
            <w:vAlign w:val="center"/>
          </w:tcPr>
          <w:p w14:paraId="12DA05D5">
            <w:pPr>
              <w:adjustRightInd w:val="0"/>
              <w:snapToGrid w:val="0"/>
              <w:jc w:val="center"/>
              <w:rPr>
                <w:szCs w:val="21"/>
              </w:rPr>
            </w:pPr>
            <w:r>
              <w:rPr>
                <w:rFonts w:hint="eastAsia"/>
                <w:szCs w:val="21"/>
              </w:rPr>
              <w:t>选用低噪声设备，设减振垫及减振基础，加装消声措施等，室外风机建设隔声房</w:t>
            </w:r>
          </w:p>
        </w:tc>
        <w:tc>
          <w:tcPr>
            <w:tcW w:w="1876" w:type="dxa"/>
            <w:vAlign w:val="center"/>
          </w:tcPr>
          <w:p w14:paraId="511E770C">
            <w:pPr>
              <w:adjustRightInd w:val="0"/>
              <w:snapToGrid w:val="0"/>
              <w:jc w:val="center"/>
              <w:rPr>
                <w:szCs w:val="21"/>
              </w:rPr>
            </w:pPr>
            <w:r>
              <w:rPr>
                <w:rFonts w:hint="eastAsia"/>
                <w:szCs w:val="21"/>
              </w:rPr>
              <w:t>《工业企业厂界环境噪声排放标准》（GB12348-2008）中的3类标准</w:t>
            </w:r>
          </w:p>
        </w:tc>
      </w:tr>
      <w:tr w14:paraId="2662E6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408" w:type="dxa"/>
            <w:vAlign w:val="center"/>
          </w:tcPr>
          <w:p w14:paraId="2D325F0C">
            <w:pPr>
              <w:adjustRightInd w:val="0"/>
              <w:snapToGrid w:val="0"/>
              <w:jc w:val="center"/>
              <w:rPr>
                <w:szCs w:val="21"/>
              </w:rPr>
            </w:pPr>
            <w:r>
              <w:rPr>
                <w:szCs w:val="21"/>
              </w:rPr>
              <w:t>电磁辐射</w:t>
            </w:r>
          </w:p>
        </w:tc>
        <w:tc>
          <w:tcPr>
            <w:tcW w:w="1689" w:type="dxa"/>
            <w:vAlign w:val="center"/>
          </w:tcPr>
          <w:p w14:paraId="007511FA">
            <w:pPr>
              <w:adjustRightInd w:val="0"/>
              <w:snapToGrid w:val="0"/>
              <w:jc w:val="center"/>
              <w:rPr>
                <w:szCs w:val="21"/>
              </w:rPr>
            </w:pPr>
            <w:r>
              <w:rPr>
                <w:rFonts w:hint="eastAsia"/>
                <w:szCs w:val="21"/>
              </w:rPr>
              <w:t>/</w:t>
            </w:r>
          </w:p>
        </w:tc>
        <w:tc>
          <w:tcPr>
            <w:tcW w:w="1417" w:type="dxa"/>
            <w:vAlign w:val="center"/>
          </w:tcPr>
          <w:p w14:paraId="263F434B">
            <w:pPr>
              <w:adjustRightInd w:val="0"/>
              <w:snapToGrid w:val="0"/>
              <w:jc w:val="center"/>
              <w:rPr>
                <w:szCs w:val="21"/>
              </w:rPr>
            </w:pPr>
            <w:r>
              <w:rPr>
                <w:rFonts w:hint="eastAsia"/>
                <w:szCs w:val="21"/>
              </w:rPr>
              <w:t>/</w:t>
            </w:r>
          </w:p>
        </w:tc>
        <w:tc>
          <w:tcPr>
            <w:tcW w:w="2410" w:type="dxa"/>
            <w:vAlign w:val="center"/>
          </w:tcPr>
          <w:p w14:paraId="640552CF">
            <w:pPr>
              <w:adjustRightInd w:val="0"/>
              <w:snapToGrid w:val="0"/>
              <w:jc w:val="center"/>
              <w:rPr>
                <w:szCs w:val="21"/>
              </w:rPr>
            </w:pPr>
            <w:r>
              <w:rPr>
                <w:rFonts w:hint="eastAsia"/>
                <w:szCs w:val="21"/>
              </w:rPr>
              <w:t>/</w:t>
            </w:r>
          </w:p>
        </w:tc>
        <w:tc>
          <w:tcPr>
            <w:tcW w:w="1876" w:type="dxa"/>
            <w:vAlign w:val="center"/>
          </w:tcPr>
          <w:p w14:paraId="3B46CE3E">
            <w:pPr>
              <w:adjustRightInd w:val="0"/>
              <w:snapToGrid w:val="0"/>
              <w:jc w:val="center"/>
              <w:rPr>
                <w:szCs w:val="21"/>
              </w:rPr>
            </w:pPr>
            <w:r>
              <w:rPr>
                <w:rFonts w:hint="eastAsia"/>
                <w:szCs w:val="21"/>
              </w:rPr>
              <w:t>/</w:t>
            </w:r>
          </w:p>
        </w:tc>
      </w:tr>
      <w:tr w14:paraId="2CD2F0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1408" w:type="dxa"/>
            <w:vAlign w:val="center"/>
          </w:tcPr>
          <w:p w14:paraId="4523A506">
            <w:pPr>
              <w:adjustRightInd w:val="0"/>
              <w:snapToGrid w:val="0"/>
              <w:jc w:val="center"/>
              <w:rPr>
                <w:szCs w:val="21"/>
              </w:rPr>
            </w:pPr>
            <w:r>
              <w:rPr>
                <w:szCs w:val="21"/>
              </w:rPr>
              <w:t>固体废物</w:t>
            </w:r>
          </w:p>
        </w:tc>
        <w:tc>
          <w:tcPr>
            <w:tcW w:w="7392" w:type="dxa"/>
            <w:gridSpan w:val="4"/>
            <w:vAlign w:val="center"/>
          </w:tcPr>
          <w:p w14:paraId="3AFC1C8C">
            <w:pPr>
              <w:adjustRightInd w:val="0"/>
              <w:snapToGrid w:val="0"/>
              <w:rPr>
                <w:rFonts w:hint="eastAsia"/>
                <w:szCs w:val="21"/>
              </w:rPr>
            </w:pPr>
            <w:r>
              <w:rPr>
                <w:rFonts w:hint="eastAsia"/>
                <w:szCs w:val="21"/>
              </w:rPr>
              <w:t>在厂区设置一般固废暂存区和危险废物暂存间：</w:t>
            </w:r>
          </w:p>
          <w:p w14:paraId="3E1958DF">
            <w:pPr>
              <w:adjustRightInd w:val="0"/>
              <w:snapToGrid w:val="0"/>
              <w:rPr>
                <w:rFonts w:hint="eastAsia"/>
                <w:szCs w:val="21"/>
              </w:rPr>
            </w:pPr>
            <w:r>
              <w:rPr>
                <w:rFonts w:hint="eastAsia"/>
                <w:szCs w:val="21"/>
              </w:rPr>
              <w:t>①废</w:t>
            </w:r>
            <w:r>
              <w:rPr>
                <w:rFonts w:hint="eastAsia"/>
                <w:szCs w:val="21"/>
                <w:lang w:val="en-US" w:eastAsia="zh-CN"/>
              </w:rPr>
              <w:t>纸箱塑料</w:t>
            </w:r>
            <w:r>
              <w:rPr>
                <w:rFonts w:hint="eastAsia"/>
                <w:szCs w:val="21"/>
              </w:rPr>
              <w:t>、焊渣等外售综合利用；</w:t>
            </w:r>
          </w:p>
          <w:p w14:paraId="3317D5EA">
            <w:pPr>
              <w:adjustRightInd w:val="0"/>
              <w:snapToGrid w:val="0"/>
              <w:rPr>
                <w:rFonts w:hint="eastAsia"/>
                <w:szCs w:val="21"/>
              </w:rPr>
            </w:pPr>
            <w:r>
              <w:rPr>
                <w:rFonts w:hint="eastAsia"/>
                <w:szCs w:val="21"/>
              </w:rPr>
              <w:t>②</w:t>
            </w:r>
            <w:r>
              <w:rPr>
                <w:rFonts w:hint="eastAsia"/>
                <w:color w:val="FF0000"/>
              </w:rPr>
              <w:t>废锡膏罐、废酒精桶、废硅胶桶</w:t>
            </w:r>
            <w:r>
              <w:rPr>
                <w:rFonts w:hint="eastAsia"/>
                <w:szCs w:val="21"/>
              </w:rPr>
              <w:t>、废活性炭、废过滤棉、废擦拭</w:t>
            </w:r>
            <w:r>
              <w:rPr>
                <w:rFonts w:hint="eastAsia"/>
                <w:szCs w:val="21"/>
                <w:lang w:val="en-US" w:eastAsia="zh-CN"/>
              </w:rPr>
              <w:t>材料、</w:t>
            </w:r>
            <w:r>
              <w:rPr>
                <w:rFonts w:hint="eastAsia"/>
                <w:szCs w:val="21"/>
              </w:rPr>
              <w:t>废机油及废油桶暂存</w:t>
            </w:r>
            <w:r>
              <w:rPr>
                <w:rFonts w:hint="eastAsia"/>
                <w:szCs w:val="21"/>
                <w:lang w:val="en-US" w:eastAsia="zh-CN"/>
              </w:rPr>
              <w:t>等</w:t>
            </w:r>
            <w:r>
              <w:rPr>
                <w:rFonts w:hint="eastAsia"/>
                <w:szCs w:val="21"/>
              </w:rPr>
              <w:t>在危废暂存间，委托有资质的单位处置；</w:t>
            </w:r>
          </w:p>
          <w:p w14:paraId="037EA6D5">
            <w:pPr>
              <w:adjustRightInd w:val="0"/>
              <w:snapToGrid w:val="0"/>
              <w:rPr>
                <w:szCs w:val="21"/>
              </w:rPr>
            </w:pPr>
            <w:r>
              <w:rPr>
                <w:rFonts w:hint="eastAsia"/>
                <w:szCs w:val="21"/>
              </w:rPr>
              <w:t>③生活垃圾委托环卫部门清运处置。</w:t>
            </w:r>
          </w:p>
        </w:tc>
      </w:tr>
      <w:tr w14:paraId="43B7F75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1408" w:type="dxa"/>
            <w:vAlign w:val="center"/>
          </w:tcPr>
          <w:p w14:paraId="4486FD1F">
            <w:pPr>
              <w:adjustRightInd w:val="0"/>
              <w:snapToGrid w:val="0"/>
              <w:jc w:val="center"/>
              <w:rPr>
                <w:szCs w:val="21"/>
              </w:rPr>
            </w:pPr>
            <w:r>
              <w:rPr>
                <w:szCs w:val="21"/>
              </w:rPr>
              <w:t>土壤及地下水污染防治措施</w:t>
            </w:r>
          </w:p>
        </w:tc>
        <w:tc>
          <w:tcPr>
            <w:tcW w:w="7392" w:type="dxa"/>
            <w:gridSpan w:val="4"/>
            <w:vAlign w:val="center"/>
          </w:tcPr>
          <w:p w14:paraId="09A96C9A">
            <w:pPr>
              <w:adjustRightInd w:val="0"/>
              <w:snapToGrid w:val="0"/>
              <w:rPr>
                <w:szCs w:val="21"/>
              </w:rPr>
            </w:pPr>
            <w:r>
              <w:rPr>
                <w:rFonts w:hint="eastAsia"/>
                <w:szCs w:val="21"/>
              </w:rPr>
              <w:t>源头防控、分区防渗；重点防渗区包括：</w:t>
            </w:r>
            <w:r>
              <w:rPr>
                <w:rFonts w:hint="eastAsia"/>
              </w:rPr>
              <w:t>危险废物暂存间</w:t>
            </w:r>
            <w:r>
              <w:rPr>
                <w:rFonts w:hint="eastAsia"/>
                <w:szCs w:val="21"/>
              </w:rPr>
              <w:t>；一般防渗区包括：</w:t>
            </w:r>
            <w:r>
              <w:rPr>
                <w:rFonts w:hint="eastAsia"/>
                <w:szCs w:val="21"/>
                <w:lang w:val="en-US" w:eastAsia="zh-CN"/>
              </w:rPr>
              <w:t>生产车间</w:t>
            </w:r>
            <w:r>
              <w:rPr>
                <w:rFonts w:hint="eastAsia"/>
                <w:szCs w:val="21"/>
              </w:rPr>
              <w:t>、</w:t>
            </w:r>
            <w:r>
              <w:rPr>
                <w:rFonts w:hint="eastAsia"/>
                <w:szCs w:val="21"/>
                <w:lang w:val="en-US" w:eastAsia="zh-CN"/>
              </w:rPr>
              <w:t>原料仓库、</w:t>
            </w:r>
            <w:r>
              <w:rPr>
                <w:rFonts w:hint="eastAsia"/>
                <w:szCs w:val="21"/>
              </w:rPr>
              <w:t>一般固废暂存间；其他区域为简单防渗区。</w:t>
            </w:r>
          </w:p>
        </w:tc>
      </w:tr>
      <w:tr w14:paraId="3A773C1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1408" w:type="dxa"/>
            <w:vAlign w:val="center"/>
          </w:tcPr>
          <w:p w14:paraId="03994CBB">
            <w:pPr>
              <w:adjustRightInd w:val="0"/>
              <w:snapToGrid w:val="0"/>
              <w:jc w:val="center"/>
              <w:rPr>
                <w:szCs w:val="21"/>
              </w:rPr>
            </w:pPr>
            <w:r>
              <w:rPr>
                <w:szCs w:val="21"/>
              </w:rPr>
              <w:t>生态保护措施</w:t>
            </w:r>
          </w:p>
        </w:tc>
        <w:tc>
          <w:tcPr>
            <w:tcW w:w="7392" w:type="dxa"/>
            <w:gridSpan w:val="4"/>
            <w:vAlign w:val="center"/>
          </w:tcPr>
          <w:p w14:paraId="2B216047">
            <w:pPr>
              <w:adjustRightInd w:val="0"/>
              <w:snapToGrid w:val="0"/>
              <w:jc w:val="center"/>
              <w:rPr>
                <w:szCs w:val="21"/>
              </w:rPr>
            </w:pPr>
            <w:r>
              <w:rPr>
                <w:rFonts w:hint="eastAsia"/>
                <w:szCs w:val="21"/>
              </w:rPr>
              <w:t>无</w:t>
            </w:r>
          </w:p>
        </w:tc>
      </w:tr>
      <w:tr w14:paraId="7E3B08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1408" w:type="dxa"/>
            <w:tcBorders>
              <w:bottom w:val="single" w:color="auto" w:sz="4" w:space="0"/>
            </w:tcBorders>
            <w:vAlign w:val="center"/>
          </w:tcPr>
          <w:p w14:paraId="0B481B77">
            <w:pPr>
              <w:adjustRightInd w:val="0"/>
              <w:snapToGrid w:val="0"/>
              <w:jc w:val="center"/>
              <w:rPr>
                <w:spacing w:val="-8"/>
                <w:szCs w:val="21"/>
              </w:rPr>
            </w:pPr>
            <w:r>
              <w:rPr>
                <w:spacing w:val="-8"/>
                <w:szCs w:val="21"/>
              </w:rPr>
              <w:t>环境风险</w:t>
            </w:r>
          </w:p>
          <w:p w14:paraId="68525C0D">
            <w:pPr>
              <w:adjustRightInd w:val="0"/>
              <w:snapToGrid w:val="0"/>
              <w:jc w:val="center"/>
              <w:rPr>
                <w:spacing w:val="-8"/>
                <w:szCs w:val="21"/>
              </w:rPr>
            </w:pPr>
            <w:r>
              <w:rPr>
                <w:spacing w:val="-8"/>
                <w:szCs w:val="21"/>
              </w:rPr>
              <w:t>防范措施</w:t>
            </w:r>
          </w:p>
        </w:tc>
        <w:tc>
          <w:tcPr>
            <w:tcW w:w="7392" w:type="dxa"/>
            <w:gridSpan w:val="4"/>
            <w:tcBorders>
              <w:bottom w:val="single" w:color="auto" w:sz="4" w:space="0"/>
            </w:tcBorders>
            <w:vAlign w:val="center"/>
          </w:tcPr>
          <w:p w14:paraId="3AA244ED">
            <w:pPr>
              <w:adjustRightInd w:val="0"/>
              <w:snapToGrid w:val="0"/>
              <w:jc w:val="center"/>
              <w:rPr>
                <w:szCs w:val="21"/>
              </w:rPr>
            </w:pPr>
            <w:r>
              <w:rPr>
                <w:rFonts w:hint="eastAsia"/>
                <w:szCs w:val="21"/>
              </w:rPr>
              <w:t>无</w:t>
            </w:r>
          </w:p>
        </w:tc>
      </w:tr>
      <w:tr w14:paraId="4F6A05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1408" w:type="dxa"/>
            <w:tcBorders>
              <w:top w:val="single" w:color="auto" w:sz="4" w:space="0"/>
              <w:left w:val="single" w:color="auto" w:sz="4" w:space="0"/>
              <w:bottom w:val="single" w:color="auto" w:sz="4" w:space="0"/>
              <w:right w:val="single" w:color="auto" w:sz="4" w:space="0"/>
            </w:tcBorders>
            <w:vAlign w:val="center"/>
          </w:tcPr>
          <w:p w14:paraId="39C785E5">
            <w:pPr>
              <w:adjustRightInd w:val="0"/>
              <w:snapToGrid w:val="0"/>
              <w:jc w:val="center"/>
              <w:rPr>
                <w:spacing w:val="-8"/>
                <w:szCs w:val="21"/>
              </w:rPr>
            </w:pPr>
            <w:r>
              <w:rPr>
                <w:spacing w:val="-8"/>
                <w:szCs w:val="21"/>
              </w:rPr>
              <w:t>其他环境</w:t>
            </w:r>
          </w:p>
          <w:p w14:paraId="36688805">
            <w:pPr>
              <w:adjustRightInd w:val="0"/>
              <w:snapToGrid w:val="0"/>
              <w:jc w:val="center"/>
              <w:rPr>
                <w:spacing w:val="-8"/>
                <w:szCs w:val="21"/>
              </w:rPr>
            </w:pPr>
            <w:r>
              <w:rPr>
                <w:spacing w:val="-8"/>
                <w:szCs w:val="21"/>
              </w:rPr>
              <w:t>管理要求</w:t>
            </w:r>
          </w:p>
        </w:tc>
        <w:tc>
          <w:tcPr>
            <w:tcW w:w="7392" w:type="dxa"/>
            <w:gridSpan w:val="4"/>
            <w:tcBorders>
              <w:top w:val="single" w:color="auto" w:sz="4" w:space="0"/>
              <w:left w:val="single" w:color="auto" w:sz="4" w:space="0"/>
              <w:bottom w:val="single" w:color="auto" w:sz="4" w:space="0"/>
              <w:right w:val="single" w:color="auto" w:sz="4" w:space="0"/>
            </w:tcBorders>
            <w:vAlign w:val="center"/>
          </w:tcPr>
          <w:p w14:paraId="03AD3844">
            <w:pPr>
              <w:adjustRightInd w:val="0"/>
              <w:snapToGrid w:val="0"/>
              <w:rPr>
                <w:szCs w:val="21"/>
              </w:rPr>
            </w:pPr>
            <w:r>
              <w:rPr>
                <w:rFonts w:hint="eastAsia"/>
                <w:szCs w:val="21"/>
              </w:rPr>
              <w:t>建设单位设立环境管理机构，负责项目运营期的环境管理工作，其主要的职责与功能如下：</w:t>
            </w:r>
          </w:p>
          <w:p w14:paraId="275429F9">
            <w:pPr>
              <w:adjustRightInd w:val="0"/>
              <w:snapToGrid w:val="0"/>
              <w:rPr>
                <w:szCs w:val="21"/>
              </w:rPr>
            </w:pPr>
            <w:r>
              <w:rPr>
                <w:rFonts w:hint="eastAsia"/>
                <w:szCs w:val="21"/>
              </w:rPr>
              <w:t>①在项目建成投入试运营之前，按《排污许可证申请与核发技术规范 电子工业（HJ1031—2019）》等申请排污许可证，在申领到了排污许可证之后才开展试运行；并落实排污许可证中载明的相关要求。</w:t>
            </w:r>
          </w:p>
          <w:p w14:paraId="62DB01CF">
            <w:pPr>
              <w:adjustRightInd w:val="0"/>
              <w:snapToGrid w:val="0"/>
              <w:rPr>
                <w:szCs w:val="21"/>
              </w:rPr>
            </w:pPr>
            <w:r>
              <w:rPr>
                <w:rFonts w:hint="eastAsia"/>
                <w:szCs w:val="21"/>
              </w:rPr>
              <w:t>②在运营期，项目环境管理部门负责检查厂房内有机废气吸附净化设备的运行情况，确保其有效运行。如有故障应及时维修或更换；定期检查项目的集气罩和风管、污水收集管网的完好情况，确保废气、废水的有效收集和排放。</w:t>
            </w:r>
          </w:p>
          <w:p w14:paraId="06E13F90">
            <w:pPr>
              <w:adjustRightInd w:val="0"/>
              <w:snapToGrid w:val="0"/>
              <w:rPr>
                <w:szCs w:val="21"/>
              </w:rPr>
            </w:pPr>
            <w:r>
              <w:rPr>
                <w:rFonts w:hint="eastAsia"/>
                <w:szCs w:val="21"/>
              </w:rPr>
              <w:t>③加强清洁生产管理，车间地面均实行硬化，加强项目原辅生产材料、固废和危废的管理工作，特别是危废暂存间的防渗处理，防止雨季淋溶水污染附近地表和地下水体。</w:t>
            </w:r>
          </w:p>
          <w:p w14:paraId="3579371B">
            <w:pPr>
              <w:adjustRightInd w:val="0"/>
              <w:snapToGrid w:val="0"/>
              <w:rPr>
                <w:szCs w:val="21"/>
              </w:rPr>
            </w:pPr>
            <w:r>
              <w:rPr>
                <w:rFonts w:hint="eastAsia"/>
                <w:szCs w:val="21"/>
              </w:rPr>
              <w:t>④结合所申领的排污许可证中载明的自行监测方案，委托具有资质的监测单位对本项目运营期的环境污染物排放达标情况进行自行监测。</w:t>
            </w:r>
          </w:p>
          <w:p w14:paraId="7516B196">
            <w:pPr>
              <w:adjustRightInd w:val="0"/>
              <w:snapToGrid w:val="0"/>
              <w:rPr>
                <w:szCs w:val="21"/>
              </w:rPr>
            </w:pPr>
          </w:p>
          <w:p w14:paraId="2F774438">
            <w:pPr>
              <w:adjustRightInd w:val="0"/>
              <w:snapToGrid w:val="0"/>
              <w:rPr>
                <w:szCs w:val="21"/>
              </w:rPr>
            </w:pPr>
          </w:p>
          <w:p w14:paraId="229937A2">
            <w:pPr>
              <w:adjustRightInd w:val="0"/>
              <w:snapToGrid w:val="0"/>
              <w:rPr>
                <w:szCs w:val="21"/>
              </w:rPr>
            </w:pPr>
          </w:p>
          <w:p w14:paraId="48F541DF">
            <w:pPr>
              <w:adjustRightInd w:val="0"/>
              <w:snapToGrid w:val="0"/>
              <w:rPr>
                <w:szCs w:val="21"/>
              </w:rPr>
            </w:pPr>
          </w:p>
          <w:p w14:paraId="338FA3A0">
            <w:pPr>
              <w:adjustRightInd w:val="0"/>
              <w:snapToGrid w:val="0"/>
              <w:rPr>
                <w:szCs w:val="21"/>
              </w:rPr>
            </w:pPr>
          </w:p>
          <w:p w14:paraId="1033D7BD">
            <w:pPr>
              <w:adjustRightInd w:val="0"/>
              <w:snapToGrid w:val="0"/>
              <w:rPr>
                <w:szCs w:val="21"/>
              </w:rPr>
            </w:pPr>
          </w:p>
          <w:p w14:paraId="766617BB">
            <w:pPr>
              <w:adjustRightInd w:val="0"/>
              <w:snapToGrid w:val="0"/>
              <w:rPr>
                <w:szCs w:val="21"/>
              </w:rPr>
            </w:pPr>
          </w:p>
          <w:p w14:paraId="0B992924">
            <w:pPr>
              <w:adjustRightInd w:val="0"/>
              <w:snapToGrid w:val="0"/>
              <w:rPr>
                <w:szCs w:val="21"/>
              </w:rPr>
            </w:pPr>
          </w:p>
          <w:p w14:paraId="66B3D7C8">
            <w:pPr>
              <w:adjustRightInd w:val="0"/>
              <w:snapToGrid w:val="0"/>
              <w:rPr>
                <w:szCs w:val="21"/>
              </w:rPr>
            </w:pPr>
          </w:p>
          <w:p w14:paraId="286F7FCD">
            <w:pPr>
              <w:adjustRightInd w:val="0"/>
              <w:snapToGrid w:val="0"/>
              <w:rPr>
                <w:szCs w:val="21"/>
              </w:rPr>
            </w:pPr>
          </w:p>
          <w:p w14:paraId="3E4924E3">
            <w:pPr>
              <w:adjustRightInd w:val="0"/>
              <w:snapToGrid w:val="0"/>
              <w:rPr>
                <w:szCs w:val="21"/>
              </w:rPr>
            </w:pPr>
          </w:p>
          <w:p w14:paraId="33E082D4">
            <w:pPr>
              <w:adjustRightInd w:val="0"/>
              <w:snapToGrid w:val="0"/>
              <w:rPr>
                <w:szCs w:val="21"/>
              </w:rPr>
            </w:pPr>
          </w:p>
          <w:p w14:paraId="0F6B2586">
            <w:pPr>
              <w:adjustRightInd w:val="0"/>
              <w:snapToGrid w:val="0"/>
              <w:rPr>
                <w:szCs w:val="21"/>
              </w:rPr>
            </w:pPr>
          </w:p>
          <w:p w14:paraId="709EF005">
            <w:pPr>
              <w:adjustRightInd w:val="0"/>
              <w:snapToGrid w:val="0"/>
              <w:rPr>
                <w:szCs w:val="21"/>
              </w:rPr>
            </w:pPr>
          </w:p>
          <w:p w14:paraId="49B56D89">
            <w:pPr>
              <w:adjustRightInd w:val="0"/>
              <w:snapToGrid w:val="0"/>
              <w:rPr>
                <w:szCs w:val="21"/>
              </w:rPr>
            </w:pPr>
          </w:p>
          <w:p w14:paraId="0CD2B8A7">
            <w:pPr>
              <w:adjustRightInd w:val="0"/>
              <w:snapToGrid w:val="0"/>
              <w:rPr>
                <w:szCs w:val="21"/>
              </w:rPr>
            </w:pPr>
          </w:p>
          <w:p w14:paraId="7BD5D0CF">
            <w:pPr>
              <w:adjustRightInd w:val="0"/>
              <w:snapToGrid w:val="0"/>
              <w:rPr>
                <w:szCs w:val="21"/>
              </w:rPr>
            </w:pPr>
          </w:p>
          <w:p w14:paraId="488A7F44">
            <w:pPr>
              <w:adjustRightInd w:val="0"/>
              <w:snapToGrid w:val="0"/>
              <w:rPr>
                <w:szCs w:val="21"/>
              </w:rPr>
            </w:pPr>
          </w:p>
          <w:p w14:paraId="52CDA70E">
            <w:pPr>
              <w:adjustRightInd w:val="0"/>
              <w:snapToGrid w:val="0"/>
              <w:rPr>
                <w:szCs w:val="21"/>
              </w:rPr>
            </w:pPr>
          </w:p>
          <w:p w14:paraId="1B699AF3">
            <w:pPr>
              <w:adjustRightInd w:val="0"/>
              <w:snapToGrid w:val="0"/>
              <w:rPr>
                <w:szCs w:val="21"/>
              </w:rPr>
            </w:pPr>
          </w:p>
          <w:p w14:paraId="6336FBE2">
            <w:pPr>
              <w:adjustRightInd w:val="0"/>
              <w:snapToGrid w:val="0"/>
              <w:rPr>
                <w:szCs w:val="21"/>
              </w:rPr>
            </w:pPr>
            <w:r>
              <w:rPr>
                <w:rFonts w:hint="eastAsia"/>
                <w:szCs w:val="21"/>
              </w:rPr>
              <w:t xml:space="preserve"> </w:t>
            </w:r>
          </w:p>
        </w:tc>
      </w:tr>
    </w:tbl>
    <w:p w14:paraId="31680833">
      <w:pPr>
        <w:pStyle w:val="20"/>
        <w:jc w:val="center"/>
        <w:outlineLvl w:val="0"/>
        <w:rPr>
          <w:rFonts w:hint="eastAsia" w:ascii="黑体" w:hAnsi="黑体" w:eastAsia="黑体"/>
          <w:snapToGrid w:val="0"/>
          <w:sz w:val="30"/>
          <w:szCs w:val="30"/>
        </w:rPr>
      </w:pPr>
      <w:r>
        <w:rPr>
          <w:snapToGrid w:val="0"/>
        </w:rPr>
        <w:br w:type="page"/>
      </w:r>
      <w:r>
        <w:rPr>
          <w:rFonts w:hint="eastAsia" w:ascii="黑体" w:hAnsi="黑体" w:eastAsia="黑体"/>
          <w:snapToGrid w:val="0"/>
          <w:sz w:val="30"/>
          <w:szCs w:val="30"/>
        </w:rPr>
        <w:t>六、结论</w:t>
      </w:r>
    </w:p>
    <w:tbl>
      <w:tblPr>
        <w:tblStyle w:val="23"/>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865"/>
      </w:tblGrid>
      <w:tr w14:paraId="0C8679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991" w:hRule="atLeast"/>
          <w:jc w:val="center"/>
        </w:trPr>
        <w:tc>
          <w:tcPr>
            <w:tcW w:w="8865" w:type="dxa"/>
          </w:tcPr>
          <w:p w14:paraId="6A41731B">
            <w:pPr>
              <w:pStyle w:val="51"/>
              <w:ind w:firstLine="480"/>
            </w:pPr>
            <w:r>
              <w:rPr>
                <w:rFonts w:hint="eastAsia"/>
              </w:rPr>
              <w:t>综上所述，安徽芯锐半导体科技有限公司年产700万件LED显示模组产品、COB灯带产品项目符合国家产业政策，项目选址符合当地规划要求。项目所在区大气、地表水以及噪声环境质量现状良好；在污染防治措施实施后，本项目废水、废气和噪声可稳定达标排放，固废可得到妥善处置，本建项目排放的各种污染物对环境的影响程度和范围均较小。因此，从环境影响角度分析，本项目的建设是可行的。</w:t>
            </w:r>
          </w:p>
          <w:p w14:paraId="7F0F6444">
            <w:pPr>
              <w:pStyle w:val="51"/>
              <w:ind w:firstLine="480"/>
            </w:pPr>
          </w:p>
        </w:tc>
      </w:tr>
    </w:tbl>
    <w:p w14:paraId="1DEDBDE4">
      <w:pPr>
        <w:rPr>
          <w:rFonts w:ascii="宋体"/>
        </w:rPr>
        <w:sectPr>
          <w:pgSz w:w="11906" w:h="16838"/>
          <w:pgMar w:top="1701" w:right="1531" w:bottom="1701" w:left="1531" w:header="851" w:footer="851" w:gutter="0"/>
          <w:pgBorders>
            <w:top w:val="none" w:sz="0" w:space="0"/>
            <w:left w:val="none" w:sz="0" w:space="0"/>
            <w:bottom w:val="none" w:sz="0" w:space="0"/>
            <w:right w:val="none" w:sz="0" w:space="0"/>
          </w:pgBorders>
          <w:cols w:space="720" w:num="1"/>
          <w:docGrid w:linePitch="312" w:charSpace="0"/>
        </w:sectPr>
      </w:pPr>
    </w:p>
    <w:p w14:paraId="449AA580">
      <w:pPr>
        <w:pStyle w:val="20"/>
        <w:adjustRightInd w:val="0"/>
        <w:snapToGrid w:val="0"/>
        <w:spacing w:before="0" w:beforeAutospacing="0" w:after="0" w:afterAutospacing="0" w:line="360" w:lineRule="auto"/>
        <w:outlineLvl w:val="0"/>
        <w:rPr>
          <w:rFonts w:hint="eastAsia" w:ascii="黑体" w:hAnsi="黑体" w:eastAsia="黑体"/>
          <w:snapToGrid w:val="0"/>
          <w:sz w:val="32"/>
          <w:szCs w:val="32"/>
        </w:rPr>
      </w:pPr>
      <w:r>
        <w:rPr>
          <w:rFonts w:hint="eastAsia" w:ascii="黑体" w:hAnsi="黑体" w:eastAsia="黑体"/>
          <w:snapToGrid w:val="0"/>
          <w:sz w:val="32"/>
          <w:szCs w:val="32"/>
        </w:rPr>
        <w:t>附表</w:t>
      </w:r>
    </w:p>
    <w:p w14:paraId="7BCBF8E3">
      <w:pPr>
        <w:pStyle w:val="20"/>
        <w:adjustRightInd w:val="0"/>
        <w:snapToGrid w:val="0"/>
        <w:spacing w:before="0" w:beforeAutospacing="0" w:after="0" w:afterAutospacing="0"/>
        <w:jc w:val="center"/>
        <w:outlineLvl w:val="0"/>
        <w:rPr>
          <w:rFonts w:ascii="方正小标宋_GBK" w:hAnsi="黑体" w:eastAsia="方正小标宋_GBK"/>
          <w:snapToGrid w:val="0"/>
          <w:sz w:val="38"/>
          <w:szCs w:val="38"/>
        </w:rPr>
      </w:pPr>
      <w:r>
        <w:rPr>
          <w:rFonts w:hint="eastAsia" w:ascii="方正小标宋_GBK" w:hAnsi="黑体" w:eastAsia="方正小标宋_GBK"/>
          <w:snapToGrid w:val="0"/>
          <w:sz w:val="38"/>
          <w:szCs w:val="38"/>
        </w:rPr>
        <w:t>建设项目污染物排放量汇总表</w:t>
      </w:r>
    </w:p>
    <w:tbl>
      <w:tblPr>
        <w:tblStyle w:val="23"/>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552"/>
        <w:gridCol w:w="1591"/>
        <w:gridCol w:w="1461"/>
        <w:gridCol w:w="1248"/>
        <w:gridCol w:w="1667"/>
        <w:gridCol w:w="1526"/>
        <w:gridCol w:w="1502"/>
        <w:gridCol w:w="1667"/>
        <w:gridCol w:w="1278"/>
      </w:tblGrid>
      <w:tr w14:paraId="558143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tcBorders>
              <w:tl2br w:val="single" w:color="auto" w:sz="4" w:space="0"/>
            </w:tcBorders>
            <w:tcMar>
              <w:left w:w="28" w:type="dxa"/>
              <w:right w:w="28" w:type="dxa"/>
            </w:tcMar>
            <w:vAlign w:val="center"/>
          </w:tcPr>
          <w:p w14:paraId="5B18110D">
            <w:pPr>
              <w:pStyle w:val="32"/>
              <w:spacing w:beforeLines="0" w:afterLines="0" w:line="240" w:lineRule="auto"/>
              <w:jc w:val="right"/>
              <w:rPr>
                <w:rFonts w:ascii="Times New Roman"/>
                <w:snapToGrid w:val="0"/>
                <w:spacing w:val="-6"/>
                <w:kern w:val="21"/>
                <w:szCs w:val="21"/>
              </w:rPr>
            </w:pPr>
            <w:r>
              <w:rPr>
                <w:rFonts w:ascii="Times New Roman"/>
                <w:snapToGrid w:val="0"/>
                <w:spacing w:val="-6"/>
                <w:kern w:val="21"/>
                <w:szCs w:val="21"/>
              </w:rPr>
              <w:t>项目</w:t>
            </w:r>
          </w:p>
          <w:p w14:paraId="455311D7">
            <w:pPr>
              <w:pStyle w:val="32"/>
              <w:spacing w:beforeLines="0" w:afterLines="0" w:line="240" w:lineRule="auto"/>
              <w:jc w:val="left"/>
              <w:rPr>
                <w:rFonts w:ascii="Times New Roman"/>
                <w:snapToGrid w:val="0"/>
                <w:spacing w:val="-6"/>
                <w:kern w:val="21"/>
                <w:szCs w:val="21"/>
              </w:rPr>
            </w:pPr>
            <w:r>
              <w:rPr>
                <w:rFonts w:ascii="Times New Roman"/>
                <w:snapToGrid w:val="0"/>
                <w:spacing w:val="-6"/>
                <w:kern w:val="21"/>
                <w:szCs w:val="21"/>
              </w:rPr>
              <w:t>分类</w:t>
            </w:r>
          </w:p>
        </w:tc>
        <w:tc>
          <w:tcPr>
            <w:tcW w:w="589" w:type="pct"/>
            <w:tcMar>
              <w:left w:w="28" w:type="dxa"/>
              <w:right w:w="28" w:type="dxa"/>
            </w:tcMar>
            <w:vAlign w:val="center"/>
          </w:tcPr>
          <w:p w14:paraId="1EE03116">
            <w:pPr>
              <w:pStyle w:val="32"/>
              <w:spacing w:beforeLines="0" w:afterLines="0" w:line="240" w:lineRule="auto"/>
              <w:rPr>
                <w:rFonts w:ascii="Times New Roman"/>
                <w:snapToGrid w:val="0"/>
                <w:spacing w:val="-6"/>
                <w:kern w:val="21"/>
                <w:szCs w:val="21"/>
              </w:rPr>
            </w:pPr>
            <w:r>
              <w:rPr>
                <w:rFonts w:ascii="Times New Roman"/>
                <w:snapToGrid w:val="0"/>
                <w:spacing w:val="-6"/>
                <w:kern w:val="21"/>
                <w:szCs w:val="21"/>
              </w:rPr>
              <w:t>污染物名称</w:t>
            </w:r>
          </w:p>
        </w:tc>
        <w:tc>
          <w:tcPr>
            <w:tcW w:w="541" w:type="pct"/>
            <w:tcMar>
              <w:left w:w="28" w:type="dxa"/>
              <w:right w:w="28" w:type="dxa"/>
            </w:tcMar>
            <w:vAlign w:val="center"/>
          </w:tcPr>
          <w:p w14:paraId="19C7D384">
            <w:pPr>
              <w:pStyle w:val="32"/>
              <w:spacing w:beforeLines="0" w:afterLines="0" w:line="240" w:lineRule="auto"/>
              <w:rPr>
                <w:rFonts w:ascii="Times New Roman"/>
                <w:snapToGrid w:val="0"/>
                <w:spacing w:val="-6"/>
                <w:kern w:val="21"/>
                <w:szCs w:val="21"/>
              </w:rPr>
            </w:pPr>
            <w:r>
              <w:rPr>
                <w:rFonts w:ascii="Times New Roman"/>
                <w:snapToGrid w:val="0"/>
                <w:spacing w:val="-6"/>
                <w:kern w:val="21"/>
                <w:szCs w:val="21"/>
              </w:rPr>
              <w:t>现有工程</w:t>
            </w:r>
          </w:p>
          <w:p w14:paraId="220A1D1C">
            <w:pPr>
              <w:pStyle w:val="32"/>
              <w:spacing w:beforeLines="0" w:afterLines="0" w:line="240" w:lineRule="auto"/>
              <w:rPr>
                <w:rFonts w:ascii="Times New Roman"/>
                <w:snapToGrid w:val="0"/>
                <w:spacing w:val="-6"/>
                <w:kern w:val="21"/>
                <w:szCs w:val="21"/>
              </w:rPr>
            </w:pPr>
            <w:r>
              <w:rPr>
                <w:rFonts w:ascii="Times New Roman"/>
                <w:snapToGrid w:val="0"/>
                <w:spacing w:val="-6"/>
                <w:kern w:val="21"/>
                <w:szCs w:val="21"/>
              </w:rPr>
              <w:t>排放量（固体废物产生量）</w:t>
            </w:r>
            <w:r>
              <w:rPr>
                <w:rFonts w:ascii="Times New Roman"/>
                <w:snapToGrid w:val="0"/>
                <w:spacing w:val="-6"/>
                <w:kern w:val="21"/>
                <w:szCs w:val="21"/>
              </w:rPr>
              <w:fldChar w:fldCharType="begin"/>
            </w:r>
            <w:r>
              <w:rPr>
                <w:rFonts w:ascii="Times New Roman"/>
                <w:snapToGrid w:val="0"/>
                <w:spacing w:val="-6"/>
                <w:kern w:val="21"/>
                <w:szCs w:val="21"/>
              </w:rPr>
              <w:instrText xml:space="preserve"> = 1 \* GB3 \* MERGEFORMAT </w:instrText>
            </w:r>
            <w:r>
              <w:rPr>
                <w:rFonts w:ascii="Times New Roman"/>
                <w:snapToGrid w:val="0"/>
                <w:spacing w:val="-6"/>
                <w:kern w:val="21"/>
                <w:szCs w:val="21"/>
              </w:rPr>
              <w:fldChar w:fldCharType="separate"/>
            </w:r>
            <w:r>
              <w:rPr>
                <w:rFonts w:hint="eastAsia" w:hAnsi="宋体" w:cs="宋体"/>
                <w:kern w:val="2"/>
                <w:szCs w:val="21"/>
              </w:rPr>
              <w:t>①</w:t>
            </w:r>
            <w:r>
              <w:rPr>
                <w:rFonts w:ascii="Times New Roman"/>
                <w:snapToGrid w:val="0"/>
                <w:spacing w:val="-6"/>
                <w:kern w:val="21"/>
                <w:szCs w:val="21"/>
              </w:rPr>
              <w:fldChar w:fldCharType="end"/>
            </w:r>
          </w:p>
        </w:tc>
        <w:tc>
          <w:tcPr>
            <w:tcW w:w="462" w:type="pct"/>
            <w:tcMar>
              <w:left w:w="28" w:type="dxa"/>
              <w:right w:w="28" w:type="dxa"/>
            </w:tcMar>
            <w:vAlign w:val="center"/>
          </w:tcPr>
          <w:p w14:paraId="790B90D0">
            <w:pPr>
              <w:pStyle w:val="32"/>
              <w:spacing w:beforeLines="0" w:afterLines="0" w:line="240" w:lineRule="auto"/>
              <w:rPr>
                <w:rFonts w:ascii="Times New Roman"/>
                <w:snapToGrid w:val="0"/>
                <w:spacing w:val="-6"/>
                <w:kern w:val="21"/>
                <w:szCs w:val="21"/>
              </w:rPr>
            </w:pPr>
            <w:r>
              <w:rPr>
                <w:rFonts w:ascii="Times New Roman"/>
                <w:snapToGrid w:val="0"/>
                <w:spacing w:val="-6"/>
                <w:kern w:val="21"/>
                <w:szCs w:val="21"/>
              </w:rPr>
              <w:t>现有工程</w:t>
            </w:r>
          </w:p>
          <w:p w14:paraId="4BBF6D01">
            <w:pPr>
              <w:pStyle w:val="32"/>
              <w:spacing w:beforeLines="0" w:afterLines="0" w:line="240" w:lineRule="auto"/>
              <w:rPr>
                <w:rFonts w:ascii="Times New Roman"/>
                <w:snapToGrid w:val="0"/>
                <w:spacing w:val="-6"/>
                <w:kern w:val="21"/>
                <w:szCs w:val="21"/>
              </w:rPr>
            </w:pPr>
            <w:r>
              <w:rPr>
                <w:rFonts w:ascii="Times New Roman"/>
                <w:snapToGrid w:val="0"/>
                <w:spacing w:val="-6"/>
                <w:kern w:val="21"/>
                <w:szCs w:val="21"/>
              </w:rPr>
              <w:t>许可排放量</w:t>
            </w:r>
          </w:p>
          <w:p w14:paraId="09C59981">
            <w:pPr>
              <w:pStyle w:val="32"/>
              <w:spacing w:beforeLines="0" w:afterLines="0"/>
              <w:rPr>
                <w:rFonts w:ascii="Times New Roman"/>
                <w:snapToGrid w:val="0"/>
                <w:spacing w:val="-6"/>
                <w:kern w:val="21"/>
                <w:szCs w:val="21"/>
              </w:rPr>
            </w:pPr>
            <w:r>
              <w:rPr>
                <w:rFonts w:ascii="Times New Roman"/>
                <w:snapToGrid w:val="0"/>
                <w:spacing w:val="-6"/>
                <w:kern w:val="21"/>
                <w:szCs w:val="21"/>
              </w:rPr>
              <w:fldChar w:fldCharType="begin"/>
            </w:r>
            <w:r>
              <w:rPr>
                <w:rFonts w:ascii="Times New Roman"/>
                <w:snapToGrid w:val="0"/>
                <w:spacing w:val="-6"/>
                <w:kern w:val="21"/>
                <w:szCs w:val="21"/>
              </w:rPr>
              <w:instrText xml:space="preserve"> = 2 \* GB3 \* MERGEFORMAT </w:instrText>
            </w:r>
            <w:r>
              <w:rPr>
                <w:rFonts w:ascii="Times New Roman"/>
                <w:snapToGrid w:val="0"/>
                <w:spacing w:val="-6"/>
                <w:kern w:val="21"/>
                <w:szCs w:val="21"/>
              </w:rPr>
              <w:fldChar w:fldCharType="separate"/>
            </w:r>
            <w:r>
              <w:rPr>
                <w:rFonts w:hint="eastAsia" w:hAnsi="宋体" w:cs="宋体"/>
                <w:snapToGrid w:val="0"/>
                <w:spacing w:val="-6"/>
                <w:kern w:val="21"/>
                <w:szCs w:val="21"/>
              </w:rPr>
              <w:t>②</w:t>
            </w:r>
            <w:r>
              <w:rPr>
                <w:rFonts w:ascii="Times New Roman"/>
                <w:snapToGrid w:val="0"/>
                <w:spacing w:val="-6"/>
                <w:kern w:val="21"/>
                <w:szCs w:val="21"/>
              </w:rPr>
              <w:fldChar w:fldCharType="end"/>
            </w:r>
          </w:p>
        </w:tc>
        <w:tc>
          <w:tcPr>
            <w:tcW w:w="617" w:type="pct"/>
            <w:tcMar>
              <w:left w:w="28" w:type="dxa"/>
              <w:right w:w="28" w:type="dxa"/>
            </w:tcMar>
            <w:vAlign w:val="center"/>
          </w:tcPr>
          <w:p w14:paraId="7C9EB10B">
            <w:pPr>
              <w:pStyle w:val="32"/>
              <w:spacing w:beforeLines="0" w:afterLines="0" w:line="240" w:lineRule="auto"/>
              <w:rPr>
                <w:rFonts w:ascii="Times New Roman"/>
                <w:snapToGrid w:val="0"/>
                <w:spacing w:val="-6"/>
                <w:kern w:val="21"/>
                <w:szCs w:val="21"/>
              </w:rPr>
            </w:pPr>
            <w:r>
              <w:rPr>
                <w:rFonts w:ascii="Times New Roman"/>
                <w:snapToGrid w:val="0"/>
                <w:spacing w:val="-6"/>
                <w:kern w:val="21"/>
                <w:szCs w:val="21"/>
              </w:rPr>
              <w:t>在建工程</w:t>
            </w:r>
          </w:p>
          <w:p w14:paraId="6EFAE243">
            <w:pPr>
              <w:pStyle w:val="32"/>
              <w:spacing w:beforeLines="0" w:afterLines="0" w:line="240" w:lineRule="auto"/>
              <w:rPr>
                <w:rFonts w:ascii="Times New Roman"/>
                <w:snapToGrid w:val="0"/>
                <w:spacing w:val="-6"/>
                <w:kern w:val="21"/>
                <w:szCs w:val="21"/>
              </w:rPr>
            </w:pPr>
            <w:r>
              <w:rPr>
                <w:rFonts w:ascii="Times New Roman"/>
                <w:snapToGrid w:val="0"/>
                <w:spacing w:val="-6"/>
                <w:kern w:val="21"/>
                <w:szCs w:val="21"/>
              </w:rPr>
              <w:t>排放量（固体废物产生量）</w:t>
            </w:r>
            <w:r>
              <w:rPr>
                <w:rFonts w:ascii="Times New Roman"/>
                <w:snapToGrid w:val="0"/>
                <w:spacing w:val="-6"/>
                <w:kern w:val="21"/>
                <w:szCs w:val="21"/>
              </w:rPr>
              <w:fldChar w:fldCharType="begin"/>
            </w:r>
            <w:r>
              <w:rPr>
                <w:rFonts w:ascii="Times New Roman"/>
                <w:snapToGrid w:val="0"/>
                <w:spacing w:val="-6"/>
                <w:kern w:val="21"/>
                <w:szCs w:val="21"/>
              </w:rPr>
              <w:instrText xml:space="preserve"> = 3 \* GB3 \* MERGEFORMAT </w:instrText>
            </w:r>
            <w:r>
              <w:rPr>
                <w:rFonts w:ascii="Times New Roman"/>
                <w:snapToGrid w:val="0"/>
                <w:spacing w:val="-6"/>
                <w:kern w:val="21"/>
                <w:szCs w:val="21"/>
              </w:rPr>
              <w:fldChar w:fldCharType="separate"/>
            </w:r>
            <w:r>
              <w:rPr>
                <w:rFonts w:hint="eastAsia" w:hAnsi="宋体" w:cs="宋体"/>
                <w:kern w:val="2"/>
                <w:szCs w:val="21"/>
              </w:rPr>
              <w:t>③</w:t>
            </w:r>
            <w:r>
              <w:rPr>
                <w:rFonts w:ascii="Times New Roman"/>
                <w:snapToGrid w:val="0"/>
                <w:spacing w:val="-6"/>
                <w:kern w:val="21"/>
                <w:szCs w:val="21"/>
              </w:rPr>
              <w:fldChar w:fldCharType="end"/>
            </w:r>
          </w:p>
        </w:tc>
        <w:tc>
          <w:tcPr>
            <w:tcW w:w="565" w:type="pct"/>
            <w:tcMar>
              <w:left w:w="28" w:type="dxa"/>
              <w:right w:w="28" w:type="dxa"/>
            </w:tcMar>
            <w:vAlign w:val="center"/>
          </w:tcPr>
          <w:p w14:paraId="29C71A81">
            <w:pPr>
              <w:pStyle w:val="32"/>
              <w:spacing w:beforeLines="0" w:afterLines="0" w:line="240" w:lineRule="auto"/>
              <w:rPr>
                <w:rFonts w:ascii="Times New Roman"/>
                <w:snapToGrid w:val="0"/>
                <w:spacing w:val="-6"/>
                <w:kern w:val="21"/>
                <w:szCs w:val="21"/>
              </w:rPr>
            </w:pPr>
            <w:r>
              <w:rPr>
                <w:rFonts w:ascii="Times New Roman"/>
                <w:snapToGrid w:val="0"/>
                <w:spacing w:val="-6"/>
                <w:kern w:val="21"/>
                <w:szCs w:val="21"/>
              </w:rPr>
              <w:t>本项目</w:t>
            </w:r>
          </w:p>
          <w:p w14:paraId="56508B92">
            <w:pPr>
              <w:pStyle w:val="32"/>
              <w:spacing w:beforeLines="0" w:afterLines="0" w:line="240" w:lineRule="auto"/>
              <w:rPr>
                <w:rFonts w:ascii="Times New Roman"/>
                <w:snapToGrid w:val="0"/>
                <w:spacing w:val="-6"/>
                <w:kern w:val="21"/>
                <w:szCs w:val="21"/>
              </w:rPr>
            </w:pPr>
            <w:r>
              <w:rPr>
                <w:rFonts w:ascii="Times New Roman"/>
                <w:snapToGrid w:val="0"/>
                <w:spacing w:val="-6"/>
                <w:kern w:val="21"/>
                <w:szCs w:val="21"/>
              </w:rPr>
              <w:t>排放量（固体废物产生量）</w:t>
            </w:r>
            <w:r>
              <w:rPr>
                <w:rFonts w:ascii="Times New Roman"/>
                <w:snapToGrid w:val="0"/>
                <w:spacing w:val="-6"/>
                <w:kern w:val="21"/>
                <w:szCs w:val="21"/>
              </w:rPr>
              <w:fldChar w:fldCharType="begin"/>
            </w:r>
            <w:r>
              <w:rPr>
                <w:rFonts w:ascii="Times New Roman"/>
                <w:snapToGrid w:val="0"/>
                <w:spacing w:val="-6"/>
                <w:kern w:val="21"/>
                <w:szCs w:val="21"/>
              </w:rPr>
              <w:instrText xml:space="preserve"> = 4 \* GB3 \* MERGEFORMAT </w:instrText>
            </w:r>
            <w:r>
              <w:rPr>
                <w:rFonts w:ascii="Times New Roman"/>
                <w:snapToGrid w:val="0"/>
                <w:spacing w:val="-6"/>
                <w:kern w:val="21"/>
                <w:szCs w:val="21"/>
              </w:rPr>
              <w:fldChar w:fldCharType="separate"/>
            </w:r>
            <w:r>
              <w:rPr>
                <w:rFonts w:hint="eastAsia" w:hAnsi="宋体" w:cs="宋体"/>
                <w:kern w:val="2"/>
                <w:szCs w:val="21"/>
              </w:rPr>
              <w:t>④</w:t>
            </w:r>
            <w:r>
              <w:rPr>
                <w:rFonts w:ascii="Times New Roman"/>
                <w:snapToGrid w:val="0"/>
                <w:spacing w:val="-6"/>
                <w:kern w:val="21"/>
                <w:szCs w:val="21"/>
              </w:rPr>
              <w:fldChar w:fldCharType="end"/>
            </w:r>
          </w:p>
        </w:tc>
        <w:tc>
          <w:tcPr>
            <w:tcW w:w="556" w:type="pct"/>
            <w:tcMar>
              <w:left w:w="28" w:type="dxa"/>
              <w:right w:w="28" w:type="dxa"/>
            </w:tcMar>
            <w:vAlign w:val="center"/>
          </w:tcPr>
          <w:p w14:paraId="6B074F88">
            <w:pPr>
              <w:pStyle w:val="32"/>
              <w:spacing w:beforeLines="0" w:afterLines="0" w:line="240" w:lineRule="auto"/>
              <w:rPr>
                <w:rFonts w:ascii="Times New Roman"/>
                <w:snapToGrid w:val="0"/>
                <w:spacing w:val="-16"/>
                <w:kern w:val="21"/>
                <w:szCs w:val="21"/>
              </w:rPr>
            </w:pPr>
            <w:r>
              <w:rPr>
                <w:rFonts w:ascii="Times New Roman"/>
                <w:snapToGrid w:val="0"/>
                <w:spacing w:val="-16"/>
                <w:kern w:val="21"/>
                <w:szCs w:val="21"/>
              </w:rPr>
              <w:t>以新带老削减量</w:t>
            </w:r>
          </w:p>
          <w:p w14:paraId="1282F90A">
            <w:pPr>
              <w:pStyle w:val="32"/>
              <w:spacing w:beforeLines="0" w:afterLines="0" w:line="240" w:lineRule="auto"/>
              <w:rPr>
                <w:rFonts w:ascii="Times New Roman"/>
                <w:snapToGrid w:val="0"/>
                <w:spacing w:val="-16"/>
                <w:kern w:val="21"/>
                <w:szCs w:val="21"/>
              </w:rPr>
            </w:pPr>
            <w:r>
              <w:rPr>
                <w:rFonts w:ascii="Times New Roman"/>
                <w:snapToGrid w:val="0"/>
                <w:spacing w:val="-16"/>
                <w:kern w:val="21"/>
                <w:szCs w:val="21"/>
              </w:rPr>
              <w:t>（新建项目不填）</w:t>
            </w:r>
            <w:r>
              <w:rPr>
                <w:rFonts w:ascii="Times New Roman"/>
                <w:snapToGrid w:val="0"/>
                <w:spacing w:val="-16"/>
                <w:kern w:val="21"/>
                <w:szCs w:val="21"/>
              </w:rPr>
              <w:fldChar w:fldCharType="begin"/>
            </w:r>
            <w:r>
              <w:rPr>
                <w:rFonts w:ascii="Times New Roman"/>
                <w:snapToGrid w:val="0"/>
                <w:spacing w:val="-16"/>
                <w:kern w:val="21"/>
                <w:szCs w:val="21"/>
              </w:rPr>
              <w:instrText xml:space="preserve"> = 5 \* GB3 \* MERGEFORMAT </w:instrText>
            </w:r>
            <w:r>
              <w:rPr>
                <w:rFonts w:ascii="Times New Roman"/>
                <w:snapToGrid w:val="0"/>
                <w:spacing w:val="-16"/>
                <w:kern w:val="21"/>
                <w:szCs w:val="21"/>
              </w:rPr>
              <w:fldChar w:fldCharType="separate"/>
            </w:r>
            <w:r>
              <w:rPr>
                <w:rFonts w:hint="eastAsia" w:hAnsi="宋体" w:cs="宋体"/>
                <w:kern w:val="2"/>
                <w:szCs w:val="21"/>
              </w:rPr>
              <w:t>⑤</w:t>
            </w:r>
            <w:r>
              <w:rPr>
                <w:rFonts w:ascii="Times New Roman"/>
                <w:snapToGrid w:val="0"/>
                <w:spacing w:val="-16"/>
                <w:kern w:val="21"/>
                <w:szCs w:val="21"/>
              </w:rPr>
              <w:fldChar w:fldCharType="end"/>
            </w:r>
          </w:p>
        </w:tc>
        <w:tc>
          <w:tcPr>
            <w:tcW w:w="617" w:type="pct"/>
            <w:tcMar>
              <w:left w:w="28" w:type="dxa"/>
              <w:right w:w="28" w:type="dxa"/>
            </w:tcMar>
            <w:vAlign w:val="center"/>
          </w:tcPr>
          <w:p w14:paraId="4598A603">
            <w:pPr>
              <w:pStyle w:val="32"/>
              <w:spacing w:beforeLines="0" w:afterLines="0" w:line="240" w:lineRule="auto"/>
              <w:rPr>
                <w:rFonts w:ascii="Times New Roman"/>
                <w:snapToGrid w:val="0"/>
                <w:spacing w:val="-16"/>
                <w:kern w:val="21"/>
                <w:szCs w:val="21"/>
              </w:rPr>
            </w:pPr>
            <w:r>
              <w:rPr>
                <w:rFonts w:ascii="Times New Roman"/>
                <w:snapToGrid w:val="0"/>
                <w:spacing w:val="-16"/>
                <w:kern w:val="21"/>
                <w:szCs w:val="21"/>
              </w:rPr>
              <w:t>本项目建成后</w:t>
            </w:r>
          </w:p>
          <w:p w14:paraId="0C258F78">
            <w:pPr>
              <w:pStyle w:val="32"/>
              <w:spacing w:beforeLines="0" w:afterLines="0" w:line="240" w:lineRule="auto"/>
              <w:rPr>
                <w:rFonts w:ascii="Times New Roman"/>
                <w:snapToGrid w:val="0"/>
                <w:spacing w:val="-16"/>
                <w:kern w:val="21"/>
                <w:szCs w:val="21"/>
              </w:rPr>
            </w:pPr>
            <w:r>
              <w:rPr>
                <w:rFonts w:ascii="Times New Roman"/>
                <w:snapToGrid w:val="0"/>
                <w:spacing w:val="-16"/>
                <w:kern w:val="21"/>
                <w:szCs w:val="21"/>
              </w:rPr>
              <w:t>全厂排放量（固体废物产生量）</w:t>
            </w:r>
            <w:r>
              <w:rPr>
                <w:rFonts w:ascii="Times New Roman"/>
                <w:snapToGrid w:val="0"/>
                <w:spacing w:val="-16"/>
                <w:kern w:val="21"/>
                <w:szCs w:val="21"/>
              </w:rPr>
              <w:fldChar w:fldCharType="begin"/>
            </w:r>
            <w:r>
              <w:rPr>
                <w:rFonts w:ascii="Times New Roman"/>
                <w:snapToGrid w:val="0"/>
                <w:spacing w:val="-16"/>
                <w:kern w:val="21"/>
                <w:szCs w:val="21"/>
              </w:rPr>
              <w:instrText xml:space="preserve"> = 6 \* GB3 \* MERGEFORMAT </w:instrText>
            </w:r>
            <w:r>
              <w:rPr>
                <w:rFonts w:ascii="Times New Roman"/>
                <w:snapToGrid w:val="0"/>
                <w:spacing w:val="-16"/>
                <w:kern w:val="21"/>
                <w:szCs w:val="21"/>
              </w:rPr>
              <w:fldChar w:fldCharType="separate"/>
            </w:r>
            <w:r>
              <w:rPr>
                <w:rFonts w:hint="eastAsia" w:hAnsi="宋体" w:cs="宋体"/>
                <w:kern w:val="2"/>
                <w:szCs w:val="21"/>
              </w:rPr>
              <w:t>⑥</w:t>
            </w:r>
            <w:r>
              <w:rPr>
                <w:rFonts w:ascii="Times New Roman"/>
                <w:snapToGrid w:val="0"/>
                <w:spacing w:val="-16"/>
                <w:kern w:val="21"/>
                <w:szCs w:val="21"/>
              </w:rPr>
              <w:fldChar w:fldCharType="end"/>
            </w:r>
          </w:p>
        </w:tc>
        <w:tc>
          <w:tcPr>
            <w:tcW w:w="473" w:type="pct"/>
            <w:tcMar>
              <w:left w:w="28" w:type="dxa"/>
              <w:right w:w="28" w:type="dxa"/>
            </w:tcMar>
            <w:vAlign w:val="center"/>
          </w:tcPr>
          <w:p w14:paraId="17FDA1EC">
            <w:pPr>
              <w:pStyle w:val="32"/>
              <w:spacing w:beforeLines="0" w:afterLines="0" w:line="240" w:lineRule="auto"/>
              <w:rPr>
                <w:rFonts w:ascii="Times New Roman"/>
                <w:snapToGrid w:val="0"/>
                <w:spacing w:val="-6"/>
                <w:kern w:val="21"/>
                <w:szCs w:val="21"/>
              </w:rPr>
            </w:pPr>
            <w:r>
              <w:rPr>
                <w:rFonts w:ascii="Times New Roman"/>
                <w:snapToGrid w:val="0"/>
                <w:spacing w:val="-6"/>
                <w:kern w:val="21"/>
                <w:szCs w:val="21"/>
              </w:rPr>
              <w:t>变化量</w:t>
            </w:r>
          </w:p>
          <w:p w14:paraId="78399E77">
            <w:pPr>
              <w:pStyle w:val="32"/>
              <w:spacing w:beforeLines="0" w:afterLines="0" w:line="240" w:lineRule="auto"/>
              <w:rPr>
                <w:rFonts w:ascii="Times New Roman"/>
                <w:snapToGrid w:val="0"/>
                <w:spacing w:val="-6"/>
                <w:kern w:val="21"/>
                <w:szCs w:val="21"/>
              </w:rPr>
            </w:pPr>
            <w:r>
              <w:rPr>
                <w:rFonts w:ascii="Times New Roman"/>
                <w:snapToGrid w:val="0"/>
                <w:spacing w:val="-6"/>
                <w:kern w:val="21"/>
                <w:szCs w:val="21"/>
              </w:rPr>
              <w:fldChar w:fldCharType="begin"/>
            </w:r>
            <w:r>
              <w:rPr>
                <w:rFonts w:ascii="Times New Roman"/>
                <w:snapToGrid w:val="0"/>
                <w:spacing w:val="-6"/>
                <w:kern w:val="21"/>
                <w:szCs w:val="21"/>
              </w:rPr>
              <w:instrText xml:space="preserve"> = 7 \* GB3 \* MERGEFORMAT </w:instrText>
            </w:r>
            <w:r>
              <w:rPr>
                <w:rFonts w:ascii="Times New Roman"/>
                <w:snapToGrid w:val="0"/>
                <w:spacing w:val="-6"/>
                <w:kern w:val="21"/>
                <w:szCs w:val="21"/>
              </w:rPr>
              <w:fldChar w:fldCharType="separate"/>
            </w:r>
            <w:r>
              <w:rPr>
                <w:rFonts w:hint="eastAsia" w:hAnsi="宋体" w:cs="宋体"/>
                <w:kern w:val="2"/>
                <w:szCs w:val="21"/>
              </w:rPr>
              <w:t>⑦</w:t>
            </w:r>
            <w:r>
              <w:rPr>
                <w:rFonts w:ascii="Times New Roman"/>
                <w:snapToGrid w:val="0"/>
                <w:spacing w:val="-6"/>
                <w:kern w:val="21"/>
                <w:szCs w:val="21"/>
              </w:rPr>
              <w:fldChar w:fldCharType="end"/>
            </w:r>
          </w:p>
        </w:tc>
      </w:tr>
      <w:tr w14:paraId="54479D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restart"/>
            <w:vAlign w:val="center"/>
          </w:tcPr>
          <w:p w14:paraId="5AFCD59F">
            <w:pPr>
              <w:pStyle w:val="32"/>
              <w:spacing w:beforeLines="0" w:afterLines="0" w:line="240" w:lineRule="auto"/>
              <w:rPr>
                <w:rFonts w:ascii="Times New Roman"/>
                <w:snapToGrid w:val="0"/>
                <w:kern w:val="21"/>
                <w:szCs w:val="21"/>
              </w:rPr>
            </w:pPr>
            <w:r>
              <w:rPr>
                <w:rFonts w:ascii="Times New Roman"/>
                <w:snapToGrid w:val="0"/>
                <w:kern w:val="21"/>
                <w:szCs w:val="21"/>
              </w:rPr>
              <w:t>废气</w:t>
            </w:r>
          </w:p>
        </w:tc>
        <w:tc>
          <w:tcPr>
            <w:tcW w:w="589" w:type="pct"/>
            <w:vAlign w:val="center"/>
          </w:tcPr>
          <w:p w14:paraId="309C0E87">
            <w:pPr>
              <w:pStyle w:val="32"/>
              <w:spacing w:beforeLines="0" w:afterLines="0" w:line="240" w:lineRule="auto"/>
              <w:rPr>
                <w:rFonts w:ascii="Times New Roman"/>
                <w:snapToGrid w:val="0"/>
                <w:kern w:val="21"/>
                <w:szCs w:val="21"/>
              </w:rPr>
            </w:pPr>
            <w:r>
              <w:rPr>
                <w:rFonts w:ascii="Times New Roman"/>
                <w:snapToGrid w:val="0"/>
                <w:kern w:val="21"/>
                <w:szCs w:val="21"/>
              </w:rPr>
              <w:t>颗粒物</w:t>
            </w:r>
          </w:p>
        </w:tc>
        <w:tc>
          <w:tcPr>
            <w:tcW w:w="541" w:type="pct"/>
            <w:vAlign w:val="center"/>
          </w:tcPr>
          <w:p w14:paraId="6DE61BBE">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462" w:type="pct"/>
            <w:vAlign w:val="center"/>
          </w:tcPr>
          <w:p w14:paraId="2FC34BE6">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vAlign w:val="center"/>
          </w:tcPr>
          <w:p w14:paraId="72438467">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565" w:type="pct"/>
            <w:vAlign w:val="center"/>
          </w:tcPr>
          <w:p w14:paraId="233B590F">
            <w:pPr>
              <w:pStyle w:val="32"/>
              <w:spacing w:beforeLines="0" w:afterLines="0" w:line="240" w:lineRule="auto"/>
              <w:rPr>
                <w:rFonts w:hint="default" w:ascii="Times New Roman" w:eastAsia="宋体"/>
                <w:snapToGrid w:val="0"/>
                <w:kern w:val="21"/>
                <w:szCs w:val="21"/>
                <w:lang w:val="en-US" w:eastAsia="zh-CN"/>
              </w:rPr>
            </w:pPr>
            <w:r>
              <w:rPr>
                <w:rFonts w:hint="eastAsia" w:ascii="Times New Roman"/>
                <w:szCs w:val="21"/>
                <w:lang w:val="en-US" w:eastAsia="zh-CN"/>
              </w:rPr>
              <w:t>0.006</w:t>
            </w:r>
          </w:p>
        </w:tc>
        <w:tc>
          <w:tcPr>
            <w:tcW w:w="556" w:type="pct"/>
            <w:vAlign w:val="center"/>
          </w:tcPr>
          <w:p w14:paraId="36D44ED2">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vAlign w:val="center"/>
          </w:tcPr>
          <w:p w14:paraId="09E094E0">
            <w:pPr>
              <w:pStyle w:val="32"/>
              <w:spacing w:beforeLines="0" w:afterLines="0" w:line="240" w:lineRule="auto"/>
              <w:rPr>
                <w:rFonts w:hint="default" w:ascii="Times New Roman" w:eastAsia="宋体"/>
                <w:snapToGrid w:val="0"/>
                <w:kern w:val="21"/>
                <w:szCs w:val="21"/>
                <w:lang w:val="en-US" w:eastAsia="zh-CN"/>
              </w:rPr>
            </w:pPr>
            <w:r>
              <w:rPr>
                <w:rFonts w:hint="eastAsia" w:ascii="Times New Roman"/>
                <w:szCs w:val="21"/>
                <w:lang w:val="en-US" w:eastAsia="zh-CN"/>
              </w:rPr>
              <w:t>0.006</w:t>
            </w:r>
          </w:p>
        </w:tc>
        <w:tc>
          <w:tcPr>
            <w:tcW w:w="473" w:type="pct"/>
            <w:vAlign w:val="center"/>
          </w:tcPr>
          <w:p w14:paraId="07BC0CE7">
            <w:pPr>
              <w:pStyle w:val="32"/>
              <w:spacing w:beforeLines="0" w:afterLines="0" w:line="240" w:lineRule="auto"/>
              <w:rPr>
                <w:rFonts w:hint="default" w:ascii="Times New Roman" w:eastAsia="宋体"/>
                <w:snapToGrid w:val="0"/>
                <w:kern w:val="21"/>
                <w:szCs w:val="21"/>
                <w:lang w:val="en-US" w:eastAsia="zh-CN"/>
              </w:rPr>
            </w:pPr>
            <w:r>
              <w:rPr>
                <w:rFonts w:ascii="Times New Roman"/>
                <w:szCs w:val="21"/>
              </w:rPr>
              <w:t>+</w:t>
            </w:r>
            <w:r>
              <w:rPr>
                <w:rFonts w:hint="eastAsia" w:ascii="Times New Roman"/>
                <w:szCs w:val="21"/>
                <w:lang w:val="en-US" w:eastAsia="zh-CN"/>
              </w:rPr>
              <w:t>0.006</w:t>
            </w:r>
          </w:p>
        </w:tc>
      </w:tr>
      <w:tr w14:paraId="72ABF0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continue"/>
            <w:vAlign w:val="center"/>
          </w:tcPr>
          <w:p w14:paraId="5A80C822">
            <w:pPr>
              <w:pStyle w:val="32"/>
              <w:spacing w:beforeLines="0" w:afterLines="0" w:line="240" w:lineRule="auto"/>
              <w:rPr>
                <w:rFonts w:ascii="Times New Roman"/>
                <w:snapToGrid w:val="0"/>
                <w:kern w:val="21"/>
                <w:szCs w:val="21"/>
              </w:rPr>
            </w:pPr>
          </w:p>
        </w:tc>
        <w:tc>
          <w:tcPr>
            <w:tcW w:w="589" w:type="pct"/>
            <w:vAlign w:val="center"/>
          </w:tcPr>
          <w:p w14:paraId="198AA2CF">
            <w:pPr>
              <w:pStyle w:val="32"/>
              <w:spacing w:beforeLines="0" w:afterLines="0" w:line="240" w:lineRule="auto"/>
              <w:rPr>
                <w:rFonts w:ascii="Times New Roman"/>
                <w:snapToGrid w:val="0"/>
                <w:kern w:val="21"/>
                <w:szCs w:val="21"/>
              </w:rPr>
            </w:pPr>
            <w:r>
              <w:rPr>
                <w:rFonts w:ascii="Times New Roman"/>
                <w:snapToGrid w:val="0"/>
                <w:kern w:val="21"/>
                <w:szCs w:val="21"/>
              </w:rPr>
              <w:t>非甲烷总烃</w:t>
            </w:r>
          </w:p>
        </w:tc>
        <w:tc>
          <w:tcPr>
            <w:tcW w:w="541" w:type="pct"/>
            <w:vAlign w:val="center"/>
          </w:tcPr>
          <w:p w14:paraId="7694AC99">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462" w:type="pct"/>
            <w:vAlign w:val="center"/>
          </w:tcPr>
          <w:p w14:paraId="40AE5BC6">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vAlign w:val="center"/>
          </w:tcPr>
          <w:p w14:paraId="7C038DDF">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565" w:type="pct"/>
            <w:vAlign w:val="center"/>
          </w:tcPr>
          <w:p w14:paraId="2F66A723">
            <w:pPr>
              <w:pStyle w:val="32"/>
              <w:spacing w:beforeLines="0" w:afterLines="0" w:line="240" w:lineRule="auto"/>
              <w:rPr>
                <w:rFonts w:hint="default" w:ascii="Times New Roman" w:eastAsia="宋体"/>
                <w:snapToGrid w:val="0"/>
                <w:kern w:val="21"/>
                <w:szCs w:val="21"/>
                <w:lang w:val="en-US" w:eastAsia="zh-CN"/>
              </w:rPr>
            </w:pPr>
            <w:r>
              <w:rPr>
                <w:rFonts w:hint="eastAsia" w:ascii="Times New Roman"/>
                <w:szCs w:val="21"/>
                <w:lang w:val="en-US" w:eastAsia="zh-CN"/>
              </w:rPr>
              <w:t>0.865</w:t>
            </w:r>
          </w:p>
        </w:tc>
        <w:tc>
          <w:tcPr>
            <w:tcW w:w="556" w:type="pct"/>
            <w:vAlign w:val="center"/>
          </w:tcPr>
          <w:p w14:paraId="1026BEC3">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vAlign w:val="center"/>
          </w:tcPr>
          <w:p w14:paraId="3970F889">
            <w:pPr>
              <w:pStyle w:val="32"/>
              <w:spacing w:beforeLines="0" w:afterLines="0" w:line="240" w:lineRule="auto"/>
              <w:rPr>
                <w:rFonts w:hint="default" w:ascii="Times New Roman" w:eastAsia="宋体"/>
                <w:snapToGrid w:val="0"/>
                <w:kern w:val="21"/>
                <w:szCs w:val="21"/>
                <w:lang w:val="en-US" w:eastAsia="zh-CN"/>
              </w:rPr>
            </w:pPr>
            <w:r>
              <w:rPr>
                <w:rFonts w:hint="eastAsia" w:ascii="Times New Roman"/>
                <w:szCs w:val="21"/>
                <w:lang w:val="en-US" w:eastAsia="zh-CN"/>
              </w:rPr>
              <w:t>0.865</w:t>
            </w:r>
          </w:p>
        </w:tc>
        <w:tc>
          <w:tcPr>
            <w:tcW w:w="473" w:type="pct"/>
            <w:vAlign w:val="center"/>
          </w:tcPr>
          <w:p w14:paraId="3DFB745D">
            <w:pPr>
              <w:pStyle w:val="32"/>
              <w:spacing w:beforeLines="0" w:afterLines="0" w:line="240" w:lineRule="auto"/>
              <w:rPr>
                <w:rFonts w:hint="default" w:ascii="Times New Roman" w:eastAsia="宋体"/>
                <w:snapToGrid w:val="0"/>
                <w:kern w:val="21"/>
                <w:szCs w:val="21"/>
                <w:lang w:val="en-US" w:eastAsia="zh-CN"/>
              </w:rPr>
            </w:pPr>
            <w:r>
              <w:rPr>
                <w:rFonts w:ascii="Times New Roman"/>
                <w:szCs w:val="21"/>
              </w:rPr>
              <w:t>+</w:t>
            </w:r>
            <w:r>
              <w:rPr>
                <w:rFonts w:hint="eastAsia" w:ascii="Times New Roman"/>
                <w:szCs w:val="21"/>
                <w:lang w:val="en-US" w:eastAsia="zh-CN"/>
              </w:rPr>
              <w:t>0.865</w:t>
            </w:r>
          </w:p>
        </w:tc>
      </w:tr>
      <w:tr w14:paraId="4F87F5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continue"/>
            <w:vAlign w:val="center"/>
          </w:tcPr>
          <w:p w14:paraId="32284675">
            <w:pPr>
              <w:pStyle w:val="32"/>
              <w:spacing w:beforeLines="0" w:afterLines="0" w:line="240" w:lineRule="auto"/>
              <w:rPr>
                <w:rFonts w:ascii="Times New Roman"/>
                <w:snapToGrid w:val="0"/>
                <w:kern w:val="21"/>
                <w:szCs w:val="21"/>
              </w:rPr>
            </w:pPr>
          </w:p>
        </w:tc>
        <w:tc>
          <w:tcPr>
            <w:tcW w:w="589" w:type="pct"/>
            <w:vAlign w:val="center"/>
          </w:tcPr>
          <w:p w14:paraId="4E23CCBF">
            <w:pPr>
              <w:pStyle w:val="32"/>
              <w:spacing w:beforeLines="0" w:afterLines="0" w:line="240" w:lineRule="auto"/>
              <w:rPr>
                <w:rFonts w:hint="default" w:ascii="Times New Roman" w:eastAsia="宋体"/>
                <w:snapToGrid w:val="0"/>
                <w:kern w:val="21"/>
                <w:szCs w:val="21"/>
                <w:lang w:val="en-US" w:eastAsia="zh-CN"/>
              </w:rPr>
            </w:pPr>
            <w:r>
              <w:rPr>
                <w:rFonts w:hint="eastAsia" w:ascii="Times New Roman"/>
                <w:snapToGrid w:val="0"/>
                <w:kern w:val="21"/>
                <w:szCs w:val="21"/>
                <w:lang w:val="en-US" w:eastAsia="zh-CN"/>
              </w:rPr>
              <w:t>锡及其化合物</w:t>
            </w:r>
          </w:p>
        </w:tc>
        <w:tc>
          <w:tcPr>
            <w:tcW w:w="541" w:type="pct"/>
            <w:vAlign w:val="center"/>
          </w:tcPr>
          <w:p w14:paraId="4E7297D9">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462" w:type="pct"/>
            <w:vAlign w:val="center"/>
          </w:tcPr>
          <w:p w14:paraId="1D383F38">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vAlign w:val="center"/>
          </w:tcPr>
          <w:p w14:paraId="11DE0397">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565" w:type="pct"/>
            <w:vAlign w:val="center"/>
          </w:tcPr>
          <w:p w14:paraId="0D3C6CD5">
            <w:pPr>
              <w:pStyle w:val="32"/>
              <w:spacing w:beforeLines="0" w:afterLines="0" w:line="240" w:lineRule="auto"/>
              <w:rPr>
                <w:rFonts w:hint="default" w:ascii="Times New Roman" w:eastAsia="宋体"/>
                <w:snapToGrid w:val="0"/>
                <w:kern w:val="21"/>
                <w:szCs w:val="21"/>
                <w:lang w:val="en-US" w:eastAsia="zh-CN"/>
              </w:rPr>
            </w:pPr>
            <w:r>
              <w:rPr>
                <w:rFonts w:hint="eastAsia" w:ascii="Times New Roman"/>
                <w:szCs w:val="21"/>
                <w:lang w:val="en-US" w:eastAsia="zh-CN"/>
              </w:rPr>
              <w:t>0.005</w:t>
            </w:r>
          </w:p>
        </w:tc>
        <w:tc>
          <w:tcPr>
            <w:tcW w:w="556" w:type="pct"/>
            <w:vAlign w:val="center"/>
          </w:tcPr>
          <w:p w14:paraId="6227EAF6">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vAlign w:val="center"/>
          </w:tcPr>
          <w:p w14:paraId="306DD96D">
            <w:pPr>
              <w:pStyle w:val="32"/>
              <w:spacing w:beforeLines="0" w:afterLines="0" w:line="240" w:lineRule="auto"/>
              <w:rPr>
                <w:rFonts w:hint="default" w:ascii="Times New Roman" w:eastAsia="宋体"/>
                <w:szCs w:val="21"/>
                <w:lang w:val="en-US" w:eastAsia="zh-CN"/>
              </w:rPr>
            </w:pPr>
            <w:r>
              <w:rPr>
                <w:rFonts w:hint="eastAsia" w:ascii="Times New Roman"/>
                <w:szCs w:val="21"/>
                <w:lang w:val="en-US" w:eastAsia="zh-CN"/>
              </w:rPr>
              <w:t>0.005</w:t>
            </w:r>
          </w:p>
        </w:tc>
        <w:tc>
          <w:tcPr>
            <w:tcW w:w="473" w:type="pct"/>
            <w:vAlign w:val="center"/>
          </w:tcPr>
          <w:p w14:paraId="013B0052">
            <w:pPr>
              <w:pStyle w:val="32"/>
              <w:spacing w:beforeLines="0" w:afterLines="0" w:line="240" w:lineRule="auto"/>
              <w:rPr>
                <w:rFonts w:hint="default" w:ascii="Times New Roman" w:eastAsia="宋体"/>
                <w:szCs w:val="21"/>
                <w:lang w:val="en-US" w:eastAsia="zh-CN"/>
              </w:rPr>
            </w:pPr>
            <w:r>
              <w:rPr>
                <w:rFonts w:ascii="Times New Roman"/>
                <w:szCs w:val="21"/>
              </w:rPr>
              <w:t>+</w:t>
            </w:r>
            <w:r>
              <w:rPr>
                <w:rFonts w:hint="eastAsia" w:ascii="Times New Roman"/>
                <w:szCs w:val="21"/>
                <w:lang w:val="en-US" w:eastAsia="zh-CN"/>
              </w:rPr>
              <w:t>0.005</w:t>
            </w:r>
          </w:p>
        </w:tc>
      </w:tr>
      <w:tr w14:paraId="517F64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restart"/>
            <w:vAlign w:val="center"/>
          </w:tcPr>
          <w:p w14:paraId="49324003">
            <w:pPr>
              <w:pStyle w:val="32"/>
              <w:spacing w:beforeLines="0" w:afterLines="0" w:line="240" w:lineRule="auto"/>
              <w:rPr>
                <w:rFonts w:ascii="Times New Roman"/>
                <w:snapToGrid w:val="0"/>
                <w:kern w:val="21"/>
                <w:szCs w:val="21"/>
              </w:rPr>
            </w:pPr>
            <w:r>
              <w:rPr>
                <w:rFonts w:ascii="Times New Roman"/>
                <w:snapToGrid w:val="0"/>
                <w:kern w:val="21"/>
                <w:szCs w:val="21"/>
              </w:rPr>
              <w:t>废水</w:t>
            </w:r>
          </w:p>
        </w:tc>
        <w:tc>
          <w:tcPr>
            <w:tcW w:w="589" w:type="pct"/>
            <w:vAlign w:val="center"/>
          </w:tcPr>
          <w:p w14:paraId="27CE8D88">
            <w:pPr>
              <w:pStyle w:val="32"/>
              <w:spacing w:beforeLines="0" w:afterLines="0" w:line="240" w:lineRule="auto"/>
              <w:rPr>
                <w:rFonts w:ascii="Times New Roman"/>
                <w:snapToGrid w:val="0"/>
                <w:kern w:val="21"/>
                <w:szCs w:val="21"/>
              </w:rPr>
            </w:pPr>
            <w:r>
              <w:rPr>
                <w:rFonts w:ascii="Times New Roman"/>
                <w:snapToGrid w:val="0"/>
                <w:kern w:val="21"/>
                <w:szCs w:val="21"/>
              </w:rPr>
              <w:t>废水量（t/a）</w:t>
            </w:r>
          </w:p>
        </w:tc>
        <w:tc>
          <w:tcPr>
            <w:tcW w:w="541" w:type="pct"/>
            <w:vAlign w:val="center"/>
          </w:tcPr>
          <w:p w14:paraId="3A185719">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462" w:type="pct"/>
            <w:vAlign w:val="center"/>
          </w:tcPr>
          <w:p w14:paraId="52D238DE">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vAlign w:val="center"/>
          </w:tcPr>
          <w:p w14:paraId="65DC6DDE">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565" w:type="pct"/>
            <w:vAlign w:val="center"/>
          </w:tcPr>
          <w:p w14:paraId="546FD9F4">
            <w:pPr>
              <w:pStyle w:val="32"/>
              <w:spacing w:beforeLines="0" w:afterLines="0" w:line="240" w:lineRule="auto"/>
              <w:rPr>
                <w:rFonts w:hint="default" w:ascii="Times New Roman" w:eastAsia="宋体"/>
                <w:snapToGrid w:val="0"/>
                <w:kern w:val="21"/>
                <w:szCs w:val="21"/>
                <w:lang w:val="en-US" w:eastAsia="zh-CN"/>
              </w:rPr>
            </w:pPr>
            <w:r>
              <w:rPr>
                <w:rFonts w:hint="eastAsia" w:ascii="Times New Roman"/>
                <w:snapToGrid w:val="0"/>
                <w:kern w:val="21"/>
                <w:szCs w:val="21"/>
                <w:lang w:val="en-US" w:eastAsia="zh-CN"/>
              </w:rPr>
              <w:t>637.5</w:t>
            </w:r>
          </w:p>
        </w:tc>
        <w:tc>
          <w:tcPr>
            <w:tcW w:w="556" w:type="pct"/>
            <w:vAlign w:val="center"/>
          </w:tcPr>
          <w:p w14:paraId="62094C97">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vAlign w:val="center"/>
          </w:tcPr>
          <w:p w14:paraId="19CC2CBA">
            <w:pPr>
              <w:pStyle w:val="32"/>
              <w:spacing w:beforeLines="0" w:afterLines="0" w:line="240" w:lineRule="auto"/>
              <w:rPr>
                <w:rFonts w:hint="default" w:ascii="Times New Roman" w:eastAsia="宋体"/>
                <w:snapToGrid w:val="0"/>
                <w:kern w:val="21"/>
                <w:szCs w:val="21"/>
                <w:lang w:val="en-US" w:eastAsia="zh-CN"/>
              </w:rPr>
            </w:pPr>
            <w:r>
              <w:rPr>
                <w:rFonts w:hint="eastAsia" w:ascii="Times New Roman"/>
                <w:snapToGrid w:val="0"/>
                <w:kern w:val="21"/>
                <w:szCs w:val="21"/>
                <w:lang w:val="en-US" w:eastAsia="zh-CN"/>
              </w:rPr>
              <w:t>637.5</w:t>
            </w:r>
          </w:p>
        </w:tc>
        <w:tc>
          <w:tcPr>
            <w:tcW w:w="473" w:type="pct"/>
            <w:vAlign w:val="center"/>
          </w:tcPr>
          <w:p w14:paraId="48DC9650">
            <w:pPr>
              <w:pStyle w:val="32"/>
              <w:spacing w:beforeLines="0" w:afterLines="0" w:line="240" w:lineRule="auto"/>
              <w:rPr>
                <w:rFonts w:hint="default" w:ascii="Times New Roman" w:eastAsia="宋体"/>
                <w:snapToGrid w:val="0"/>
                <w:kern w:val="21"/>
                <w:szCs w:val="21"/>
                <w:lang w:val="en-US" w:eastAsia="zh-CN"/>
              </w:rPr>
            </w:pPr>
            <w:r>
              <w:rPr>
                <w:rFonts w:ascii="Times New Roman"/>
                <w:szCs w:val="21"/>
              </w:rPr>
              <w:t>+</w:t>
            </w:r>
            <w:r>
              <w:rPr>
                <w:rFonts w:hint="eastAsia" w:ascii="Times New Roman"/>
                <w:snapToGrid w:val="0"/>
                <w:kern w:val="21"/>
                <w:szCs w:val="21"/>
                <w:lang w:val="en-US" w:eastAsia="zh-CN"/>
              </w:rPr>
              <w:t>637.5</w:t>
            </w:r>
          </w:p>
        </w:tc>
      </w:tr>
      <w:tr w14:paraId="077BC2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continue"/>
            <w:vAlign w:val="center"/>
          </w:tcPr>
          <w:p w14:paraId="177200F0">
            <w:pPr>
              <w:pStyle w:val="32"/>
              <w:spacing w:beforeLines="0" w:afterLines="0" w:line="240" w:lineRule="auto"/>
              <w:rPr>
                <w:rFonts w:ascii="Times New Roman"/>
                <w:snapToGrid w:val="0"/>
                <w:kern w:val="21"/>
                <w:szCs w:val="21"/>
              </w:rPr>
            </w:pPr>
          </w:p>
        </w:tc>
        <w:tc>
          <w:tcPr>
            <w:tcW w:w="589" w:type="pct"/>
            <w:shd w:val="clear" w:color="auto" w:fill="auto"/>
            <w:vAlign w:val="center"/>
          </w:tcPr>
          <w:p w14:paraId="0B9AC617">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rPr>
              <w:t>COD</w:t>
            </w:r>
          </w:p>
        </w:tc>
        <w:tc>
          <w:tcPr>
            <w:tcW w:w="541" w:type="pct"/>
            <w:vAlign w:val="center"/>
          </w:tcPr>
          <w:p w14:paraId="4BAE1E19">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462" w:type="pct"/>
            <w:vAlign w:val="center"/>
          </w:tcPr>
          <w:p w14:paraId="71C57255">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vAlign w:val="center"/>
          </w:tcPr>
          <w:p w14:paraId="3EC00B22">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565" w:type="pct"/>
            <w:shd w:val="clear" w:color="auto" w:fill="auto"/>
            <w:vAlign w:val="center"/>
          </w:tcPr>
          <w:p w14:paraId="6877F2B0">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olor w:val="auto"/>
                <w:kern w:val="0"/>
                <w:szCs w:val="21"/>
                <w:lang w:bidi="ar"/>
              </w:rPr>
              <w:t>0.1</w:t>
            </w:r>
            <w:r>
              <w:rPr>
                <w:rFonts w:hint="eastAsia"/>
                <w:color w:val="auto"/>
                <w:kern w:val="0"/>
                <w:szCs w:val="21"/>
                <w:lang w:val="en-US" w:eastAsia="zh-CN" w:bidi="ar"/>
              </w:rPr>
              <w:t>91</w:t>
            </w:r>
          </w:p>
        </w:tc>
        <w:tc>
          <w:tcPr>
            <w:tcW w:w="556" w:type="pct"/>
            <w:vAlign w:val="center"/>
          </w:tcPr>
          <w:p w14:paraId="5CA633E2">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shd w:val="clear" w:color="auto" w:fill="auto"/>
            <w:vAlign w:val="center"/>
          </w:tcPr>
          <w:p w14:paraId="6F215F28">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olor w:val="auto"/>
                <w:kern w:val="0"/>
                <w:szCs w:val="21"/>
                <w:lang w:bidi="ar"/>
              </w:rPr>
              <w:t>0.1</w:t>
            </w:r>
            <w:r>
              <w:rPr>
                <w:rFonts w:hint="eastAsia"/>
                <w:color w:val="auto"/>
                <w:kern w:val="0"/>
                <w:szCs w:val="21"/>
                <w:lang w:val="en-US" w:eastAsia="zh-CN" w:bidi="ar"/>
              </w:rPr>
              <w:t>91</w:t>
            </w:r>
          </w:p>
        </w:tc>
        <w:tc>
          <w:tcPr>
            <w:tcW w:w="473" w:type="pct"/>
            <w:shd w:val="clear" w:color="auto" w:fill="auto"/>
            <w:vAlign w:val="center"/>
          </w:tcPr>
          <w:p w14:paraId="6E4C7D9C">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olor w:val="auto"/>
                <w:kern w:val="0"/>
                <w:szCs w:val="21"/>
                <w:lang w:val="en-US" w:eastAsia="zh-CN" w:bidi="ar"/>
              </w:rPr>
              <w:t>+</w:t>
            </w:r>
            <w:r>
              <w:rPr>
                <w:rFonts w:hint="eastAsia"/>
                <w:color w:val="auto"/>
                <w:kern w:val="0"/>
                <w:szCs w:val="21"/>
                <w:lang w:bidi="ar"/>
              </w:rPr>
              <w:t>0.1</w:t>
            </w:r>
            <w:r>
              <w:rPr>
                <w:rFonts w:hint="eastAsia"/>
                <w:color w:val="auto"/>
                <w:kern w:val="0"/>
                <w:szCs w:val="21"/>
                <w:lang w:val="en-US" w:eastAsia="zh-CN" w:bidi="ar"/>
              </w:rPr>
              <w:t>91</w:t>
            </w:r>
          </w:p>
        </w:tc>
      </w:tr>
      <w:tr w14:paraId="27085E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continue"/>
            <w:vAlign w:val="center"/>
          </w:tcPr>
          <w:p w14:paraId="6F2B5C5F">
            <w:pPr>
              <w:pStyle w:val="32"/>
              <w:spacing w:beforeLines="0" w:afterLines="0" w:line="240" w:lineRule="auto"/>
              <w:rPr>
                <w:rFonts w:ascii="Times New Roman"/>
                <w:snapToGrid w:val="0"/>
                <w:kern w:val="21"/>
                <w:szCs w:val="21"/>
              </w:rPr>
            </w:pPr>
          </w:p>
        </w:tc>
        <w:tc>
          <w:tcPr>
            <w:tcW w:w="589" w:type="pct"/>
            <w:shd w:val="clear" w:color="auto" w:fill="auto"/>
            <w:vAlign w:val="center"/>
          </w:tcPr>
          <w:p w14:paraId="6D838C8A">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rPr>
              <w:t>BOD</w:t>
            </w:r>
            <w:r>
              <w:rPr>
                <w:rFonts w:hint="eastAsia"/>
                <w:color w:val="auto"/>
                <w:szCs w:val="21"/>
                <w:vertAlign w:val="subscript"/>
              </w:rPr>
              <w:t>5</w:t>
            </w:r>
          </w:p>
        </w:tc>
        <w:tc>
          <w:tcPr>
            <w:tcW w:w="541" w:type="pct"/>
            <w:vAlign w:val="center"/>
          </w:tcPr>
          <w:p w14:paraId="6AB376DA">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462" w:type="pct"/>
            <w:vAlign w:val="center"/>
          </w:tcPr>
          <w:p w14:paraId="01E3789E">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vAlign w:val="center"/>
          </w:tcPr>
          <w:p w14:paraId="0E96FCB3">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565" w:type="pct"/>
            <w:shd w:val="clear" w:color="auto" w:fill="auto"/>
            <w:vAlign w:val="center"/>
          </w:tcPr>
          <w:p w14:paraId="51691474">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eastAsia="宋体"/>
                <w:color w:val="auto"/>
                <w:kern w:val="0"/>
                <w:szCs w:val="21"/>
                <w:lang w:val="en-US" w:eastAsia="zh-CN" w:bidi="ar"/>
              </w:rPr>
              <w:t>0.099</w:t>
            </w:r>
          </w:p>
        </w:tc>
        <w:tc>
          <w:tcPr>
            <w:tcW w:w="556" w:type="pct"/>
            <w:vAlign w:val="center"/>
          </w:tcPr>
          <w:p w14:paraId="4742842D">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shd w:val="clear" w:color="auto" w:fill="auto"/>
            <w:vAlign w:val="center"/>
          </w:tcPr>
          <w:p w14:paraId="5DD58A9D">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eastAsia="宋体"/>
                <w:color w:val="auto"/>
                <w:kern w:val="0"/>
                <w:szCs w:val="21"/>
                <w:lang w:val="en-US" w:eastAsia="zh-CN" w:bidi="ar"/>
              </w:rPr>
              <w:t>0.099</w:t>
            </w:r>
          </w:p>
        </w:tc>
        <w:tc>
          <w:tcPr>
            <w:tcW w:w="473" w:type="pct"/>
            <w:shd w:val="clear" w:color="auto" w:fill="auto"/>
            <w:vAlign w:val="center"/>
          </w:tcPr>
          <w:p w14:paraId="643381D3">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eastAsia="宋体"/>
                <w:color w:val="auto"/>
                <w:kern w:val="0"/>
                <w:szCs w:val="21"/>
                <w:lang w:val="en-US" w:eastAsia="zh-CN" w:bidi="ar"/>
              </w:rPr>
              <w:t>+0.099</w:t>
            </w:r>
          </w:p>
        </w:tc>
      </w:tr>
      <w:tr w14:paraId="359AD47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continue"/>
            <w:vAlign w:val="center"/>
          </w:tcPr>
          <w:p w14:paraId="301E3245">
            <w:pPr>
              <w:pStyle w:val="32"/>
              <w:spacing w:beforeLines="0" w:afterLines="0" w:line="240" w:lineRule="auto"/>
              <w:rPr>
                <w:rFonts w:ascii="Times New Roman"/>
                <w:snapToGrid w:val="0"/>
                <w:kern w:val="21"/>
                <w:szCs w:val="21"/>
              </w:rPr>
            </w:pPr>
          </w:p>
        </w:tc>
        <w:tc>
          <w:tcPr>
            <w:tcW w:w="589" w:type="pct"/>
            <w:shd w:val="clear" w:color="auto" w:fill="auto"/>
            <w:vAlign w:val="center"/>
          </w:tcPr>
          <w:p w14:paraId="36C9F87C">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rPr>
              <w:t>SS</w:t>
            </w:r>
          </w:p>
        </w:tc>
        <w:tc>
          <w:tcPr>
            <w:tcW w:w="541" w:type="pct"/>
            <w:vAlign w:val="center"/>
          </w:tcPr>
          <w:p w14:paraId="0C160615">
            <w:pPr>
              <w:pStyle w:val="32"/>
              <w:spacing w:beforeLines="0" w:afterLines="0" w:line="240" w:lineRule="auto"/>
              <w:rPr>
                <w:rFonts w:hint="eastAsia" w:ascii="Times New Roman" w:eastAsia="宋体"/>
                <w:snapToGrid w:val="0"/>
                <w:kern w:val="21"/>
                <w:szCs w:val="21"/>
                <w:lang w:val="en-US" w:eastAsia="zh-CN"/>
              </w:rPr>
            </w:pPr>
            <w:r>
              <w:rPr>
                <w:rFonts w:hint="eastAsia" w:ascii="Times New Roman"/>
                <w:snapToGrid w:val="0"/>
                <w:kern w:val="21"/>
                <w:szCs w:val="21"/>
                <w:lang w:val="en-US" w:eastAsia="zh-CN"/>
              </w:rPr>
              <w:t>0</w:t>
            </w:r>
          </w:p>
        </w:tc>
        <w:tc>
          <w:tcPr>
            <w:tcW w:w="462" w:type="pct"/>
            <w:vAlign w:val="center"/>
          </w:tcPr>
          <w:p w14:paraId="120D9AC5">
            <w:pPr>
              <w:pStyle w:val="32"/>
              <w:spacing w:beforeLines="0" w:afterLines="0" w:line="240" w:lineRule="auto"/>
              <w:rPr>
                <w:rFonts w:hint="eastAsia" w:ascii="Times New Roman" w:eastAsia="宋体"/>
                <w:snapToGrid w:val="0"/>
                <w:kern w:val="21"/>
                <w:szCs w:val="21"/>
                <w:lang w:val="en-US" w:eastAsia="zh-CN"/>
              </w:rPr>
            </w:pPr>
            <w:r>
              <w:rPr>
                <w:rFonts w:hint="eastAsia" w:ascii="Times New Roman"/>
                <w:snapToGrid w:val="0"/>
                <w:kern w:val="21"/>
                <w:szCs w:val="21"/>
                <w:lang w:val="en-US" w:eastAsia="zh-CN"/>
              </w:rPr>
              <w:t>0</w:t>
            </w:r>
          </w:p>
        </w:tc>
        <w:tc>
          <w:tcPr>
            <w:tcW w:w="617" w:type="pct"/>
            <w:vAlign w:val="center"/>
          </w:tcPr>
          <w:p w14:paraId="78758FAC">
            <w:pPr>
              <w:pStyle w:val="32"/>
              <w:spacing w:beforeLines="0" w:afterLines="0" w:line="240" w:lineRule="auto"/>
              <w:rPr>
                <w:rFonts w:hint="eastAsia" w:ascii="Times New Roman" w:eastAsia="宋体"/>
                <w:snapToGrid w:val="0"/>
                <w:kern w:val="21"/>
                <w:szCs w:val="21"/>
                <w:lang w:val="en-US" w:eastAsia="zh-CN"/>
              </w:rPr>
            </w:pPr>
            <w:r>
              <w:rPr>
                <w:rFonts w:hint="eastAsia" w:ascii="Times New Roman"/>
                <w:snapToGrid w:val="0"/>
                <w:kern w:val="21"/>
                <w:szCs w:val="21"/>
                <w:lang w:val="en-US" w:eastAsia="zh-CN"/>
              </w:rPr>
              <w:t>0</w:t>
            </w:r>
          </w:p>
        </w:tc>
        <w:tc>
          <w:tcPr>
            <w:tcW w:w="565" w:type="pct"/>
            <w:shd w:val="clear" w:color="auto" w:fill="auto"/>
            <w:vAlign w:val="center"/>
          </w:tcPr>
          <w:p w14:paraId="6B295C20">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olor w:val="auto"/>
                <w:kern w:val="0"/>
                <w:szCs w:val="21"/>
                <w:lang w:bidi="ar"/>
              </w:rPr>
              <w:t>0.1</w:t>
            </w:r>
            <w:r>
              <w:rPr>
                <w:rFonts w:hint="eastAsia"/>
                <w:color w:val="auto"/>
                <w:kern w:val="0"/>
                <w:szCs w:val="21"/>
                <w:lang w:val="en-US" w:eastAsia="zh-CN" w:bidi="ar"/>
              </w:rPr>
              <w:t>28</w:t>
            </w:r>
          </w:p>
        </w:tc>
        <w:tc>
          <w:tcPr>
            <w:tcW w:w="556" w:type="pct"/>
            <w:vAlign w:val="center"/>
          </w:tcPr>
          <w:p w14:paraId="2A2BABB8">
            <w:pPr>
              <w:pStyle w:val="32"/>
              <w:spacing w:beforeLines="0" w:afterLines="0" w:line="240" w:lineRule="auto"/>
              <w:rPr>
                <w:rFonts w:hint="eastAsia" w:ascii="Times New Roman" w:eastAsia="宋体"/>
                <w:snapToGrid w:val="0"/>
                <w:kern w:val="21"/>
                <w:szCs w:val="21"/>
                <w:lang w:val="en-US" w:eastAsia="zh-CN"/>
              </w:rPr>
            </w:pPr>
            <w:r>
              <w:rPr>
                <w:rFonts w:hint="eastAsia" w:ascii="Times New Roman"/>
                <w:snapToGrid w:val="0"/>
                <w:kern w:val="21"/>
                <w:szCs w:val="21"/>
                <w:lang w:val="en-US" w:eastAsia="zh-CN"/>
              </w:rPr>
              <w:t>0</w:t>
            </w:r>
          </w:p>
        </w:tc>
        <w:tc>
          <w:tcPr>
            <w:tcW w:w="617" w:type="pct"/>
            <w:shd w:val="clear" w:color="auto" w:fill="auto"/>
            <w:vAlign w:val="center"/>
          </w:tcPr>
          <w:p w14:paraId="402E4512">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olor w:val="auto"/>
                <w:kern w:val="0"/>
                <w:szCs w:val="21"/>
                <w:lang w:bidi="ar"/>
              </w:rPr>
              <w:t>0.1</w:t>
            </w:r>
            <w:r>
              <w:rPr>
                <w:rFonts w:hint="eastAsia"/>
                <w:color w:val="auto"/>
                <w:kern w:val="0"/>
                <w:szCs w:val="21"/>
                <w:lang w:val="en-US" w:eastAsia="zh-CN" w:bidi="ar"/>
              </w:rPr>
              <w:t>28</w:t>
            </w:r>
          </w:p>
        </w:tc>
        <w:tc>
          <w:tcPr>
            <w:tcW w:w="473" w:type="pct"/>
            <w:shd w:val="clear" w:color="auto" w:fill="auto"/>
            <w:vAlign w:val="center"/>
          </w:tcPr>
          <w:p w14:paraId="6D8F16DB">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olor w:val="auto"/>
                <w:kern w:val="0"/>
                <w:szCs w:val="21"/>
                <w:lang w:val="en-US" w:eastAsia="zh-CN" w:bidi="ar"/>
              </w:rPr>
              <w:t>+</w:t>
            </w:r>
            <w:r>
              <w:rPr>
                <w:rFonts w:hint="eastAsia"/>
                <w:color w:val="auto"/>
                <w:kern w:val="0"/>
                <w:szCs w:val="21"/>
                <w:lang w:bidi="ar"/>
              </w:rPr>
              <w:t>0.1</w:t>
            </w:r>
            <w:r>
              <w:rPr>
                <w:rFonts w:hint="eastAsia"/>
                <w:color w:val="auto"/>
                <w:kern w:val="0"/>
                <w:szCs w:val="21"/>
                <w:lang w:val="en-US" w:eastAsia="zh-CN" w:bidi="ar"/>
              </w:rPr>
              <w:t>28</w:t>
            </w:r>
          </w:p>
        </w:tc>
      </w:tr>
      <w:tr w14:paraId="3DDDBE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continue"/>
            <w:vAlign w:val="center"/>
          </w:tcPr>
          <w:p w14:paraId="4EA3DC6C">
            <w:pPr>
              <w:pStyle w:val="32"/>
              <w:spacing w:beforeLines="0" w:afterLines="0" w:line="240" w:lineRule="auto"/>
              <w:rPr>
                <w:rFonts w:ascii="Times New Roman"/>
                <w:snapToGrid w:val="0"/>
                <w:kern w:val="21"/>
                <w:szCs w:val="21"/>
              </w:rPr>
            </w:pPr>
          </w:p>
        </w:tc>
        <w:tc>
          <w:tcPr>
            <w:tcW w:w="589" w:type="pct"/>
            <w:shd w:val="clear" w:color="auto" w:fill="auto"/>
            <w:vAlign w:val="center"/>
          </w:tcPr>
          <w:p w14:paraId="1E4144F9">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rPr>
              <w:t>TN</w:t>
            </w:r>
          </w:p>
        </w:tc>
        <w:tc>
          <w:tcPr>
            <w:tcW w:w="541" w:type="pct"/>
            <w:vAlign w:val="center"/>
          </w:tcPr>
          <w:p w14:paraId="0CA3791D">
            <w:pPr>
              <w:pStyle w:val="32"/>
              <w:spacing w:beforeLines="0" w:afterLines="0" w:line="240" w:lineRule="auto"/>
              <w:rPr>
                <w:rFonts w:hint="eastAsia" w:ascii="Times New Roman" w:eastAsia="宋体"/>
                <w:snapToGrid w:val="0"/>
                <w:kern w:val="21"/>
                <w:szCs w:val="21"/>
                <w:lang w:val="en-US" w:eastAsia="zh-CN"/>
              </w:rPr>
            </w:pPr>
            <w:r>
              <w:rPr>
                <w:rFonts w:hint="eastAsia" w:ascii="Times New Roman"/>
                <w:snapToGrid w:val="0"/>
                <w:kern w:val="21"/>
                <w:szCs w:val="21"/>
                <w:lang w:val="en-US" w:eastAsia="zh-CN"/>
              </w:rPr>
              <w:t>0</w:t>
            </w:r>
          </w:p>
        </w:tc>
        <w:tc>
          <w:tcPr>
            <w:tcW w:w="462" w:type="pct"/>
            <w:vAlign w:val="center"/>
          </w:tcPr>
          <w:p w14:paraId="4F68294D">
            <w:pPr>
              <w:pStyle w:val="32"/>
              <w:spacing w:beforeLines="0" w:afterLines="0" w:line="240" w:lineRule="auto"/>
              <w:rPr>
                <w:rFonts w:hint="eastAsia" w:ascii="Times New Roman" w:eastAsia="宋体"/>
                <w:snapToGrid w:val="0"/>
                <w:kern w:val="21"/>
                <w:szCs w:val="21"/>
                <w:lang w:val="en-US" w:eastAsia="zh-CN"/>
              </w:rPr>
            </w:pPr>
            <w:r>
              <w:rPr>
                <w:rFonts w:hint="eastAsia" w:ascii="Times New Roman"/>
                <w:snapToGrid w:val="0"/>
                <w:kern w:val="21"/>
                <w:szCs w:val="21"/>
                <w:lang w:val="en-US" w:eastAsia="zh-CN"/>
              </w:rPr>
              <w:t>0</w:t>
            </w:r>
          </w:p>
        </w:tc>
        <w:tc>
          <w:tcPr>
            <w:tcW w:w="617" w:type="pct"/>
            <w:vAlign w:val="center"/>
          </w:tcPr>
          <w:p w14:paraId="6C932AD9">
            <w:pPr>
              <w:pStyle w:val="32"/>
              <w:spacing w:beforeLines="0" w:afterLines="0" w:line="240" w:lineRule="auto"/>
              <w:rPr>
                <w:rFonts w:hint="eastAsia" w:ascii="Times New Roman" w:eastAsia="宋体"/>
                <w:snapToGrid w:val="0"/>
                <w:kern w:val="21"/>
                <w:szCs w:val="21"/>
                <w:lang w:val="en-US" w:eastAsia="zh-CN"/>
              </w:rPr>
            </w:pPr>
            <w:r>
              <w:rPr>
                <w:rFonts w:hint="eastAsia" w:ascii="Times New Roman"/>
                <w:snapToGrid w:val="0"/>
                <w:kern w:val="21"/>
                <w:szCs w:val="21"/>
                <w:lang w:val="en-US" w:eastAsia="zh-CN"/>
              </w:rPr>
              <w:t>0</w:t>
            </w:r>
          </w:p>
        </w:tc>
        <w:tc>
          <w:tcPr>
            <w:tcW w:w="565" w:type="pct"/>
            <w:shd w:val="clear" w:color="auto" w:fill="auto"/>
            <w:vAlign w:val="center"/>
          </w:tcPr>
          <w:p w14:paraId="231BEB20">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
              </w:rPr>
            </w:pPr>
            <w:r>
              <w:rPr>
                <w:rFonts w:hint="eastAsia"/>
                <w:color w:val="auto"/>
                <w:kern w:val="0"/>
                <w:szCs w:val="21"/>
                <w:lang w:bidi="ar"/>
              </w:rPr>
              <w:t>0.0</w:t>
            </w:r>
            <w:r>
              <w:rPr>
                <w:rFonts w:hint="eastAsia"/>
                <w:color w:val="auto"/>
                <w:kern w:val="0"/>
                <w:szCs w:val="21"/>
                <w:lang w:val="en-US" w:eastAsia="zh-CN" w:bidi="ar"/>
              </w:rPr>
              <w:t>29</w:t>
            </w:r>
          </w:p>
        </w:tc>
        <w:tc>
          <w:tcPr>
            <w:tcW w:w="556" w:type="pct"/>
            <w:vAlign w:val="center"/>
          </w:tcPr>
          <w:p w14:paraId="41FF34AC">
            <w:pPr>
              <w:pStyle w:val="32"/>
              <w:spacing w:beforeLines="0" w:afterLines="0" w:line="240" w:lineRule="auto"/>
              <w:rPr>
                <w:rFonts w:hint="eastAsia" w:ascii="Times New Roman" w:eastAsia="宋体"/>
                <w:snapToGrid w:val="0"/>
                <w:kern w:val="21"/>
                <w:szCs w:val="21"/>
                <w:lang w:val="en-US" w:eastAsia="zh-CN"/>
              </w:rPr>
            </w:pPr>
            <w:r>
              <w:rPr>
                <w:rFonts w:hint="eastAsia" w:ascii="Times New Roman"/>
                <w:snapToGrid w:val="0"/>
                <w:kern w:val="21"/>
                <w:szCs w:val="21"/>
                <w:lang w:val="en-US" w:eastAsia="zh-CN"/>
              </w:rPr>
              <w:t>0</w:t>
            </w:r>
          </w:p>
        </w:tc>
        <w:tc>
          <w:tcPr>
            <w:tcW w:w="617" w:type="pct"/>
            <w:shd w:val="clear" w:color="auto" w:fill="auto"/>
            <w:vAlign w:val="center"/>
          </w:tcPr>
          <w:p w14:paraId="68BB6960">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
              </w:rPr>
            </w:pPr>
            <w:r>
              <w:rPr>
                <w:rFonts w:hint="eastAsia"/>
                <w:color w:val="auto"/>
                <w:kern w:val="0"/>
                <w:szCs w:val="21"/>
                <w:lang w:bidi="ar"/>
              </w:rPr>
              <w:t>0.0</w:t>
            </w:r>
            <w:r>
              <w:rPr>
                <w:rFonts w:hint="eastAsia"/>
                <w:color w:val="auto"/>
                <w:kern w:val="0"/>
                <w:szCs w:val="21"/>
                <w:lang w:val="en-US" w:eastAsia="zh-CN" w:bidi="ar"/>
              </w:rPr>
              <w:t>29</w:t>
            </w:r>
          </w:p>
        </w:tc>
        <w:tc>
          <w:tcPr>
            <w:tcW w:w="473" w:type="pct"/>
            <w:shd w:val="clear" w:color="auto" w:fill="auto"/>
            <w:vAlign w:val="center"/>
          </w:tcPr>
          <w:p w14:paraId="2B95C12B">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
              </w:rPr>
            </w:pPr>
            <w:r>
              <w:rPr>
                <w:rFonts w:hint="eastAsia"/>
                <w:color w:val="auto"/>
                <w:kern w:val="0"/>
                <w:szCs w:val="21"/>
                <w:lang w:val="en-US" w:eastAsia="zh-CN" w:bidi="ar"/>
              </w:rPr>
              <w:t>+</w:t>
            </w:r>
            <w:r>
              <w:rPr>
                <w:rFonts w:hint="eastAsia"/>
                <w:color w:val="auto"/>
                <w:kern w:val="0"/>
                <w:szCs w:val="21"/>
                <w:lang w:bidi="ar"/>
              </w:rPr>
              <w:t>0.0</w:t>
            </w:r>
            <w:r>
              <w:rPr>
                <w:rFonts w:hint="eastAsia"/>
                <w:color w:val="auto"/>
                <w:kern w:val="0"/>
                <w:szCs w:val="21"/>
                <w:lang w:val="en-US" w:eastAsia="zh-CN" w:bidi="ar"/>
              </w:rPr>
              <w:t>29</w:t>
            </w:r>
          </w:p>
        </w:tc>
      </w:tr>
      <w:tr w14:paraId="6A2AA37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continue"/>
            <w:vAlign w:val="center"/>
          </w:tcPr>
          <w:p w14:paraId="7D2FF5D0">
            <w:pPr>
              <w:pStyle w:val="32"/>
              <w:spacing w:beforeLines="0" w:afterLines="0" w:line="240" w:lineRule="auto"/>
              <w:rPr>
                <w:rFonts w:ascii="Times New Roman"/>
                <w:snapToGrid w:val="0"/>
                <w:kern w:val="21"/>
                <w:szCs w:val="21"/>
              </w:rPr>
            </w:pPr>
          </w:p>
        </w:tc>
        <w:tc>
          <w:tcPr>
            <w:tcW w:w="589" w:type="pct"/>
            <w:shd w:val="clear" w:color="auto" w:fill="auto"/>
            <w:vAlign w:val="center"/>
          </w:tcPr>
          <w:p w14:paraId="65E3F551">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rPr>
              <w:t>TP</w:t>
            </w:r>
          </w:p>
        </w:tc>
        <w:tc>
          <w:tcPr>
            <w:tcW w:w="541" w:type="pct"/>
            <w:vAlign w:val="center"/>
          </w:tcPr>
          <w:p w14:paraId="02628A84">
            <w:pPr>
              <w:pStyle w:val="32"/>
              <w:spacing w:beforeLines="0" w:afterLines="0" w:line="240" w:lineRule="auto"/>
              <w:rPr>
                <w:rFonts w:hint="eastAsia" w:ascii="Times New Roman" w:eastAsia="宋体"/>
                <w:snapToGrid w:val="0"/>
                <w:kern w:val="21"/>
                <w:szCs w:val="21"/>
                <w:lang w:val="en-US" w:eastAsia="zh-CN"/>
              </w:rPr>
            </w:pPr>
            <w:r>
              <w:rPr>
                <w:rFonts w:hint="eastAsia" w:ascii="Times New Roman"/>
                <w:snapToGrid w:val="0"/>
                <w:kern w:val="21"/>
                <w:szCs w:val="21"/>
                <w:lang w:val="en-US" w:eastAsia="zh-CN"/>
              </w:rPr>
              <w:t>0</w:t>
            </w:r>
          </w:p>
        </w:tc>
        <w:tc>
          <w:tcPr>
            <w:tcW w:w="462" w:type="pct"/>
            <w:vAlign w:val="center"/>
          </w:tcPr>
          <w:p w14:paraId="0F71475D">
            <w:pPr>
              <w:pStyle w:val="32"/>
              <w:spacing w:beforeLines="0" w:afterLines="0" w:line="240" w:lineRule="auto"/>
              <w:rPr>
                <w:rFonts w:hint="eastAsia" w:ascii="Times New Roman" w:eastAsia="宋体"/>
                <w:snapToGrid w:val="0"/>
                <w:kern w:val="21"/>
                <w:szCs w:val="21"/>
                <w:lang w:val="en-US" w:eastAsia="zh-CN"/>
              </w:rPr>
            </w:pPr>
            <w:r>
              <w:rPr>
                <w:rFonts w:hint="eastAsia" w:ascii="Times New Roman"/>
                <w:snapToGrid w:val="0"/>
                <w:kern w:val="21"/>
                <w:szCs w:val="21"/>
                <w:lang w:val="en-US" w:eastAsia="zh-CN"/>
              </w:rPr>
              <w:t>0</w:t>
            </w:r>
          </w:p>
        </w:tc>
        <w:tc>
          <w:tcPr>
            <w:tcW w:w="617" w:type="pct"/>
            <w:vAlign w:val="center"/>
          </w:tcPr>
          <w:p w14:paraId="11AC1278">
            <w:pPr>
              <w:pStyle w:val="32"/>
              <w:spacing w:beforeLines="0" w:afterLines="0" w:line="240" w:lineRule="auto"/>
              <w:rPr>
                <w:rFonts w:hint="eastAsia" w:ascii="Times New Roman" w:eastAsia="宋体"/>
                <w:snapToGrid w:val="0"/>
                <w:kern w:val="21"/>
                <w:szCs w:val="21"/>
                <w:lang w:val="en-US" w:eastAsia="zh-CN"/>
              </w:rPr>
            </w:pPr>
            <w:r>
              <w:rPr>
                <w:rFonts w:hint="eastAsia" w:ascii="Times New Roman"/>
                <w:snapToGrid w:val="0"/>
                <w:kern w:val="21"/>
                <w:szCs w:val="21"/>
                <w:lang w:val="en-US" w:eastAsia="zh-CN"/>
              </w:rPr>
              <w:t>0</w:t>
            </w:r>
          </w:p>
        </w:tc>
        <w:tc>
          <w:tcPr>
            <w:tcW w:w="565" w:type="pct"/>
            <w:shd w:val="clear" w:color="auto" w:fill="auto"/>
            <w:vAlign w:val="center"/>
          </w:tcPr>
          <w:p w14:paraId="3DBC1752">
            <w:pPr>
              <w:keepNext w:val="0"/>
              <w:keepLines w:val="0"/>
              <w:widowControl/>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auto"/>
                <w:kern w:val="0"/>
                <w:sz w:val="21"/>
                <w:szCs w:val="21"/>
                <w:lang w:val="en-US" w:eastAsia="zh-CN" w:bidi="ar"/>
              </w:rPr>
            </w:pPr>
            <w:r>
              <w:rPr>
                <w:rFonts w:hint="eastAsia"/>
                <w:color w:val="auto"/>
                <w:kern w:val="0"/>
                <w:szCs w:val="21"/>
                <w:lang w:bidi="ar"/>
              </w:rPr>
              <w:t>0.00</w:t>
            </w:r>
            <w:r>
              <w:rPr>
                <w:rFonts w:hint="eastAsia"/>
                <w:color w:val="auto"/>
                <w:kern w:val="0"/>
                <w:szCs w:val="21"/>
                <w:lang w:val="en-US" w:eastAsia="zh-CN" w:bidi="ar"/>
              </w:rPr>
              <w:t>2</w:t>
            </w:r>
          </w:p>
        </w:tc>
        <w:tc>
          <w:tcPr>
            <w:tcW w:w="556" w:type="pct"/>
            <w:vAlign w:val="center"/>
          </w:tcPr>
          <w:p w14:paraId="48A40F8A">
            <w:pPr>
              <w:pStyle w:val="32"/>
              <w:spacing w:beforeLines="0" w:afterLines="0" w:line="240" w:lineRule="auto"/>
              <w:rPr>
                <w:rFonts w:hint="eastAsia" w:ascii="Times New Roman" w:eastAsia="宋体"/>
                <w:snapToGrid w:val="0"/>
                <w:kern w:val="21"/>
                <w:szCs w:val="21"/>
                <w:lang w:val="en-US" w:eastAsia="zh-CN"/>
              </w:rPr>
            </w:pPr>
            <w:r>
              <w:rPr>
                <w:rFonts w:hint="eastAsia" w:ascii="Times New Roman"/>
                <w:snapToGrid w:val="0"/>
                <w:kern w:val="21"/>
                <w:szCs w:val="21"/>
                <w:lang w:val="en-US" w:eastAsia="zh-CN"/>
              </w:rPr>
              <w:t>0</w:t>
            </w:r>
          </w:p>
        </w:tc>
        <w:tc>
          <w:tcPr>
            <w:tcW w:w="617" w:type="pct"/>
            <w:shd w:val="clear" w:color="auto" w:fill="auto"/>
            <w:vAlign w:val="center"/>
          </w:tcPr>
          <w:p w14:paraId="62CE769A">
            <w:pPr>
              <w:keepNext w:val="0"/>
              <w:keepLines w:val="0"/>
              <w:widowControl/>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auto"/>
                <w:kern w:val="0"/>
                <w:sz w:val="21"/>
                <w:szCs w:val="21"/>
                <w:lang w:val="en-US" w:eastAsia="zh-CN" w:bidi="ar"/>
              </w:rPr>
            </w:pPr>
            <w:r>
              <w:rPr>
                <w:rFonts w:hint="eastAsia"/>
                <w:color w:val="auto"/>
                <w:kern w:val="0"/>
                <w:szCs w:val="21"/>
                <w:lang w:bidi="ar"/>
              </w:rPr>
              <w:t>0.00</w:t>
            </w:r>
            <w:r>
              <w:rPr>
                <w:rFonts w:hint="eastAsia"/>
                <w:color w:val="auto"/>
                <w:kern w:val="0"/>
                <w:szCs w:val="21"/>
                <w:lang w:val="en-US" w:eastAsia="zh-CN" w:bidi="ar"/>
              </w:rPr>
              <w:t>2</w:t>
            </w:r>
          </w:p>
        </w:tc>
        <w:tc>
          <w:tcPr>
            <w:tcW w:w="473" w:type="pct"/>
            <w:shd w:val="clear" w:color="auto" w:fill="auto"/>
            <w:vAlign w:val="center"/>
          </w:tcPr>
          <w:p w14:paraId="1A301710">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0"/>
                <w:sz w:val="21"/>
                <w:szCs w:val="21"/>
                <w:lang w:val="en-US" w:eastAsia="zh-CN" w:bidi="ar"/>
              </w:rPr>
            </w:pPr>
            <w:r>
              <w:rPr>
                <w:rFonts w:hint="eastAsia"/>
                <w:color w:val="auto"/>
                <w:kern w:val="0"/>
                <w:szCs w:val="21"/>
                <w:lang w:val="en-US" w:eastAsia="zh-CN" w:bidi="ar"/>
              </w:rPr>
              <w:t>+</w:t>
            </w:r>
            <w:r>
              <w:rPr>
                <w:rFonts w:hint="eastAsia"/>
                <w:color w:val="auto"/>
                <w:kern w:val="0"/>
                <w:szCs w:val="21"/>
                <w:lang w:bidi="ar"/>
              </w:rPr>
              <w:t>0.00</w:t>
            </w:r>
            <w:r>
              <w:rPr>
                <w:rFonts w:hint="eastAsia"/>
                <w:color w:val="auto"/>
                <w:kern w:val="0"/>
                <w:szCs w:val="21"/>
                <w:lang w:val="en-US" w:eastAsia="zh-CN" w:bidi="ar"/>
              </w:rPr>
              <w:t>2</w:t>
            </w:r>
          </w:p>
        </w:tc>
      </w:tr>
      <w:tr w14:paraId="41176B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continue"/>
            <w:vAlign w:val="center"/>
          </w:tcPr>
          <w:p w14:paraId="6C60803F">
            <w:pPr>
              <w:pStyle w:val="32"/>
              <w:spacing w:beforeLines="0" w:afterLines="0" w:line="240" w:lineRule="auto"/>
              <w:rPr>
                <w:rFonts w:ascii="Times New Roman"/>
                <w:snapToGrid w:val="0"/>
                <w:kern w:val="21"/>
                <w:szCs w:val="21"/>
              </w:rPr>
            </w:pPr>
          </w:p>
        </w:tc>
        <w:tc>
          <w:tcPr>
            <w:tcW w:w="589" w:type="pct"/>
            <w:shd w:val="clear" w:color="auto" w:fill="auto"/>
            <w:vAlign w:val="center"/>
          </w:tcPr>
          <w:p w14:paraId="39E16723">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rPr>
              <w:t>NH</w:t>
            </w:r>
            <w:r>
              <w:rPr>
                <w:rFonts w:hint="eastAsia"/>
                <w:color w:val="auto"/>
                <w:szCs w:val="21"/>
                <w:vertAlign w:val="subscript"/>
              </w:rPr>
              <w:t>3</w:t>
            </w:r>
            <w:r>
              <w:rPr>
                <w:rFonts w:hint="eastAsia"/>
                <w:color w:val="auto"/>
                <w:szCs w:val="21"/>
              </w:rPr>
              <w:t>-N</w:t>
            </w:r>
          </w:p>
        </w:tc>
        <w:tc>
          <w:tcPr>
            <w:tcW w:w="541" w:type="pct"/>
            <w:vAlign w:val="center"/>
          </w:tcPr>
          <w:p w14:paraId="173E8069">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462" w:type="pct"/>
            <w:vAlign w:val="center"/>
          </w:tcPr>
          <w:p w14:paraId="53D0F5B0">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vAlign w:val="center"/>
          </w:tcPr>
          <w:p w14:paraId="126E4DF6">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565" w:type="pct"/>
            <w:shd w:val="clear" w:color="auto" w:fill="auto"/>
            <w:vAlign w:val="center"/>
          </w:tcPr>
          <w:p w14:paraId="2CB194DC">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olor w:val="auto"/>
                <w:kern w:val="0"/>
                <w:szCs w:val="21"/>
                <w:lang w:bidi="ar"/>
              </w:rPr>
              <w:t>0.0</w:t>
            </w:r>
            <w:r>
              <w:rPr>
                <w:rFonts w:hint="eastAsia"/>
                <w:color w:val="auto"/>
                <w:kern w:val="0"/>
                <w:szCs w:val="21"/>
                <w:lang w:val="en-US" w:eastAsia="zh-CN" w:bidi="ar"/>
              </w:rPr>
              <w:t>19</w:t>
            </w:r>
          </w:p>
        </w:tc>
        <w:tc>
          <w:tcPr>
            <w:tcW w:w="556" w:type="pct"/>
            <w:vAlign w:val="center"/>
          </w:tcPr>
          <w:p w14:paraId="33A88221">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shd w:val="clear" w:color="auto" w:fill="auto"/>
            <w:vAlign w:val="center"/>
          </w:tcPr>
          <w:p w14:paraId="62950D65">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olor w:val="auto"/>
                <w:kern w:val="0"/>
                <w:szCs w:val="21"/>
                <w:lang w:bidi="ar"/>
              </w:rPr>
              <w:t>0.0</w:t>
            </w:r>
            <w:r>
              <w:rPr>
                <w:rFonts w:hint="eastAsia"/>
                <w:color w:val="auto"/>
                <w:kern w:val="0"/>
                <w:szCs w:val="21"/>
                <w:lang w:val="en-US" w:eastAsia="zh-CN" w:bidi="ar"/>
              </w:rPr>
              <w:t>19</w:t>
            </w:r>
          </w:p>
        </w:tc>
        <w:tc>
          <w:tcPr>
            <w:tcW w:w="473" w:type="pct"/>
            <w:shd w:val="clear" w:color="auto" w:fill="auto"/>
            <w:vAlign w:val="center"/>
          </w:tcPr>
          <w:p w14:paraId="0B2FBAA1">
            <w:pPr>
              <w:keepNext w:val="0"/>
              <w:keepLines w:val="0"/>
              <w:widowControl/>
              <w:suppressLineNumbers w:val="0"/>
              <w:spacing w:before="0" w:beforeAutospacing="0" w:after="0" w:afterAutospacing="0"/>
              <w:ind w:left="0" w:leftChars="0" w:right="0" w:rightChars="0"/>
              <w:jc w:val="center"/>
              <w:textAlignment w:val="center"/>
              <w:rPr>
                <w:rFonts w:hint="default" w:ascii="Times New Roman" w:hAnsi="Times New Roman" w:eastAsia="宋体" w:cs="Times New Roman"/>
                <w:color w:val="auto"/>
                <w:kern w:val="2"/>
                <w:sz w:val="21"/>
                <w:szCs w:val="21"/>
                <w:lang w:val="en-US" w:eastAsia="zh-CN" w:bidi="ar-SA"/>
              </w:rPr>
            </w:pPr>
            <w:r>
              <w:rPr>
                <w:rFonts w:hint="eastAsia"/>
                <w:color w:val="auto"/>
                <w:kern w:val="0"/>
                <w:szCs w:val="21"/>
                <w:lang w:val="en-US" w:eastAsia="zh-CN" w:bidi="ar"/>
              </w:rPr>
              <w:t>+</w:t>
            </w:r>
            <w:r>
              <w:rPr>
                <w:rFonts w:hint="eastAsia"/>
                <w:color w:val="auto"/>
                <w:kern w:val="0"/>
                <w:szCs w:val="21"/>
                <w:lang w:bidi="ar"/>
              </w:rPr>
              <w:t>0.0</w:t>
            </w:r>
            <w:r>
              <w:rPr>
                <w:rFonts w:hint="eastAsia"/>
                <w:color w:val="auto"/>
                <w:kern w:val="0"/>
                <w:szCs w:val="21"/>
                <w:lang w:val="en-US" w:eastAsia="zh-CN" w:bidi="ar"/>
              </w:rPr>
              <w:t>19</w:t>
            </w:r>
          </w:p>
        </w:tc>
      </w:tr>
      <w:tr w14:paraId="6A1929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restart"/>
            <w:vAlign w:val="center"/>
          </w:tcPr>
          <w:p w14:paraId="50D593CB">
            <w:pPr>
              <w:pStyle w:val="32"/>
              <w:spacing w:beforeLines="0" w:afterLines="0" w:line="240" w:lineRule="auto"/>
              <w:rPr>
                <w:rFonts w:ascii="Times New Roman"/>
                <w:snapToGrid w:val="0"/>
                <w:kern w:val="21"/>
                <w:szCs w:val="21"/>
              </w:rPr>
            </w:pPr>
            <w:r>
              <w:rPr>
                <w:rFonts w:ascii="Times New Roman"/>
                <w:snapToGrid w:val="0"/>
                <w:kern w:val="21"/>
                <w:szCs w:val="21"/>
              </w:rPr>
              <w:t>一般工业</w:t>
            </w:r>
          </w:p>
          <w:p w14:paraId="2C93B414">
            <w:pPr>
              <w:pStyle w:val="32"/>
              <w:spacing w:beforeLines="0" w:afterLines="0" w:line="240" w:lineRule="auto"/>
              <w:rPr>
                <w:rFonts w:ascii="Times New Roman"/>
                <w:snapToGrid w:val="0"/>
                <w:kern w:val="21"/>
                <w:szCs w:val="21"/>
              </w:rPr>
            </w:pPr>
            <w:r>
              <w:rPr>
                <w:rFonts w:ascii="Times New Roman"/>
                <w:snapToGrid w:val="0"/>
                <w:kern w:val="21"/>
                <w:szCs w:val="21"/>
              </w:rPr>
              <w:t>固体废物</w:t>
            </w:r>
          </w:p>
        </w:tc>
        <w:tc>
          <w:tcPr>
            <w:tcW w:w="589" w:type="pct"/>
            <w:shd w:val="clear" w:color="auto" w:fill="auto"/>
            <w:vAlign w:val="center"/>
          </w:tcPr>
          <w:p w14:paraId="39703B3B">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eastAsia="zh-CN"/>
              </w:rPr>
              <w:t>废包装物</w:t>
            </w:r>
          </w:p>
        </w:tc>
        <w:tc>
          <w:tcPr>
            <w:tcW w:w="541" w:type="pct"/>
            <w:vAlign w:val="center"/>
          </w:tcPr>
          <w:p w14:paraId="219D29B7">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462" w:type="pct"/>
            <w:vAlign w:val="center"/>
          </w:tcPr>
          <w:p w14:paraId="25561ECF">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vAlign w:val="center"/>
          </w:tcPr>
          <w:p w14:paraId="73E8B00E">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565" w:type="pct"/>
            <w:shd w:val="clear" w:color="auto" w:fill="auto"/>
            <w:vAlign w:val="center"/>
          </w:tcPr>
          <w:p w14:paraId="40B70684">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5</w:t>
            </w:r>
          </w:p>
        </w:tc>
        <w:tc>
          <w:tcPr>
            <w:tcW w:w="556" w:type="pct"/>
            <w:vAlign w:val="center"/>
          </w:tcPr>
          <w:p w14:paraId="4881D27D">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shd w:val="clear" w:color="auto" w:fill="auto"/>
            <w:vAlign w:val="center"/>
          </w:tcPr>
          <w:p w14:paraId="3774EBC3">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5</w:t>
            </w:r>
          </w:p>
        </w:tc>
        <w:tc>
          <w:tcPr>
            <w:tcW w:w="473" w:type="pct"/>
            <w:shd w:val="clear" w:color="auto" w:fill="auto"/>
            <w:vAlign w:val="center"/>
          </w:tcPr>
          <w:p w14:paraId="1B857654">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val="en-US" w:eastAsia="zh-CN"/>
              </w:rPr>
              <w:t>+5</w:t>
            </w:r>
          </w:p>
        </w:tc>
      </w:tr>
      <w:tr w14:paraId="0E18A4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continue"/>
            <w:vAlign w:val="center"/>
          </w:tcPr>
          <w:p w14:paraId="773A43B1">
            <w:pPr>
              <w:pStyle w:val="32"/>
              <w:spacing w:beforeLines="0" w:afterLines="0" w:line="240" w:lineRule="auto"/>
              <w:rPr>
                <w:rFonts w:ascii="Times New Roman"/>
                <w:snapToGrid w:val="0"/>
                <w:kern w:val="21"/>
                <w:szCs w:val="21"/>
              </w:rPr>
            </w:pPr>
          </w:p>
        </w:tc>
        <w:tc>
          <w:tcPr>
            <w:tcW w:w="589" w:type="pct"/>
            <w:shd w:val="clear" w:color="auto" w:fill="auto"/>
            <w:vAlign w:val="center"/>
          </w:tcPr>
          <w:p w14:paraId="1143E766">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val="en-US" w:eastAsia="zh-CN"/>
              </w:rPr>
              <w:t>焊渣</w:t>
            </w:r>
          </w:p>
        </w:tc>
        <w:tc>
          <w:tcPr>
            <w:tcW w:w="541" w:type="pct"/>
            <w:vAlign w:val="center"/>
          </w:tcPr>
          <w:p w14:paraId="7510DE89">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462" w:type="pct"/>
            <w:vAlign w:val="center"/>
          </w:tcPr>
          <w:p w14:paraId="23362D99">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vAlign w:val="center"/>
          </w:tcPr>
          <w:p w14:paraId="70801BEC">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565" w:type="pct"/>
            <w:shd w:val="clear" w:color="auto" w:fill="auto"/>
            <w:vAlign w:val="center"/>
          </w:tcPr>
          <w:p w14:paraId="7DBC28AA">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0.14</w:t>
            </w:r>
          </w:p>
        </w:tc>
        <w:tc>
          <w:tcPr>
            <w:tcW w:w="556" w:type="pct"/>
            <w:vAlign w:val="center"/>
          </w:tcPr>
          <w:p w14:paraId="3670EC62">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shd w:val="clear" w:color="auto" w:fill="auto"/>
            <w:vAlign w:val="center"/>
          </w:tcPr>
          <w:p w14:paraId="2529315D">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0.14</w:t>
            </w:r>
          </w:p>
        </w:tc>
        <w:tc>
          <w:tcPr>
            <w:tcW w:w="473" w:type="pct"/>
            <w:shd w:val="clear" w:color="auto" w:fill="auto"/>
            <w:vAlign w:val="center"/>
          </w:tcPr>
          <w:p w14:paraId="38577462">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+0.14</w:t>
            </w:r>
          </w:p>
        </w:tc>
      </w:tr>
      <w:tr w14:paraId="3B2BE2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continue"/>
            <w:vAlign w:val="center"/>
          </w:tcPr>
          <w:p w14:paraId="627AE877">
            <w:pPr>
              <w:pStyle w:val="32"/>
              <w:spacing w:beforeLines="0" w:afterLines="0" w:line="240" w:lineRule="auto"/>
              <w:rPr>
                <w:rFonts w:ascii="Times New Roman"/>
                <w:snapToGrid w:val="0"/>
                <w:kern w:val="21"/>
                <w:szCs w:val="21"/>
              </w:rPr>
            </w:pPr>
          </w:p>
        </w:tc>
        <w:tc>
          <w:tcPr>
            <w:tcW w:w="589" w:type="pct"/>
            <w:shd w:val="clear" w:color="auto" w:fill="auto"/>
            <w:vAlign w:val="center"/>
          </w:tcPr>
          <w:p w14:paraId="20350010">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val="en-US" w:eastAsia="zh-CN"/>
              </w:rPr>
              <w:t>废胶布纸</w:t>
            </w:r>
          </w:p>
        </w:tc>
        <w:tc>
          <w:tcPr>
            <w:tcW w:w="541" w:type="pct"/>
            <w:vAlign w:val="center"/>
          </w:tcPr>
          <w:p w14:paraId="2C502FB1">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462" w:type="pct"/>
            <w:vAlign w:val="center"/>
          </w:tcPr>
          <w:p w14:paraId="1B4276E4">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vAlign w:val="center"/>
          </w:tcPr>
          <w:p w14:paraId="5FD7B748">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565" w:type="pct"/>
            <w:shd w:val="clear" w:color="auto" w:fill="auto"/>
            <w:vAlign w:val="center"/>
          </w:tcPr>
          <w:p w14:paraId="719F36AB">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0.1</w:t>
            </w:r>
          </w:p>
        </w:tc>
        <w:tc>
          <w:tcPr>
            <w:tcW w:w="556" w:type="pct"/>
            <w:vAlign w:val="center"/>
          </w:tcPr>
          <w:p w14:paraId="04014572">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shd w:val="clear" w:color="auto" w:fill="auto"/>
            <w:vAlign w:val="center"/>
          </w:tcPr>
          <w:p w14:paraId="3FD1DBB0">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0.1</w:t>
            </w:r>
          </w:p>
        </w:tc>
        <w:tc>
          <w:tcPr>
            <w:tcW w:w="473" w:type="pct"/>
            <w:shd w:val="clear" w:color="auto" w:fill="auto"/>
            <w:vAlign w:val="center"/>
          </w:tcPr>
          <w:p w14:paraId="70E5CE65">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+0.1</w:t>
            </w:r>
          </w:p>
        </w:tc>
      </w:tr>
      <w:tr w14:paraId="3F2E8C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continue"/>
            <w:vAlign w:val="center"/>
          </w:tcPr>
          <w:p w14:paraId="1D9421FF">
            <w:pPr>
              <w:pStyle w:val="32"/>
              <w:spacing w:beforeLines="0" w:afterLines="0" w:line="240" w:lineRule="auto"/>
              <w:rPr>
                <w:rFonts w:ascii="Times New Roman"/>
                <w:snapToGrid w:val="0"/>
                <w:kern w:val="21"/>
                <w:szCs w:val="21"/>
              </w:rPr>
            </w:pPr>
          </w:p>
        </w:tc>
        <w:tc>
          <w:tcPr>
            <w:tcW w:w="589" w:type="pct"/>
            <w:shd w:val="clear" w:color="auto" w:fill="auto"/>
            <w:vAlign w:val="center"/>
          </w:tcPr>
          <w:p w14:paraId="56E8FE90">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不合格品</w:t>
            </w:r>
          </w:p>
        </w:tc>
        <w:tc>
          <w:tcPr>
            <w:tcW w:w="541" w:type="pct"/>
            <w:vAlign w:val="center"/>
          </w:tcPr>
          <w:p w14:paraId="437ACCBA">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462" w:type="pct"/>
            <w:vAlign w:val="center"/>
          </w:tcPr>
          <w:p w14:paraId="590CE36B">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vAlign w:val="center"/>
          </w:tcPr>
          <w:p w14:paraId="5E7D76A2">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565" w:type="pct"/>
            <w:shd w:val="clear" w:color="auto" w:fill="auto"/>
            <w:vAlign w:val="center"/>
          </w:tcPr>
          <w:p w14:paraId="0E3CFADF">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0.2</w:t>
            </w:r>
          </w:p>
        </w:tc>
        <w:tc>
          <w:tcPr>
            <w:tcW w:w="556" w:type="pct"/>
            <w:vAlign w:val="center"/>
          </w:tcPr>
          <w:p w14:paraId="54710491">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shd w:val="clear" w:color="auto" w:fill="auto"/>
            <w:vAlign w:val="center"/>
          </w:tcPr>
          <w:p w14:paraId="0EC91A6D">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0.2</w:t>
            </w:r>
          </w:p>
        </w:tc>
        <w:tc>
          <w:tcPr>
            <w:tcW w:w="473" w:type="pct"/>
            <w:shd w:val="clear" w:color="auto" w:fill="auto"/>
            <w:vAlign w:val="center"/>
          </w:tcPr>
          <w:p w14:paraId="540782B7">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+0.2</w:t>
            </w:r>
          </w:p>
        </w:tc>
      </w:tr>
      <w:tr w14:paraId="78986F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restart"/>
            <w:vAlign w:val="center"/>
          </w:tcPr>
          <w:p w14:paraId="21AC160D">
            <w:pPr>
              <w:pStyle w:val="32"/>
              <w:spacing w:before="24" w:after="24" w:line="240" w:lineRule="auto"/>
              <w:rPr>
                <w:rFonts w:ascii="Times New Roman"/>
                <w:snapToGrid w:val="0"/>
                <w:kern w:val="21"/>
                <w:szCs w:val="21"/>
              </w:rPr>
            </w:pPr>
            <w:r>
              <w:rPr>
                <w:rFonts w:ascii="Times New Roman"/>
                <w:snapToGrid w:val="0"/>
                <w:kern w:val="21"/>
                <w:szCs w:val="21"/>
              </w:rPr>
              <w:t>危险废物</w:t>
            </w:r>
          </w:p>
        </w:tc>
        <w:tc>
          <w:tcPr>
            <w:tcW w:w="589" w:type="pct"/>
            <w:tcBorders>
              <w:top w:val="single" w:color="auto" w:sz="4" w:space="0"/>
              <w:bottom w:val="single" w:color="auto" w:sz="4" w:space="0"/>
            </w:tcBorders>
            <w:shd w:val="clear" w:color="auto" w:fill="auto"/>
            <w:vAlign w:val="center"/>
          </w:tcPr>
          <w:p w14:paraId="61D6BCB3">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FF0000"/>
                <w:kern w:val="2"/>
                <w:sz w:val="21"/>
                <w:szCs w:val="21"/>
                <w:lang w:val="en-US" w:eastAsia="zh-CN" w:bidi="ar-SA"/>
              </w:rPr>
            </w:pPr>
            <w:r>
              <w:rPr>
                <w:rFonts w:hint="eastAsia"/>
                <w:color w:val="FF0000"/>
              </w:rPr>
              <w:t>废</w:t>
            </w:r>
            <w:r>
              <w:rPr>
                <w:rFonts w:hint="eastAsia"/>
                <w:color w:val="FF0000"/>
                <w:lang w:val="en-US" w:eastAsia="zh-CN"/>
              </w:rPr>
              <w:t>锡膏包装罐</w:t>
            </w:r>
          </w:p>
        </w:tc>
        <w:tc>
          <w:tcPr>
            <w:tcW w:w="541" w:type="pct"/>
            <w:vAlign w:val="center"/>
          </w:tcPr>
          <w:p w14:paraId="0611FFEA">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462" w:type="pct"/>
            <w:vAlign w:val="center"/>
          </w:tcPr>
          <w:p w14:paraId="7B936229">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vAlign w:val="center"/>
          </w:tcPr>
          <w:p w14:paraId="6029BAE6">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565" w:type="pct"/>
            <w:shd w:val="clear" w:color="auto" w:fill="auto"/>
            <w:vAlign w:val="center"/>
          </w:tcPr>
          <w:p w14:paraId="3BF3FB12">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1.722</w:t>
            </w:r>
          </w:p>
        </w:tc>
        <w:tc>
          <w:tcPr>
            <w:tcW w:w="556" w:type="pct"/>
            <w:vAlign w:val="center"/>
          </w:tcPr>
          <w:p w14:paraId="19F3C280">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shd w:val="clear" w:color="auto" w:fill="auto"/>
            <w:vAlign w:val="center"/>
          </w:tcPr>
          <w:p w14:paraId="37795DA0">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1.722</w:t>
            </w:r>
          </w:p>
        </w:tc>
        <w:tc>
          <w:tcPr>
            <w:tcW w:w="473" w:type="pct"/>
            <w:shd w:val="clear" w:color="auto" w:fill="auto"/>
            <w:vAlign w:val="center"/>
          </w:tcPr>
          <w:p w14:paraId="460994A6">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+1.722</w:t>
            </w:r>
          </w:p>
        </w:tc>
      </w:tr>
      <w:tr w14:paraId="62C5C9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continue"/>
            <w:vAlign w:val="center"/>
          </w:tcPr>
          <w:p w14:paraId="0CBBBCF3">
            <w:pPr>
              <w:pStyle w:val="32"/>
              <w:spacing w:before="24" w:after="24" w:line="240" w:lineRule="auto"/>
              <w:rPr>
                <w:rFonts w:ascii="Times New Roman"/>
                <w:snapToGrid w:val="0"/>
                <w:kern w:val="21"/>
                <w:szCs w:val="21"/>
              </w:rPr>
            </w:pPr>
          </w:p>
        </w:tc>
        <w:tc>
          <w:tcPr>
            <w:tcW w:w="589" w:type="pct"/>
            <w:tcBorders>
              <w:top w:val="single" w:color="auto" w:sz="4" w:space="0"/>
              <w:bottom w:val="single" w:color="auto" w:sz="4" w:space="0"/>
            </w:tcBorders>
            <w:shd w:val="clear" w:color="auto" w:fill="auto"/>
            <w:vAlign w:val="center"/>
          </w:tcPr>
          <w:p w14:paraId="40A80274">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kern w:val="2"/>
                <w:sz w:val="21"/>
                <w:szCs w:val="24"/>
                <w:lang w:val="en-US" w:eastAsia="zh-CN" w:bidi="ar-SA"/>
              </w:rPr>
            </w:pPr>
            <w:r>
              <w:rPr>
                <w:rFonts w:hint="eastAsia"/>
                <w:color w:val="FF0000"/>
                <w:lang w:val="en-US" w:eastAsia="zh-CN"/>
              </w:rPr>
              <w:t>废酒精桶</w:t>
            </w:r>
          </w:p>
        </w:tc>
        <w:tc>
          <w:tcPr>
            <w:tcW w:w="541" w:type="pct"/>
            <w:vAlign w:val="center"/>
          </w:tcPr>
          <w:p w14:paraId="3764D9BA">
            <w:pPr>
              <w:pStyle w:val="32"/>
              <w:spacing w:beforeLines="0" w:afterLines="0" w:line="240" w:lineRule="auto"/>
              <w:rPr>
                <w:rFonts w:hint="eastAsia" w:ascii="Times New Roman" w:eastAsia="宋体"/>
                <w:snapToGrid w:val="0"/>
                <w:kern w:val="21"/>
                <w:szCs w:val="21"/>
                <w:lang w:val="en-US" w:eastAsia="zh-CN"/>
              </w:rPr>
            </w:pPr>
            <w:r>
              <w:rPr>
                <w:rFonts w:hint="eastAsia" w:ascii="Times New Roman"/>
                <w:snapToGrid w:val="0"/>
                <w:kern w:val="21"/>
                <w:szCs w:val="21"/>
                <w:lang w:val="en-US" w:eastAsia="zh-CN"/>
              </w:rPr>
              <w:t>0</w:t>
            </w:r>
          </w:p>
        </w:tc>
        <w:tc>
          <w:tcPr>
            <w:tcW w:w="462" w:type="pct"/>
            <w:vAlign w:val="center"/>
          </w:tcPr>
          <w:p w14:paraId="6FDD977C">
            <w:pPr>
              <w:pStyle w:val="32"/>
              <w:spacing w:beforeLines="0" w:afterLines="0" w:line="240" w:lineRule="auto"/>
              <w:rPr>
                <w:rFonts w:hint="eastAsia" w:ascii="Times New Roman" w:eastAsia="宋体"/>
                <w:snapToGrid w:val="0"/>
                <w:kern w:val="21"/>
                <w:szCs w:val="21"/>
                <w:lang w:val="en-US" w:eastAsia="zh-CN"/>
              </w:rPr>
            </w:pPr>
            <w:r>
              <w:rPr>
                <w:rFonts w:hint="eastAsia" w:ascii="Times New Roman"/>
                <w:snapToGrid w:val="0"/>
                <w:kern w:val="21"/>
                <w:szCs w:val="21"/>
                <w:lang w:val="en-US" w:eastAsia="zh-CN"/>
              </w:rPr>
              <w:t>0</w:t>
            </w:r>
          </w:p>
        </w:tc>
        <w:tc>
          <w:tcPr>
            <w:tcW w:w="617" w:type="pct"/>
            <w:vAlign w:val="center"/>
          </w:tcPr>
          <w:p w14:paraId="4A104EED">
            <w:pPr>
              <w:pStyle w:val="32"/>
              <w:spacing w:beforeLines="0" w:afterLines="0" w:line="240" w:lineRule="auto"/>
              <w:rPr>
                <w:rFonts w:hint="eastAsia" w:ascii="Times New Roman" w:eastAsia="宋体"/>
                <w:snapToGrid w:val="0"/>
                <w:kern w:val="21"/>
                <w:szCs w:val="21"/>
                <w:lang w:val="en-US" w:eastAsia="zh-CN"/>
              </w:rPr>
            </w:pPr>
            <w:r>
              <w:rPr>
                <w:rFonts w:hint="eastAsia" w:ascii="Times New Roman"/>
                <w:snapToGrid w:val="0"/>
                <w:kern w:val="21"/>
                <w:szCs w:val="21"/>
                <w:lang w:val="en-US" w:eastAsia="zh-CN"/>
              </w:rPr>
              <w:t>0</w:t>
            </w:r>
          </w:p>
        </w:tc>
        <w:tc>
          <w:tcPr>
            <w:tcW w:w="565" w:type="pct"/>
            <w:shd w:val="clear" w:color="auto" w:fill="auto"/>
            <w:vAlign w:val="center"/>
          </w:tcPr>
          <w:p w14:paraId="38453921">
            <w:pPr>
              <w:keepNext w:val="0"/>
              <w:keepLines w:val="0"/>
              <w:suppressLineNumbers w:val="0"/>
              <w:adjustRightInd w:val="0"/>
              <w:snapToGrid w:val="0"/>
              <w:spacing w:before="0" w:beforeAutospacing="0" w:after="0" w:afterAutospacing="0"/>
              <w:ind w:left="0" w:leftChars="0" w:right="0" w:rightChars="0"/>
              <w:jc w:val="center"/>
              <w:rPr>
                <w:rFonts w:hint="default"/>
                <w:color w:val="auto"/>
                <w:szCs w:val="21"/>
                <w:lang w:val="en-US" w:eastAsia="zh-CN"/>
              </w:rPr>
            </w:pPr>
            <w:r>
              <w:rPr>
                <w:rFonts w:hint="eastAsia"/>
                <w:color w:val="auto"/>
                <w:szCs w:val="21"/>
                <w:lang w:val="en-US" w:eastAsia="zh-CN"/>
              </w:rPr>
              <w:t>0.025</w:t>
            </w:r>
          </w:p>
        </w:tc>
        <w:tc>
          <w:tcPr>
            <w:tcW w:w="556" w:type="pct"/>
            <w:vAlign w:val="center"/>
          </w:tcPr>
          <w:p w14:paraId="36350D59">
            <w:pPr>
              <w:pStyle w:val="32"/>
              <w:spacing w:beforeLines="0" w:afterLines="0" w:line="240" w:lineRule="auto"/>
              <w:rPr>
                <w:rFonts w:hint="eastAsia" w:ascii="Times New Roman" w:eastAsia="宋体"/>
                <w:snapToGrid w:val="0"/>
                <w:kern w:val="21"/>
                <w:szCs w:val="21"/>
                <w:lang w:val="en-US" w:eastAsia="zh-CN"/>
              </w:rPr>
            </w:pPr>
            <w:r>
              <w:rPr>
                <w:rFonts w:hint="eastAsia" w:ascii="Times New Roman"/>
                <w:snapToGrid w:val="0"/>
                <w:kern w:val="21"/>
                <w:szCs w:val="21"/>
                <w:lang w:val="en-US" w:eastAsia="zh-CN"/>
              </w:rPr>
              <w:t>0</w:t>
            </w:r>
          </w:p>
        </w:tc>
        <w:tc>
          <w:tcPr>
            <w:tcW w:w="617" w:type="pct"/>
            <w:shd w:val="clear" w:color="auto" w:fill="auto"/>
            <w:vAlign w:val="center"/>
          </w:tcPr>
          <w:p w14:paraId="7A6DAB40">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val="en-US" w:eastAsia="zh-CN"/>
              </w:rPr>
              <w:t>0.025</w:t>
            </w:r>
          </w:p>
        </w:tc>
        <w:tc>
          <w:tcPr>
            <w:tcW w:w="473" w:type="pct"/>
            <w:shd w:val="clear" w:color="auto" w:fill="auto"/>
            <w:vAlign w:val="center"/>
          </w:tcPr>
          <w:p w14:paraId="1CA739B7">
            <w:pPr>
              <w:keepNext w:val="0"/>
              <w:keepLines w:val="0"/>
              <w:suppressLineNumbers w:val="0"/>
              <w:adjustRightInd w:val="0"/>
              <w:snapToGrid w:val="0"/>
              <w:spacing w:before="0" w:beforeAutospacing="0" w:after="0" w:afterAutospacing="0"/>
              <w:ind w:left="0" w:leftChars="0" w:right="0" w:rightChars="0"/>
              <w:jc w:val="center"/>
              <w:rPr>
                <w:rFonts w:hint="default"/>
                <w:color w:val="auto"/>
                <w:szCs w:val="21"/>
                <w:lang w:val="en-US" w:eastAsia="zh-CN"/>
              </w:rPr>
            </w:pPr>
            <w:r>
              <w:rPr>
                <w:rFonts w:hint="eastAsia"/>
                <w:color w:val="auto"/>
                <w:szCs w:val="21"/>
                <w:lang w:val="en-US" w:eastAsia="zh-CN"/>
              </w:rPr>
              <w:t>+0.025</w:t>
            </w:r>
          </w:p>
        </w:tc>
      </w:tr>
      <w:tr w14:paraId="36F492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continue"/>
            <w:vAlign w:val="center"/>
          </w:tcPr>
          <w:p w14:paraId="7AE6297C">
            <w:pPr>
              <w:pStyle w:val="32"/>
              <w:spacing w:before="24" w:after="24" w:line="240" w:lineRule="auto"/>
              <w:rPr>
                <w:rFonts w:ascii="Times New Roman"/>
                <w:snapToGrid w:val="0"/>
                <w:kern w:val="21"/>
                <w:szCs w:val="21"/>
              </w:rPr>
            </w:pPr>
          </w:p>
        </w:tc>
        <w:tc>
          <w:tcPr>
            <w:tcW w:w="589" w:type="pct"/>
            <w:tcBorders>
              <w:top w:val="single" w:color="auto" w:sz="4" w:space="0"/>
              <w:bottom w:val="single" w:color="auto" w:sz="4" w:space="0"/>
            </w:tcBorders>
            <w:shd w:val="clear" w:color="auto" w:fill="auto"/>
            <w:vAlign w:val="center"/>
          </w:tcPr>
          <w:p w14:paraId="60B9617B">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FF0000"/>
                <w:kern w:val="2"/>
                <w:sz w:val="21"/>
                <w:szCs w:val="24"/>
                <w:lang w:val="en-US" w:eastAsia="zh-CN" w:bidi="ar-SA"/>
              </w:rPr>
            </w:pPr>
            <w:r>
              <w:rPr>
                <w:rFonts w:hint="eastAsia"/>
                <w:color w:val="FF0000"/>
                <w:lang w:val="en-US" w:eastAsia="zh-CN"/>
              </w:rPr>
              <w:t>废硅胶桶</w:t>
            </w:r>
          </w:p>
        </w:tc>
        <w:tc>
          <w:tcPr>
            <w:tcW w:w="541" w:type="pct"/>
            <w:vAlign w:val="center"/>
          </w:tcPr>
          <w:p w14:paraId="1B51F9E0">
            <w:pPr>
              <w:pStyle w:val="32"/>
              <w:spacing w:beforeLines="0" w:afterLines="0" w:line="240" w:lineRule="auto"/>
              <w:rPr>
                <w:rFonts w:hint="eastAsia" w:ascii="Times New Roman" w:eastAsia="宋体"/>
                <w:snapToGrid w:val="0"/>
                <w:kern w:val="21"/>
                <w:szCs w:val="21"/>
                <w:lang w:val="en-US" w:eastAsia="zh-CN"/>
              </w:rPr>
            </w:pPr>
            <w:r>
              <w:rPr>
                <w:rFonts w:hint="eastAsia" w:ascii="Times New Roman"/>
                <w:snapToGrid w:val="0"/>
                <w:kern w:val="21"/>
                <w:szCs w:val="21"/>
                <w:lang w:val="en-US" w:eastAsia="zh-CN"/>
              </w:rPr>
              <w:t>0</w:t>
            </w:r>
          </w:p>
        </w:tc>
        <w:tc>
          <w:tcPr>
            <w:tcW w:w="462" w:type="pct"/>
            <w:vAlign w:val="center"/>
          </w:tcPr>
          <w:p w14:paraId="0D5381B3">
            <w:pPr>
              <w:pStyle w:val="32"/>
              <w:spacing w:beforeLines="0" w:afterLines="0" w:line="240" w:lineRule="auto"/>
              <w:rPr>
                <w:rFonts w:hint="eastAsia" w:ascii="Times New Roman" w:eastAsia="宋体"/>
                <w:snapToGrid w:val="0"/>
                <w:kern w:val="21"/>
                <w:szCs w:val="21"/>
                <w:lang w:val="en-US" w:eastAsia="zh-CN"/>
              </w:rPr>
            </w:pPr>
            <w:r>
              <w:rPr>
                <w:rFonts w:hint="eastAsia" w:ascii="Times New Roman"/>
                <w:snapToGrid w:val="0"/>
                <w:kern w:val="21"/>
                <w:szCs w:val="21"/>
                <w:lang w:val="en-US" w:eastAsia="zh-CN"/>
              </w:rPr>
              <w:t>0</w:t>
            </w:r>
          </w:p>
        </w:tc>
        <w:tc>
          <w:tcPr>
            <w:tcW w:w="617" w:type="pct"/>
            <w:vAlign w:val="center"/>
          </w:tcPr>
          <w:p w14:paraId="10EF8AB4">
            <w:pPr>
              <w:pStyle w:val="32"/>
              <w:spacing w:beforeLines="0" w:afterLines="0" w:line="240" w:lineRule="auto"/>
              <w:rPr>
                <w:rFonts w:hint="eastAsia" w:ascii="Times New Roman" w:eastAsia="宋体"/>
                <w:snapToGrid w:val="0"/>
                <w:kern w:val="21"/>
                <w:szCs w:val="21"/>
                <w:lang w:val="en-US" w:eastAsia="zh-CN"/>
              </w:rPr>
            </w:pPr>
            <w:r>
              <w:rPr>
                <w:rFonts w:hint="eastAsia" w:ascii="Times New Roman"/>
                <w:snapToGrid w:val="0"/>
                <w:kern w:val="21"/>
                <w:szCs w:val="21"/>
                <w:lang w:val="en-US" w:eastAsia="zh-CN"/>
              </w:rPr>
              <w:t>0</w:t>
            </w:r>
          </w:p>
        </w:tc>
        <w:tc>
          <w:tcPr>
            <w:tcW w:w="565" w:type="pct"/>
            <w:shd w:val="clear" w:color="auto" w:fill="auto"/>
            <w:vAlign w:val="center"/>
          </w:tcPr>
          <w:p w14:paraId="37818D93">
            <w:pPr>
              <w:keepNext w:val="0"/>
              <w:keepLines w:val="0"/>
              <w:suppressLineNumbers w:val="0"/>
              <w:adjustRightInd w:val="0"/>
              <w:snapToGrid w:val="0"/>
              <w:spacing w:before="0" w:beforeAutospacing="0" w:after="0" w:afterAutospacing="0"/>
              <w:ind w:left="0" w:leftChars="0" w:right="0" w:rightChars="0"/>
              <w:jc w:val="center"/>
              <w:rPr>
                <w:rFonts w:hint="default"/>
                <w:color w:val="auto"/>
                <w:szCs w:val="21"/>
                <w:lang w:val="en-US" w:eastAsia="zh-CN"/>
              </w:rPr>
            </w:pPr>
            <w:r>
              <w:rPr>
                <w:rFonts w:hint="eastAsia"/>
                <w:color w:val="auto"/>
                <w:szCs w:val="21"/>
                <w:lang w:val="en-US" w:eastAsia="zh-CN"/>
              </w:rPr>
              <w:t>3</w:t>
            </w:r>
          </w:p>
        </w:tc>
        <w:tc>
          <w:tcPr>
            <w:tcW w:w="556" w:type="pct"/>
            <w:vAlign w:val="center"/>
          </w:tcPr>
          <w:p w14:paraId="614C9D36">
            <w:pPr>
              <w:pStyle w:val="32"/>
              <w:spacing w:beforeLines="0" w:afterLines="0" w:line="240" w:lineRule="auto"/>
              <w:rPr>
                <w:rFonts w:hint="eastAsia" w:ascii="Times New Roman" w:eastAsia="宋体"/>
                <w:snapToGrid w:val="0"/>
                <w:kern w:val="21"/>
                <w:szCs w:val="21"/>
                <w:lang w:val="en-US" w:eastAsia="zh-CN"/>
              </w:rPr>
            </w:pPr>
            <w:r>
              <w:rPr>
                <w:rFonts w:hint="eastAsia" w:ascii="Times New Roman"/>
                <w:snapToGrid w:val="0"/>
                <w:kern w:val="21"/>
                <w:szCs w:val="21"/>
                <w:lang w:val="en-US" w:eastAsia="zh-CN"/>
              </w:rPr>
              <w:t>0</w:t>
            </w:r>
          </w:p>
        </w:tc>
        <w:tc>
          <w:tcPr>
            <w:tcW w:w="617" w:type="pct"/>
            <w:shd w:val="clear" w:color="auto" w:fill="auto"/>
            <w:vAlign w:val="center"/>
          </w:tcPr>
          <w:p w14:paraId="2FB6325A">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val="en-US" w:eastAsia="zh-CN"/>
              </w:rPr>
              <w:t>3</w:t>
            </w:r>
          </w:p>
        </w:tc>
        <w:tc>
          <w:tcPr>
            <w:tcW w:w="473" w:type="pct"/>
            <w:shd w:val="clear" w:color="auto" w:fill="auto"/>
            <w:vAlign w:val="center"/>
          </w:tcPr>
          <w:p w14:paraId="30269C41">
            <w:pPr>
              <w:keepNext w:val="0"/>
              <w:keepLines w:val="0"/>
              <w:suppressLineNumbers w:val="0"/>
              <w:adjustRightInd w:val="0"/>
              <w:snapToGrid w:val="0"/>
              <w:spacing w:before="0" w:beforeAutospacing="0" w:after="0" w:afterAutospacing="0"/>
              <w:ind w:left="0" w:leftChars="0" w:right="0" w:rightChars="0"/>
              <w:jc w:val="center"/>
              <w:rPr>
                <w:rFonts w:hint="default"/>
                <w:color w:val="auto"/>
                <w:szCs w:val="21"/>
                <w:lang w:val="en-US" w:eastAsia="zh-CN"/>
              </w:rPr>
            </w:pPr>
            <w:r>
              <w:rPr>
                <w:rFonts w:hint="eastAsia"/>
                <w:color w:val="auto"/>
                <w:szCs w:val="21"/>
                <w:lang w:val="en-US" w:eastAsia="zh-CN"/>
              </w:rPr>
              <w:t>+3</w:t>
            </w:r>
          </w:p>
        </w:tc>
      </w:tr>
      <w:tr w14:paraId="361B31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continue"/>
            <w:vAlign w:val="center"/>
          </w:tcPr>
          <w:p w14:paraId="7BA83C6C">
            <w:pPr>
              <w:pStyle w:val="32"/>
              <w:spacing w:before="24" w:after="24" w:line="240" w:lineRule="auto"/>
              <w:rPr>
                <w:rFonts w:ascii="Times New Roman"/>
                <w:snapToGrid w:val="0"/>
                <w:kern w:val="21"/>
                <w:szCs w:val="21"/>
              </w:rPr>
            </w:pPr>
          </w:p>
        </w:tc>
        <w:tc>
          <w:tcPr>
            <w:tcW w:w="589" w:type="pct"/>
            <w:tcBorders>
              <w:top w:val="single" w:color="auto" w:sz="4" w:space="0"/>
              <w:bottom w:val="single" w:color="auto" w:sz="4" w:space="0"/>
            </w:tcBorders>
            <w:shd w:val="clear" w:color="auto" w:fill="auto"/>
            <w:vAlign w:val="center"/>
          </w:tcPr>
          <w:p w14:paraId="3C7C7E11">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rPr>
              <w:t>废擦拭</w:t>
            </w:r>
            <w:r>
              <w:rPr>
                <w:rFonts w:hint="eastAsia"/>
                <w:color w:val="auto"/>
                <w:szCs w:val="21"/>
                <w:lang w:val="en-US" w:eastAsia="zh-CN"/>
              </w:rPr>
              <w:t>纸</w:t>
            </w:r>
          </w:p>
        </w:tc>
        <w:tc>
          <w:tcPr>
            <w:tcW w:w="541" w:type="pct"/>
            <w:vAlign w:val="center"/>
          </w:tcPr>
          <w:p w14:paraId="0EFD3323">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462" w:type="pct"/>
            <w:vAlign w:val="center"/>
          </w:tcPr>
          <w:p w14:paraId="229F7AD7">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vAlign w:val="center"/>
          </w:tcPr>
          <w:p w14:paraId="5B385BA0">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565" w:type="pct"/>
            <w:shd w:val="clear" w:color="auto" w:fill="auto"/>
            <w:vAlign w:val="center"/>
          </w:tcPr>
          <w:p w14:paraId="1C1FFAF2">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rPr>
              <w:t>0.</w:t>
            </w:r>
            <w:r>
              <w:rPr>
                <w:rFonts w:hint="eastAsia"/>
                <w:color w:val="auto"/>
                <w:szCs w:val="21"/>
                <w:lang w:val="en-US" w:eastAsia="zh-CN"/>
              </w:rPr>
              <w:t>01</w:t>
            </w:r>
          </w:p>
        </w:tc>
        <w:tc>
          <w:tcPr>
            <w:tcW w:w="556" w:type="pct"/>
            <w:vAlign w:val="center"/>
          </w:tcPr>
          <w:p w14:paraId="11EAC605">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shd w:val="clear" w:color="auto" w:fill="auto"/>
            <w:vAlign w:val="center"/>
          </w:tcPr>
          <w:p w14:paraId="76BB78D1">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rPr>
              <w:t>0.</w:t>
            </w:r>
            <w:r>
              <w:rPr>
                <w:rFonts w:hint="eastAsia"/>
                <w:color w:val="auto"/>
                <w:szCs w:val="21"/>
                <w:lang w:val="en-US" w:eastAsia="zh-CN"/>
              </w:rPr>
              <w:t>01</w:t>
            </w:r>
          </w:p>
        </w:tc>
        <w:tc>
          <w:tcPr>
            <w:tcW w:w="473" w:type="pct"/>
            <w:shd w:val="clear" w:color="auto" w:fill="auto"/>
            <w:vAlign w:val="center"/>
          </w:tcPr>
          <w:p w14:paraId="1116E350">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w:t>
            </w:r>
            <w:r>
              <w:rPr>
                <w:rFonts w:hint="eastAsia"/>
                <w:color w:val="auto"/>
                <w:szCs w:val="21"/>
              </w:rPr>
              <w:t>0.</w:t>
            </w:r>
            <w:r>
              <w:rPr>
                <w:rFonts w:hint="eastAsia"/>
                <w:color w:val="auto"/>
                <w:szCs w:val="21"/>
                <w:lang w:val="en-US" w:eastAsia="zh-CN"/>
              </w:rPr>
              <w:t>01</w:t>
            </w:r>
          </w:p>
        </w:tc>
      </w:tr>
      <w:tr w14:paraId="2AB865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continue"/>
            <w:vAlign w:val="center"/>
          </w:tcPr>
          <w:p w14:paraId="4C4419BC">
            <w:pPr>
              <w:pStyle w:val="32"/>
              <w:spacing w:before="24" w:after="24" w:line="240" w:lineRule="auto"/>
              <w:rPr>
                <w:rFonts w:ascii="Times New Roman"/>
                <w:snapToGrid w:val="0"/>
                <w:kern w:val="21"/>
                <w:szCs w:val="21"/>
              </w:rPr>
            </w:pPr>
          </w:p>
        </w:tc>
        <w:tc>
          <w:tcPr>
            <w:tcW w:w="589" w:type="pct"/>
            <w:tcBorders>
              <w:top w:val="single" w:color="auto" w:sz="4" w:space="0"/>
              <w:bottom w:val="single" w:color="auto" w:sz="4" w:space="0"/>
            </w:tcBorders>
            <w:shd w:val="clear" w:color="auto" w:fill="auto"/>
            <w:vAlign w:val="center"/>
          </w:tcPr>
          <w:p w14:paraId="6B9C13CA">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
              </w:rPr>
            </w:pPr>
            <w:r>
              <w:rPr>
                <w:rFonts w:hint="eastAsia"/>
                <w:color w:val="auto"/>
                <w:szCs w:val="21"/>
                <w:lang w:bidi="ar"/>
              </w:rPr>
              <w:t>废活性炭</w:t>
            </w:r>
          </w:p>
        </w:tc>
        <w:tc>
          <w:tcPr>
            <w:tcW w:w="541" w:type="pct"/>
            <w:vAlign w:val="center"/>
          </w:tcPr>
          <w:p w14:paraId="5DB02C0F">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462" w:type="pct"/>
            <w:vAlign w:val="center"/>
          </w:tcPr>
          <w:p w14:paraId="4A972912">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vAlign w:val="center"/>
          </w:tcPr>
          <w:p w14:paraId="240F676A">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565" w:type="pct"/>
            <w:shd w:val="clear" w:color="auto" w:fill="auto"/>
            <w:vAlign w:val="center"/>
          </w:tcPr>
          <w:p w14:paraId="7DFF191B">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15.28</w:t>
            </w:r>
          </w:p>
        </w:tc>
        <w:tc>
          <w:tcPr>
            <w:tcW w:w="556" w:type="pct"/>
            <w:vAlign w:val="center"/>
          </w:tcPr>
          <w:p w14:paraId="3E732B94">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shd w:val="clear" w:color="auto" w:fill="auto"/>
            <w:vAlign w:val="center"/>
          </w:tcPr>
          <w:p w14:paraId="635B8F86">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15.28</w:t>
            </w:r>
          </w:p>
        </w:tc>
        <w:tc>
          <w:tcPr>
            <w:tcW w:w="473" w:type="pct"/>
            <w:shd w:val="clear" w:color="auto" w:fill="auto"/>
            <w:vAlign w:val="center"/>
          </w:tcPr>
          <w:p w14:paraId="4A9E01D0">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+15.28</w:t>
            </w:r>
          </w:p>
        </w:tc>
      </w:tr>
      <w:tr w14:paraId="12824F5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continue"/>
            <w:vAlign w:val="center"/>
          </w:tcPr>
          <w:p w14:paraId="7F11162C">
            <w:pPr>
              <w:pStyle w:val="32"/>
              <w:spacing w:before="24" w:after="24" w:line="240" w:lineRule="auto"/>
              <w:rPr>
                <w:rFonts w:ascii="Times New Roman"/>
                <w:snapToGrid w:val="0"/>
                <w:kern w:val="21"/>
                <w:szCs w:val="21"/>
              </w:rPr>
            </w:pPr>
          </w:p>
        </w:tc>
        <w:tc>
          <w:tcPr>
            <w:tcW w:w="589" w:type="pct"/>
            <w:tcBorders>
              <w:top w:val="single" w:color="auto" w:sz="4" w:space="0"/>
              <w:bottom w:val="single" w:color="auto" w:sz="4" w:space="0"/>
            </w:tcBorders>
            <w:shd w:val="clear" w:color="auto" w:fill="auto"/>
            <w:vAlign w:val="center"/>
          </w:tcPr>
          <w:p w14:paraId="4D8C9297">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1"/>
                <w:lang w:val="en-US" w:eastAsia="zh-CN" w:bidi="ar"/>
              </w:rPr>
            </w:pPr>
            <w:r>
              <w:rPr>
                <w:rFonts w:hint="eastAsia"/>
                <w:color w:val="auto"/>
                <w:szCs w:val="21"/>
                <w:lang w:val="en-US" w:eastAsia="zh-CN" w:bidi="ar"/>
              </w:rPr>
              <w:t>废过滤棉</w:t>
            </w:r>
          </w:p>
        </w:tc>
        <w:tc>
          <w:tcPr>
            <w:tcW w:w="541" w:type="pct"/>
            <w:vAlign w:val="center"/>
          </w:tcPr>
          <w:p w14:paraId="24E08765">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462" w:type="pct"/>
            <w:vAlign w:val="center"/>
          </w:tcPr>
          <w:p w14:paraId="54B6EDAE">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vAlign w:val="center"/>
          </w:tcPr>
          <w:p w14:paraId="08C90AB3">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565" w:type="pct"/>
            <w:shd w:val="clear" w:color="auto" w:fill="auto"/>
            <w:vAlign w:val="center"/>
          </w:tcPr>
          <w:p w14:paraId="23AC2A61">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0.104</w:t>
            </w:r>
          </w:p>
        </w:tc>
        <w:tc>
          <w:tcPr>
            <w:tcW w:w="556" w:type="pct"/>
            <w:vAlign w:val="center"/>
          </w:tcPr>
          <w:p w14:paraId="1EE28B4E">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shd w:val="clear" w:color="auto" w:fill="auto"/>
            <w:vAlign w:val="center"/>
          </w:tcPr>
          <w:p w14:paraId="7406EE6C">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0.014</w:t>
            </w:r>
          </w:p>
        </w:tc>
        <w:tc>
          <w:tcPr>
            <w:tcW w:w="473" w:type="pct"/>
            <w:shd w:val="clear" w:color="auto" w:fill="auto"/>
            <w:vAlign w:val="center"/>
          </w:tcPr>
          <w:p w14:paraId="48F5A330">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+0.014</w:t>
            </w:r>
          </w:p>
        </w:tc>
      </w:tr>
      <w:tr w14:paraId="20F1AEC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continue"/>
            <w:vAlign w:val="center"/>
          </w:tcPr>
          <w:p w14:paraId="2EBC226F">
            <w:pPr>
              <w:pStyle w:val="32"/>
              <w:spacing w:before="24" w:after="24" w:line="240" w:lineRule="auto"/>
              <w:rPr>
                <w:rFonts w:ascii="Times New Roman"/>
                <w:snapToGrid w:val="0"/>
                <w:kern w:val="21"/>
                <w:szCs w:val="21"/>
              </w:rPr>
            </w:pPr>
          </w:p>
        </w:tc>
        <w:tc>
          <w:tcPr>
            <w:tcW w:w="589" w:type="pct"/>
            <w:tcBorders>
              <w:top w:val="single" w:color="auto" w:sz="4" w:space="0"/>
              <w:bottom w:val="single" w:color="auto" w:sz="4" w:space="0"/>
            </w:tcBorders>
            <w:shd w:val="clear" w:color="auto" w:fill="auto"/>
            <w:vAlign w:val="center"/>
          </w:tcPr>
          <w:p w14:paraId="0281C562">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
              </w:rPr>
            </w:pPr>
            <w:r>
              <w:rPr>
                <w:rFonts w:hint="eastAsia"/>
                <w:color w:val="auto"/>
                <w:szCs w:val="21"/>
                <w:lang w:bidi="ar"/>
              </w:rPr>
              <w:t>废机油</w:t>
            </w:r>
          </w:p>
        </w:tc>
        <w:tc>
          <w:tcPr>
            <w:tcW w:w="541" w:type="pct"/>
            <w:vAlign w:val="center"/>
          </w:tcPr>
          <w:p w14:paraId="477DF7E6">
            <w:pPr>
              <w:pStyle w:val="32"/>
              <w:spacing w:beforeLines="0" w:afterLines="0" w:line="240" w:lineRule="auto"/>
              <w:rPr>
                <w:rFonts w:ascii="Times New Roman"/>
                <w:snapToGrid w:val="0"/>
                <w:kern w:val="21"/>
                <w:szCs w:val="21"/>
              </w:rPr>
            </w:pPr>
            <w:r>
              <w:rPr>
                <w:rFonts w:hint="eastAsia" w:ascii="Times New Roman"/>
                <w:snapToGrid w:val="0"/>
                <w:kern w:val="21"/>
                <w:szCs w:val="21"/>
              </w:rPr>
              <w:t>0</w:t>
            </w:r>
          </w:p>
        </w:tc>
        <w:tc>
          <w:tcPr>
            <w:tcW w:w="462" w:type="pct"/>
            <w:vAlign w:val="center"/>
          </w:tcPr>
          <w:p w14:paraId="469C0E58">
            <w:pPr>
              <w:pStyle w:val="32"/>
              <w:spacing w:beforeLines="0" w:afterLines="0" w:line="240" w:lineRule="auto"/>
              <w:rPr>
                <w:rFonts w:ascii="Times New Roman"/>
                <w:snapToGrid w:val="0"/>
                <w:kern w:val="21"/>
                <w:szCs w:val="21"/>
              </w:rPr>
            </w:pPr>
            <w:r>
              <w:rPr>
                <w:rFonts w:hint="eastAsia" w:ascii="Times New Roman"/>
                <w:snapToGrid w:val="0"/>
                <w:kern w:val="21"/>
                <w:szCs w:val="21"/>
              </w:rPr>
              <w:t>0</w:t>
            </w:r>
          </w:p>
        </w:tc>
        <w:tc>
          <w:tcPr>
            <w:tcW w:w="617" w:type="pct"/>
            <w:vAlign w:val="center"/>
          </w:tcPr>
          <w:p w14:paraId="6BDF2400">
            <w:pPr>
              <w:pStyle w:val="32"/>
              <w:spacing w:beforeLines="0" w:afterLines="0" w:line="240" w:lineRule="auto"/>
              <w:rPr>
                <w:rFonts w:ascii="Times New Roman"/>
                <w:snapToGrid w:val="0"/>
                <w:kern w:val="21"/>
                <w:szCs w:val="21"/>
              </w:rPr>
            </w:pPr>
            <w:r>
              <w:rPr>
                <w:rFonts w:hint="eastAsia" w:ascii="Times New Roman"/>
                <w:snapToGrid w:val="0"/>
                <w:kern w:val="21"/>
                <w:szCs w:val="21"/>
              </w:rPr>
              <w:t>0</w:t>
            </w:r>
          </w:p>
        </w:tc>
        <w:tc>
          <w:tcPr>
            <w:tcW w:w="565" w:type="pct"/>
            <w:shd w:val="clear" w:color="auto" w:fill="auto"/>
            <w:vAlign w:val="center"/>
          </w:tcPr>
          <w:p w14:paraId="6A7512A0">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val="en-US" w:eastAsia="zh-CN"/>
              </w:rPr>
              <w:t>0.1</w:t>
            </w:r>
          </w:p>
        </w:tc>
        <w:tc>
          <w:tcPr>
            <w:tcW w:w="556" w:type="pct"/>
            <w:vAlign w:val="center"/>
          </w:tcPr>
          <w:p w14:paraId="2858836E">
            <w:pPr>
              <w:pStyle w:val="32"/>
              <w:spacing w:beforeLines="0" w:afterLines="0" w:line="240" w:lineRule="auto"/>
              <w:rPr>
                <w:rFonts w:ascii="Times New Roman"/>
                <w:snapToGrid w:val="0"/>
                <w:kern w:val="21"/>
                <w:szCs w:val="21"/>
              </w:rPr>
            </w:pPr>
            <w:r>
              <w:rPr>
                <w:rFonts w:hint="eastAsia" w:ascii="Times New Roman"/>
                <w:snapToGrid w:val="0"/>
                <w:kern w:val="21"/>
                <w:szCs w:val="21"/>
              </w:rPr>
              <w:t>0</w:t>
            </w:r>
          </w:p>
        </w:tc>
        <w:tc>
          <w:tcPr>
            <w:tcW w:w="617" w:type="pct"/>
            <w:shd w:val="clear" w:color="auto" w:fill="auto"/>
            <w:vAlign w:val="center"/>
          </w:tcPr>
          <w:p w14:paraId="66B6DDBD">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0.1</w:t>
            </w:r>
          </w:p>
        </w:tc>
        <w:tc>
          <w:tcPr>
            <w:tcW w:w="473" w:type="pct"/>
            <w:shd w:val="clear" w:color="auto" w:fill="auto"/>
            <w:vAlign w:val="center"/>
          </w:tcPr>
          <w:p w14:paraId="10658024">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+0.1</w:t>
            </w:r>
          </w:p>
        </w:tc>
      </w:tr>
      <w:tr w14:paraId="4A9B18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75" w:type="pct"/>
            <w:vMerge w:val="continue"/>
            <w:vAlign w:val="center"/>
          </w:tcPr>
          <w:p w14:paraId="2C2998F7">
            <w:pPr>
              <w:pStyle w:val="32"/>
              <w:spacing w:before="24" w:after="24" w:line="240" w:lineRule="auto"/>
              <w:rPr>
                <w:rFonts w:ascii="Times New Roman"/>
                <w:snapToGrid w:val="0"/>
                <w:kern w:val="21"/>
                <w:szCs w:val="21"/>
              </w:rPr>
            </w:pPr>
          </w:p>
        </w:tc>
        <w:tc>
          <w:tcPr>
            <w:tcW w:w="589" w:type="pct"/>
            <w:tcBorders>
              <w:top w:val="single" w:color="auto" w:sz="4" w:space="0"/>
              <w:bottom w:val="single" w:color="auto" w:sz="4" w:space="0"/>
            </w:tcBorders>
            <w:shd w:val="clear" w:color="auto" w:fill="auto"/>
            <w:vAlign w:val="center"/>
          </w:tcPr>
          <w:p w14:paraId="52DDFA98">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
              </w:rPr>
            </w:pPr>
            <w:r>
              <w:rPr>
                <w:rFonts w:hint="eastAsia"/>
                <w:color w:val="auto"/>
                <w:szCs w:val="21"/>
                <w:lang w:bidi="ar"/>
              </w:rPr>
              <w:t>废油桶</w:t>
            </w:r>
          </w:p>
        </w:tc>
        <w:tc>
          <w:tcPr>
            <w:tcW w:w="541" w:type="pct"/>
            <w:vAlign w:val="center"/>
          </w:tcPr>
          <w:p w14:paraId="28E38245">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462" w:type="pct"/>
            <w:vAlign w:val="center"/>
          </w:tcPr>
          <w:p w14:paraId="3B095DDE">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vAlign w:val="center"/>
          </w:tcPr>
          <w:p w14:paraId="7162EE74">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565" w:type="pct"/>
            <w:shd w:val="clear" w:color="auto" w:fill="auto"/>
            <w:vAlign w:val="center"/>
          </w:tcPr>
          <w:p w14:paraId="7B62CC0D">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rPr>
              <w:t>0.</w:t>
            </w:r>
            <w:r>
              <w:rPr>
                <w:rFonts w:hint="eastAsia"/>
                <w:color w:val="auto"/>
                <w:szCs w:val="21"/>
                <w:lang w:val="en-US" w:eastAsia="zh-CN"/>
              </w:rPr>
              <w:t>008</w:t>
            </w:r>
          </w:p>
        </w:tc>
        <w:tc>
          <w:tcPr>
            <w:tcW w:w="556" w:type="pct"/>
            <w:vAlign w:val="center"/>
          </w:tcPr>
          <w:p w14:paraId="183B0EED">
            <w:pPr>
              <w:pStyle w:val="32"/>
              <w:spacing w:beforeLines="0" w:afterLines="0" w:line="240" w:lineRule="auto"/>
              <w:rPr>
                <w:rFonts w:ascii="Times New Roman"/>
                <w:snapToGrid w:val="0"/>
                <w:kern w:val="21"/>
                <w:szCs w:val="21"/>
              </w:rPr>
            </w:pPr>
            <w:r>
              <w:rPr>
                <w:rFonts w:ascii="Times New Roman"/>
                <w:snapToGrid w:val="0"/>
                <w:kern w:val="21"/>
                <w:szCs w:val="21"/>
              </w:rPr>
              <w:t>0</w:t>
            </w:r>
          </w:p>
        </w:tc>
        <w:tc>
          <w:tcPr>
            <w:tcW w:w="617" w:type="pct"/>
            <w:shd w:val="clear" w:color="auto" w:fill="auto"/>
            <w:vAlign w:val="center"/>
          </w:tcPr>
          <w:p w14:paraId="2CB86BD9">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rPr>
              <w:t>0.</w:t>
            </w:r>
            <w:r>
              <w:rPr>
                <w:rFonts w:hint="eastAsia"/>
                <w:color w:val="auto"/>
                <w:szCs w:val="21"/>
                <w:lang w:val="en-US" w:eastAsia="zh-CN"/>
              </w:rPr>
              <w:t>008</w:t>
            </w:r>
          </w:p>
        </w:tc>
        <w:tc>
          <w:tcPr>
            <w:tcW w:w="473" w:type="pct"/>
            <w:shd w:val="clear" w:color="auto" w:fill="auto"/>
            <w:vAlign w:val="center"/>
          </w:tcPr>
          <w:p w14:paraId="3A0E1DD4">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w:t>
            </w:r>
            <w:r>
              <w:rPr>
                <w:rFonts w:hint="eastAsia"/>
                <w:color w:val="auto"/>
                <w:szCs w:val="21"/>
              </w:rPr>
              <w:t>0.</w:t>
            </w:r>
            <w:r>
              <w:rPr>
                <w:rFonts w:hint="eastAsia"/>
                <w:color w:val="auto"/>
                <w:szCs w:val="21"/>
                <w:lang w:val="en-US" w:eastAsia="zh-CN"/>
              </w:rPr>
              <w:t>008</w:t>
            </w:r>
          </w:p>
        </w:tc>
      </w:tr>
    </w:tbl>
    <w:p w14:paraId="52BEF974">
      <w:pPr>
        <w:pStyle w:val="32"/>
        <w:spacing w:before="192" w:beforeLines="80" w:after="24"/>
        <w:jc w:val="left"/>
      </w:pPr>
      <w:r>
        <w:rPr>
          <w:rFonts w:hAnsi="宋体"/>
          <w:snapToGrid w:val="0"/>
          <w:kern w:val="21"/>
          <w:szCs w:val="21"/>
        </w:rPr>
        <w:t>注：</w:t>
      </w:r>
      <w:r>
        <w:rPr>
          <w:rFonts w:hAnsi="宋体"/>
          <w:snapToGrid w:val="0"/>
          <w:spacing w:val="-16"/>
          <w:kern w:val="21"/>
          <w:szCs w:val="21"/>
        </w:rPr>
        <w:fldChar w:fldCharType="begin"/>
      </w:r>
      <w:r>
        <w:rPr>
          <w:rFonts w:hAnsi="宋体"/>
          <w:snapToGrid w:val="0"/>
          <w:spacing w:val="-16"/>
          <w:kern w:val="21"/>
          <w:szCs w:val="21"/>
        </w:rPr>
        <w:instrText xml:space="preserve"> = 6 \* GB3 \* MERGEFORMAT </w:instrText>
      </w:r>
      <w:r>
        <w:rPr>
          <w:rFonts w:hAnsi="宋体"/>
          <w:snapToGrid w:val="0"/>
          <w:spacing w:val="-16"/>
          <w:kern w:val="21"/>
          <w:szCs w:val="21"/>
        </w:rPr>
        <w:fldChar w:fldCharType="separate"/>
      </w:r>
      <w:r>
        <w:rPr>
          <w:rFonts w:hint="eastAsia" w:hAnsi="宋体"/>
          <w:szCs w:val="21"/>
        </w:rPr>
        <w:t>⑥</w:t>
      </w:r>
      <w:r>
        <w:rPr>
          <w:rFonts w:hAnsi="宋体"/>
          <w:snapToGrid w:val="0"/>
          <w:spacing w:val="-16"/>
          <w:kern w:val="21"/>
          <w:szCs w:val="21"/>
        </w:rPr>
        <w:fldChar w:fldCharType="end"/>
      </w:r>
      <w:r>
        <w:rPr>
          <w:rFonts w:hAnsi="宋体"/>
          <w:snapToGrid w:val="0"/>
          <w:spacing w:val="-16"/>
          <w:kern w:val="21"/>
          <w:szCs w:val="21"/>
        </w:rPr>
        <w:t>=</w:t>
      </w:r>
      <w:r>
        <w:rPr>
          <w:rFonts w:hAnsi="宋体"/>
          <w:snapToGrid w:val="0"/>
          <w:spacing w:val="-6"/>
          <w:kern w:val="21"/>
          <w:szCs w:val="21"/>
        </w:rPr>
        <w:fldChar w:fldCharType="begin"/>
      </w:r>
      <w:r>
        <w:rPr>
          <w:rFonts w:hAnsi="宋体"/>
          <w:snapToGrid w:val="0"/>
          <w:spacing w:val="-6"/>
          <w:kern w:val="21"/>
          <w:szCs w:val="21"/>
        </w:rPr>
        <w:instrText xml:space="preserve"> = 1 \* GB3 \* MERGEFORMAT </w:instrText>
      </w:r>
      <w:r>
        <w:rPr>
          <w:rFonts w:hAnsi="宋体"/>
          <w:snapToGrid w:val="0"/>
          <w:spacing w:val="-6"/>
          <w:kern w:val="21"/>
          <w:szCs w:val="21"/>
        </w:rPr>
        <w:fldChar w:fldCharType="separate"/>
      </w:r>
      <w:r>
        <w:rPr>
          <w:rFonts w:hint="eastAsia" w:hAnsi="宋体"/>
          <w:szCs w:val="21"/>
        </w:rPr>
        <w:t>①</w:t>
      </w:r>
      <w:r>
        <w:rPr>
          <w:rFonts w:hAnsi="宋体"/>
          <w:snapToGrid w:val="0"/>
          <w:spacing w:val="-6"/>
          <w:kern w:val="21"/>
          <w:szCs w:val="21"/>
        </w:rPr>
        <w:fldChar w:fldCharType="end"/>
      </w:r>
      <w:r>
        <w:rPr>
          <w:rFonts w:hAnsi="宋体"/>
          <w:snapToGrid w:val="0"/>
          <w:spacing w:val="-6"/>
          <w:kern w:val="21"/>
          <w:szCs w:val="21"/>
        </w:rPr>
        <w:t>+</w:t>
      </w:r>
      <w:r>
        <w:rPr>
          <w:rFonts w:hAnsi="宋体"/>
          <w:snapToGrid w:val="0"/>
          <w:spacing w:val="-6"/>
          <w:kern w:val="21"/>
          <w:szCs w:val="21"/>
        </w:rPr>
        <w:fldChar w:fldCharType="begin"/>
      </w:r>
      <w:r>
        <w:rPr>
          <w:rFonts w:hAnsi="宋体"/>
          <w:snapToGrid w:val="0"/>
          <w:spacing w:val="-6"/>
          <w:kern w:val="21"/>
          <w:szCs w:val="21"/>
        </w:rPr>
        <w:instrText xml:space="preserve"> = 3 \* GB3 \* MERGEFORMAT </w:instrText>
      </w:r>
      <w:r>
        <w:rPr>
          <w:rFonts w:hAnsi="宋体"/>
          <w:snapToGrid w:val="0"/>
          <w:spacing w:val="-6"/>
          <w:kern w:val="21"/>
          <w:szCs w:val="21"/>
        </w:rPr>
        <w:fldChar w:fldCharType="separate"/>
      </w:r>
      <w:r>
        <w:rPr>
          <w:rFonts w:hint="eastAsia" w:hAnsi="宋体"/>
          <w:szCs w:val="21"/>
        </w:rPr>
        <w:t>③</w:t>
      </w:r>
      <w:r>
        <w:rPr>
          <w:rFonts w:hAnsi="宋体"/>
          <w:snapToGrid w:val="0"/>
          <w:spacing w:val="-6"/>
          <w:kern w:val="21"/>
          <w:szCs w:val="21"/>
        </w:rPr>
        <w:fldChar w:fldCharType="end"/>
      </w:r>
      <w:r>
        <w:rPr>
          <w:rFonts w:hAnsi="宋体"/>
          <w:snapToGrid w:val="0"/>
          <w:spacing w:val="-6"/>
          <w:kern w:val="21"/>
          <w:szCs w:val="21"/>
        </w:rPr>
        <w:t>+</w:t>
      </w:r>
      <w:r>
        <w:rPr>
          <w:rFonts w:hAnsi="宋体"/>
          <w:snapToGrid w:val="0"/>
          <w:spacing w:val="-6"/>
          <w:kern w:val="21"/>
          <w:szCs w:val="21"/>
        </w:rPr>
        <w:fldChar w:fldCharType="begin"/>
      </w:r>
      <w:r>
        <w:rPr>
          <w:rFonts w:hAnsi="宋体"/>
          <w:snapToGrid w:val="0"/>
          <w:spacing w:val="-6"/>
          <w:kern w:val="21"/>
          <w:szCs w:val="21"/>
        </w:rPr>
        <w:instrText xml:space="preserve"> = 4 \* GB3 \* MERGEFORMAT </w:instrText>
      </w:r>
      <w:r>
        <w:rPr>
          <w:rFonts w:hAnsi="宋体"/>
          <w:snapToGrid w:val="0"/>
          <w:spacing w:val="-6"/>
          <w:kern w:val="21"/>
          <w:szCs w:val="21"/>
        </w:rPr>
        <w:fldChar w:fldCharType="separate"/>
      </w:r>
      <w:r>
        <w:rPr>
          <w:rFonts w:hint="eastAsia" w:hAnsi="宋体"/>
          <w:szCs w:val="21"/>
        </w:rPr>
        <w:t>④</w:t>
      </w:r>
      <w:r>
        <w:rPr>
          <w:rFonts w:hAnsi="宋体"/>
          <w:snapToGrid w:val="0"/>
          <w:spacing w:val="-6"/>
          <w:kern w:val="21"/>
          <w:szCs w:val="21"/>
        </w:rPr>
        <w:fldChar w:fldCharType="end"/>
      </w:r>
      <w:r>
        <w:rPr>
          <w:rFonts w:hAnsi="宋体"/>
          <w:snapToGrid w:val="0"/>
          <w:spacing w:val="-6"/>
          <w:kern w:val="21"/>
          <w:szCs w:val="21"/>
        </w:rPr>
        <w:t>-</w:t>
      </w:r>
      <w:r>
        <w:rPr>
          <w:rFonts w:hAnsi="宋体"/>
          <w:snapToGrid w:val="0"/>
          <w:spacing w:val="-16"/>
          <w:kern w:val="21"/>
          <w:szCs w:val="21"/>
        </w:rPr>
        <w:fldChar w:fldCharType="begin"/>
      </w:r>
      <w:r>
        <w:rPr>
          <w:rFonts w:hAnsi="宋体"/>
          <w:snapToGrid w:val="0"/>
          <w:spacing w:val="-16"/>
          <w:kern w:val="21"/>
          <w:szCs w:val="21"/>
        </w:rPr>
        <w:instrText xml:space="preserve"> = 5 \* GB3 \* MERGEFORMAT </w:instrText>
      </w:r>
      <w:r>
        <w:rPr>
          <w:rFonts w:hAnsi="宋体"/>
          <w:snapToGrid w:val="0"/>
          <w:spacing w:val="-16"/>
          <w:kern w:val="21"/>
          <w:szCs w:val="21"/>
        </w:rPr>
        <w:fldChar w:fldCharType="separate"/>
      </w:r>
      <w:r>
        <w:rPr>
          <w:rFonts w:hint="eastAsia" w:hAnsi="宋体"/>
          <w:szCs w:val="21"/>
        </w:rPr>
        <w:t>⑤</w:t>
      </w:r>
      <w:r>
        <w:rPr>
          <w:rFonts w:hAnsi="宋体"/>
          <w:snapToGrid w:val="0"/>
          <w:spacing w:val="-16"/>
          <w:kern w:val="21"/>
          <w:szCs w:val="21"/>
        </w:rPr>
        <w:fldChar w:fldCharType="end"/>
      </w:r>
      <w:r>
        <w:rPr>
          <w:rFonts w:hAnsi="宋体"/>
          <w:snapToGrid w:val="0"/>
          <w:spacing w:val="-16"/>
          <w:kern w:val="21"/>
          <w:szCs w:val="21"/>
        </w:rPr>
        <w:t>；</w:t>
      </w:r>
      <w:r>
        <w:rPr>
          <w:rFonts w:hAnsi="宋体"/>
          <w:snapToGrid w:val="0"/>
          <w:spacing w:val="-6"/>
          <w:kern w:val="21"/>
          <w:szCs w:val="21"/>
        </w:rPr>
        <w:fldChar w:fldCharType="begin"/>
      </w:r>
      <w:r>
        <w:rPr>
          <w:rFonts w:hAnsi="宋体"/>
          <w:snapToGrid w:val="0"/>
          <w:spacing w:val="-6"/>
          <w:kern w:val="21"/>
          <w:szCs w:val="21"/>
        </w:rPr>
        <w:instrText xml:space="preserve"> = 7 \* GB3 \* MERGEFORMAT </w:instrText>
      </w:r>
      <w:r>
        <w:rPr>
          <w:rFonts w:hAnsi="宋体"/>
          <w:snapToGrid w:val="0"/>
          <w:spacing w:val="-6"/>
          <w:kern w:val="21"/>
          <w:szCs w:val="21"/>
        </w:rPr>
        <w:fldChar w:fldCharType="separate"/>
      </w:r>
      <w:r>
        <w:rPr>
          <w:rFonts w:hint="eastAsia" w:hAnsi="宋体"/>
          <w:szCs w:val="21"/>
        </w:rPr>
        <w:t>⑦</w:t>
      </w:r>
      <w:r>
        <w:rPr>
          <w:rFonts w:hAnsi="宋体"/>
          <w:snapToGrid w:val="0"/>
          <w:spacing w:val="-6"/>
          <w:kern w:val="21"/>
          <w:szCs w:val="21"/>
        </w:rPr>
        <w:fldChar w:fldCharType="end"/>
      </w:r>
      <w:r>
        <w:rPr>
          <w:rFonts w:hAnsi="宋体"/>
          <w:snapToGrid w:val="0"/>
          <w:spacing w:val="-6"/>
          <w:kern w:val="21"/>
          <w:szCs w:val="21"/>
        </w:rPr>
        <w:t>=</w:t>
      </w:r>
      <w:r>
        <w:rPr>
          <w:rFonts w:hAnsi="宋体"/>
          <w:snapToGrid w:val="0"/>
          <w:spacing w:val="-16"/>
          <w:kern w:val="21"/>
          <w:szCs w:val="21"/>
        </w:rPr>
        <w:fldChar w:fldCharType="begin"/>
      </w:r>
      <w:r>
        <w:rPr>
          <w:rFonts w:hAnsi="宋体"/>
          <w:snapToGrid w:val="0"/>
          <w:spacing w:val="-16"/>
          <w:kern w:val="21"/>
          <w:szCs w:val="21"/>
        </w:rPr>
        <w:instrText xml:space="preserve"> = 6 \* GB3 \* MERGEFORMAT </w:instrText>
      </w:r>
      <w:r>
        <w:rPr>
          <w:rFonts w:hAnsi="宋体"/>
          <w:snapToGrid w:val="0"/>
          <w:spacing w:val="-16"/>
          <w:kern w:val="21"/>
          <w:szCs w:val="21"/>
        </w:rPr>
        <w:fldChar w:fldCharType="separate"/>
      </w:r>
      <w:r>
        <w:rPr>
          <w:rFonts w:hint="eastAsia" w:hAnsi="宋体"/>
          <w:szCs w:val="21"/>
        </w:rPr>
        <w:t>⑥</w:t>
      </w:r>
      <w:r>
        <w:rPr>
          <w:rFonts w:hAnsi="宋体"/>
          <w:snapToGrid w:val="0"/>
          <w:spacing w:val="-16"/>
          <w:kern w:val="21"/>
          <w:szCs w:val="21"/>
        </w:rPr>
        <w:fldChar w:fldCharType="end"/>
      </w:r>
      <w:r>
        <w:rPr>
          <w:rFonts w:hAnsi="宋体"/>
          <w:snapToGrid w:val="0"/>
          <w:spacing w:val="-16"/>
          <w:kern w:val="21"/>
          <w:szCs w:val="21"/>
        </w:rPr>
        <w:t>-</w:t>
      </w:r>
      <w:r>
        <w:rPr>
          <w:rFonts w:hAnsi="宋体"/>
          <w:snapToGrid w:val="0"/>
          <w:spacing w:val="-6"/>
          <w:kern w:val="21"/>
          <w:szCs w:val="21"/>
        </w:rPr>
        <w:fldChar w:fldCharType="begin"/>
      </w:r>
      <w:r>
        <w:rPr>
          <w:rFonts w:hAnsi="宋体"/>
          <w:snapToGrid w:val="0"/>
          <w:spacing w:val="-6"/>
          <w:kern w:val="21"/>
          <w:szCs w:val="21"/>
        </w:rPr>
        <w:instrText xml:space="preserve"> = 1 \* GB3 \* MERGEFORMAT </w:instrText>
      </w:r>
      <w:r>
        <w:rPr>
          <w:rFonts w:hAnsi="宋体"/>
          <w:snapToGrid w:val="0"/>
          <w:spacing w:val="-6"/>
          <w:kern w:val="21"/>
          <w:szCs w:val="21"/>
        </w:rPr>
        <w:fldChar w:fldCharType="separate"/>
      </w:r>
      <w:r>
        <w:rPr>
          <w:rFonts w:hint="eastAsia" w:hAnsi="宋体"/>
          <w:szCs w:val="21"/>
        </w:rPr>
        <w:t>①</w:t>
      </w:r>
      <w:r>
        <w:rPr>
          <w:rFonts w:hAnsi="宋体"/>
          <w:snapToGrid w:val="0"/>
          <w:spacing w:val="-6"/>
          <w:kern w:val="21"/>
          <w:szCs w:val="21"/>
        </w:rPr>
        <w:fldChar w:fldCharType="end"/>
      </w:r>
    </w:p>
    <w:p w14:paraId="6B109D37">
      <w:pPr>
        <w:rPr>
          <w:rFonts w:hint="eastAsia" w:ascii="宋体" w:hAnsi="宋体" w:eastAsia="黑体"/>
        </w:rPr>
      </w:pPr>
    </w:p>
    <w:sectPr>
      <w:footerReference r:id="rId8" w:type="default"/>
      <w:pgSz w:w="16838" w:h="11906" w:orient="landscape"/>
      <w:pgMar w:top="1531" w:right="1701" w:bottom="1531" w:left="1701" w:header="851" w:footer="851" w:gutter="0"/>
      <w:pgBorders>
        <w:top w:val="none" w:sz="0" w:space="0"/>
        <w:left w:val="none" w:sz="0" w:space="0"/>
        <w:bottom w:val="none" w:sz="0" w:space="0"/>
        <w:right w:val="none" w:sz="0" w:space="0"/>
      </w:pgBorders>
      <w:cols w:space="720" w:num="1"/>
      <w:docGrid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r" w:date="2026-03-25T16:00:15Z" w:initials="">
    <w:p w14:paraId="0DB85282">
      <w:pPr>
        <w:pStyle w:val="11"/>
        <w:rPr>
          <w:rFonts w:hint="default" w:eastAsia="宋体"/>
          <w:lang w:val="en-US" w:eastAsia="zh-CN"/>
        </w:rPr>
      </w:pPr>
      <w:r>
        <w:rPr>
          <w:rFonts w:hint="eastAsia"/>
          <w:lang w:val="en-US" w:eastAsia="zh-CN"/>
        </w:rPr>
        <w:t>项目仅有LED显示模组焊电源线时必需要进行手工焊接，COB灯带仅在回流焊接不合格时进行手工补焊，焊接量极少。因此300万件显示模组设置25个人工焊接工位可以满足要求，平均每个工位生产速率为17件/h。</w:t>
      </w:r>
    </w:p>
  </w:comment>
  <w:comment w:id="1" w:author="r" w:date="2026-03-25T16:06:31Z" w:initials="">
    <w:p w14:paraId="28467E3C">
      <w:pPr>
        <w:pStyle w:val="11"/>
        <w:rPr>
          <w:rFonts w:hint="eastAsia"/>
          <w:lang w:val="en-US" w:eastAsia="zh-CN"/>
        </w:rPr>
      </w:pPr>
      <w:r>
        <w:rPr>
          <w:rFonts w:hint="eastAsia"/>
          <w:lang w:val="en-US" w:eastAsia="zh-CN"/>
        </w:rPr>
        <w:t>LED显示模组仅需要手工焊接电源线，其余均在回流焊接完成，因此使用小型可移动式的集气罩废气收集效率更高，示意图如下。</w:t>
      </w:r>
    </w:p>
    <w:p w14:paraId="1F69174B">
      <w:pPr>
        <w:pStyle w:val="11"/>
        <w:rPr>
          <w:rFonts w:hint="default"/>
          <w:lang w:val="en-US" w:eastAsia="zh-CN"/>
        </w:rPr>
      </w:pPr>
      <w:r>
        <w:rPr>
          <w:rFonts w:hint="default"/>
          <w:lang w:val="en-US" w:eastAsia="zh-CN"/>
        </w:rPr>
        <w:drawing>
          <wp:inline distT="0" distB="0" distL="114300" distR="114300">
            <wp:extent cx="5730240" cy="7941310"/>
            <wp:effectExtent l="0" t="0" r="10160" b="8890"/>
            <wp:docPr id="5" name="图片 5" descr="22231a24703dd95cd01d52bec3676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2231a24703dd95cd01d52bec3676eed"/>
                    <pic:cNvPicPr>
                      <a:picLocks noChangeAspect="1"/>
                    </pic:cNvPicPr>
                  </pic:nvPicPr>
                  <pic:blipFill>
                    <a:blip r:embed="rId1"/>
                    <a:stretch>
                      <a:fillRect/>
                    </a:stretch>
                  </pic:blipFill>
                  <pic:spPr>
                    <a:xfrm>
                      <a:off x="0" y="0"/>
                      <a:ext cx="5730240" cy="7941310"/>
                    </a:xfrm>
                    <a:prstGeom prst="rect">
                      <a:avLst/>
                    </a:prstGeom>
                  </pic:spPr>
                </pic:pic>
              </a:graphicData>
            </a:graphic>
          </wp:inline>
        </w:drawing>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0DB85282" w15:done="0"/>
  <w15:commentEx w15:paraId="1F69174B"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Arial Unicode MS">
    <w:altName w:val="宋体"/>
    <w:panose1 w:val="020B0604020202020204"/>
    <w:charset w:val="86"/>
    <w:family w:val="swiss"/>
    <w:pitch w:val="default"/>
    <w:sig w:usb0="00000000" w:usb1="00000000" w:usb2="0000007F" w:usb3="00000000" w:csb0="003F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auto"/>
    <w:pitch w:val="default"/>
    <w:sig w:usb0="E1002EFF" w:usb1="C000605B" w:usb2="00000029" w:usb3="00000000" w:csb0="200101FF" w:csb1="2028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78663">
    <w:pPr>
      <w:pStyle w:val="17"/>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66482">
    <w:pPr>
      <w:pStyle w:val="17"/>
      <w:framePr w:wrap="around" w:vAnchor="text" w:hAnchor="margin" w:xAlign="center" w:y="1"/>
      <w:rPr>
        <w:rStyle w:val="26"/>
      </w:rPr>
    </w:pPr>
    <w:r>
      <w:fldChar w:fldCharType="begin"/>
    </w:r>
    <w:r>
      <w:rPr>
        <w:rStyle w:val="26"/>
      </w:rPr>
      <w:instrText xml:space="preserve">PAGE  </w:instrText>
    </w:r>
    <w:r>
      <w:fldChar w:fldCharType="separate"/>
    </w:r>
    <w:r>
      <w:rPr>
        <w:rStyle w:val="26"/>
      </w:rPr>
      <w:t>16</w:t>
    </w:r>
    <w:r>
      <w:fldChar w:fldCharType="end"/>
    </w:r>
  </w:p>
  <w:p w14:paraId="610A8D7E">
    <w:pPr>
      <w:pStyle w:val="1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73211">
    <w:pPr>
      <w:pStyle w:val="17"/>
      <w:framePr w:wrap="around" w:vAnchor="text" w:hAnchor="margin" w:xAlign="outside" w:y="1"/>
      <w:rPr>
        <w:rStyle w:val="26"/>
        <w:rFonts w:hint="eastAsia" w:ascii="宋体" w:hAnsi="宋体"/>
        <w:sz w:val="28"/>
        <w:szCs w:val="28"/>
      </w:rPr>
    </w:pPr>
    <w:r>
      <w:rPr>
        <w:rStyle w:val="26"/>
        <w:rFonts w:hint="eastAsia" w:ascii="宋体" w:hAnsi="宋体"/>
        <w:sz w:val="28"/>
        <w:szCs w:val="28"/>
      </w:rPr>
      <w:t>—</w:t>
    </w:r>
    <w:r>
      <w:rPr>
        <w:rStyle w:val="26"/>
        <w:rFonts w:hint="eastAsia" w:ascii="宋体" w:hAnsi="宋体"/>
        <w:sz w:val="20"/>
      </w:rPr>
      <w:t xml:space="preserve">  </w:t>
    </w:r>
    <w:r>
      <w:rPr>
        <w:rStyle w:val="26"/>
        <w:rFonts w:ascii="宋体" w:hAnsi="宋体"/>
        <w:sz w:val="26"/>
        <w:szCs w:val="26"/>
      </w:rPr>
      <w:fldChar w:fldCharType="begin"/>
    </w:r>
    <w:r>
      <w:rPr>
        <w:rStyle w:val="26"/>
        <w:rFonts w:ascii="宋体" w:hAnsi="宋体"/>
        <w:sz w:val="26"/>
        <w:szCs w:val="26"/>
      </w:rPr>
      <w:instrText xml:space="preserve">PAGE  </w:instrText>
    </w:r>
    <w:r>
      <w:rPr>
        <w:rStyle w:val="26"/>
        <w:rFonts w:ascii="宋体" w:hAnsi="宋体"/>
        <w:sz w:val="26"/>
        <w:szCs w:val="26"/>
      </w:rPr>
      <w:fldChar w:fldCharType="separate"/>
    </w:r>
    <w:r>
      <w:rPr>
        <w:rStyle w:val="26"/>
        <w:rFonts w:ascii="宋体" w:hAnsi="宋体"/>
        <w:sz w:val="26"/>
        <w:szCs w:val="26"/>
      </w:rPr>
      <w:t>9</w:t>
    </w:r>
    <w:r>
      <w:rPr>
        <w:rStyle w:val="26"/>
        <w:rFonts w:ascii="宋体" w:hAnsi="宋体"/>
        <w:sz w:val="26"/>
        <w:szCs w:val="26"/>
      </w:rPr>
      <w:fldChar w:fldCharType="end"/>
    </w:r>
    <w:r>
      <w:rPr>
        <w:rStyle w:val="26"/>
        <w:rFonts w:hint="eastAsia" w:ascii="宋体" w:hAnsi="宋体"/>
        <w:sz w:val="20"/>
      </w:rPr>
      <w:t xml:space="preserve">  </w:t>
    </w:r>
    <w:r>
      <w:rPr>
        <w:rStyle w:val="26"/>
        <w:rFonts w:hint="eastAsia" w:ascii="宋体" w:hAnsi="宋体"/>
        <w:sz w:val="28"/>
        <w:szCs w:val="28"/>
      </w:rPr>
      <w:t>—</w:t>
    </w:r>
  </w:p>
  <w:p w14:paraId="46887245">
    <w:pPr>
      <w:pStyle w:val="17"/>
      <w:ind w:right="360" w:firstLine="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E76DB">
    <w:pPr>
      <w:pStyle w:val="17"/>
      <w:framePr w:wrap="around" w:vAnchor="text" w:hAnchor="margin" w:xAlign="outside" w:y="1"/>
      <w:rPr>
        <w:rStyle w:val="26"/>
        <w:rFonts w:hint="eastAsia" w:ascii="宋体" w:hAnsi="宋体"/>
        <w:sz w:val="28"/>
        <w:szCs w:val="28"/>
      </w:rPr>
    </w:pPr>
    <w:r>
      <w:rPr>
        <w:rStyle w:val="26"/>
        <w:rFonts w:hint="eastAsia" w:ascii="宋体" w:hAnsi="宋体"/>
        <w:sz w:val="28"/>
        <w:szCs w:val="28"/>
      </w:rPr>
      <w:t>—</w:t>
    </w:r>
    <w:r>
      <w:rPr>
        <w:rStyle w:val="26"/>
        <w:rFonts w:hint="eastAsia" w:ascii="宋体" w:hAnsi="宋体"/>
        <w:sz w:val="20"/>
      </w:rPr>
      <w:t xml:space="preserve">  </w:t>
    </w:r>
    <w:r>
      <w:rPr>
        <w:rStyle w:val="26"/>
        <w:rFonts w:ascii="宋体" w:hAnsi="宋体"/>
        <w:sz w:val="26"/>
        <w:szCs w:val="26"/>
      </w:rPr>
      <w:fldChar w:fldCharType="begin"/>
    </w:r>
    <w:r>
      <w:rPr>
        <w:rStyle w:val="26"/>
        <w:rFonts w:ascii="宋体" w:hAnsi="宋体"/>
        <w:sz w:val="26"/>
        <w:szCs w:val="26"/>
      </w:rPr>
      <w:instrText xml:space="preserve">PAGE  </w:instrText>
    </w:r>
    <w:r>
      <w:rPr>
        <w:rStyle w:val="26"/>
        <w:rFonts w:ascii="宋体" w:hAnsi="宋体"/>
        <w:sz w:val="26"/>
        <w:szCs w:val="26"/>
      </w:rPr>
      <w:fldChar w:fldCharType="separate"/>
    </w:r>
    <w:r>
      <w:rPr>
        <w:rStyle w:val="26"/>
        <w:rFonts w:ascii="宋体" w:hAnsi="宋体"/>
        <w:sz w:val="26"/>
        <w:szCs w:val="26"/>
      </w:rPr>
      <w:t>11</w:t>
    </w:r>
    <w:r>
      <w:rPr>
        <w:rStyle w:val="26"/>
        <w:rFonts w:ascii="宋体" w:hAnsi="宋体"/>
        <w:sz w:val="26"/>
        <w:szCs w:val="26"/>
      </w:rPr>
      <w:fldChar w:fldCharType="end"/>
    </w:r>
    <w:r>
      <w:rPr>
        <w:rStyle w:val="26"/>
        <w:rFonts w:hint="eastAsia" w:ascii="宋体" w:hAnsi="宋体"/>
        <w:sz w:val="20"/>
      </w:rPr>
      <w:t xml:space="preserve">  </w:t>
    </w:r>
    <w:r>
      <w:rPr>
        <w:rStyle w:val="26"/>
        <w:rFonts w:hint="eastAsia" w:ascii="宋体" w:hAnsi="宋体"/>
        <w:sz w:val="28"/>
        <w:szCs w:val="28"/>
      </w:rPr>
      <w:t>—</w:t>
    </w:r>
  </w:p>
  <w:p w14:paraId="27125B52">
    <w:pPr>
      <w:pStyle w:val="17"/>
      <w:ind w:right="360" w:firstLine="360"/>
      <w:jc w:val="cen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3162D1"/>
    <w:multiLevelType w:val="singleLevel"/>
    <w:tmpl w:val="913162D1"/>
    <w:lvl w:ilvl="0" w:tentative="0">
      <w:start w:val="1"/>
      <w:numFmt w:val="decimal"/>
      <w:suff w:val="nothing"/>
      <w:lvlText w:val="（%1）"/>
      <w:lvlJc w:val="left"/>
    </w:lvl>
  </w:abstractNum>
  <w:abstractNum w:abstractNumId="1">
    <w:nsid w:val="5C3D3CFD"/>
    <w:multiLevelType w:val="singleLevel"/>
    <w:tmpl w:val="5C3D3CFD"/>
    <w:lvl w:ilvl="0" w:tentative="0">
      <w:start w:val="2"/>
      <w:numFmt w:val="decimal"/>
      <w:suff w:val="nothing"/>
      <w:lvlText w:val="（%1）"/>
      <w:lvlJc w:val="left"/>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r">
    <w15:presenceInfo w15:providerId="WPS Office" w15:userId="148448622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dit="trackedChanges" w:enforcement="0"/>
  <w:defaultTabStop w:val="420"/>
  <w:characterSpacingControl w:val="doNotCompress"/>
  <w:noLineBreaksAfter w:lang="zh-CN" w:val="([{·‘“〈《「『【〔〖（．［｛￡￥"/>
  <w:noLineBreaksBefore w:lang="zh-CN" w:val="!),.:;?]}¨·ˇˉ―‖’”…∶、。〃々〉》」』】〕〗！＂＇），．：；？］｀｜｝～￠"/>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4947"/>
    <w:rsid w:val="000014E3"/>
    <w:rsid w:val="000036B9"/>
    <w:rsid w:val="00003BA9"/>
    <w:rsid w:val="00003C03"/>
    <w:rsid w:val="00003D75"/>
    <w:rsid w:val="00003D96"/>
    <w:rsid w:val="000046A9"/>
    <w:rsid w:val="00004F54"/>
    <w:rsid w:val="00005812"/>
    <w:rsid w:val="0000596B"/>
    <w:rsid w:val="000060B3"/>
    <w:rsid w:val="00006A04"/>
    <w:rsid w:val="00006EA9"/>
    <w:rsid w:val="00007753"/>
    <w:rsid w:val="00010CC7"/>
    <w:rsid w:val="0001110D"/>
    <w:rsid w:val="00011A80"/>
    <w:rsid w:val="00011E21"/>
    <w:rsid w:val="00011E2E"/>
    <w:rsid w:val="00011FD2"/>
    <w:rsid w:val="000121B7"/>
    <w:rsid w:val="0001237A"/>
    <w:rsid w:val="00013794"/>
    <w:rsid w:val="000139FC"/>
    <w:rsid w:val="00014353"/>
    <w:rsid w:val="00014A10"/>
    <w:rsid w:val="00014C57"/>
    <w:rsid w:val="00015723"/>
    <w:rsid w:val="00015967"/>
    <w:rsid w:val="00015CE0"/>
    <w:rsid w:val="00015DF0"/>
    <w:rsid w:val="00015E35"/>
    <w:rsid w:val="00016138"/>
    <w:rsid w:val="000174F2"/>
    <w:rsid w:val="00017C9A"/>
    <w:rsid w:val="00020B40"/>
    <w:rsid w:val="00021187"/>
    <w:rsid w:val="00021393"/>
    <w:rsid w:val="000215D8"/>
    <w:rsid w:val="000218C6"/>
    <w:rsid w:val="00021BE2"/>
    <w:rsid w:val="00021CED"/>
    <w:rsid w:val="00022293"/>
    <w:rsid w:val="00022EC4"/>
    <w:rsid w:val="000230D3"/>
    <w:rsid w:val="0002382E"/>
    <w:rsid w:val="000246E7"/>
    <w:rsid w:val="000250A3"/>
    <w:rsid w:val="000252F2"/>
    <w:rsid w:val="00025A4D"/>
    <w:rsid w:val="00025AB6"/>
    <w:rsid w:val="00026694"/>
    <w:rsid w:val="000268D4"/>
    <w:rsid w:val="0002696A"/>
    <w:rsid w:val="000272DC"/>
    <w:rsid w:val="00027884"/>
    <w:rsid w:val="0002799C"/>
    <w:rsid w:val="00027E62"/>
    <w:rsid w:val="0003099A"/>
    <w:rsid w:val="00030E49"/>
    <w:rsid w:val="00031096"/>
    <w:rsid w:val="000312AF"/>
    <w:rsid w:val="00031319"/>
    <w:rsid w:val="00031C4B"/>
    <w:rsid w:val="0003201C"/>
    <w:rsid w:val="0003238E"/>
    <w:rsid w:val="000323C9"/>
    <w:rsid w:val="0003437A"/>
    <w:rsid w:val="00034412"/>
    <w:rsid w:val="0003509A"/>
    <w:rsid w:val="0003516B"/>
    <w:rsid w:val="00035365"/>
    <w:rsid w:val="00035E5E"/>
    <w:rsid w:val="0003601A"/>
    <w:rsid w:val="0003609D"/>
    <w:rsid w:val="00036F1F"/>
    <w:rsid w:val="00037735"/>
    <w:rsid w:val="00037A0D"/>
    <w:rsid w:val="00040628"/>
    <w:rsid w:val="0004076C"/>
    <w:rsid w:val="00040CC7"/>
    <w:rsid w:val="00040F2B"/>
    <w:rsid w:val="000423B1"/>
    <w:rsid w:val="00042512"/>
    <w:rsid w:val="0004293F"/>
    <w:rsid w:val="00042AC9"/>
    <w:rsid w:val="00042EAC"/>
    <w:rsid w:val="0004364B"/>
    <w:rsid w:val="00043D66"/>
    <w:rsid w:val="0004419A"/>
    <w:rsid w:val="00045149"/>
    <w:rsid w:val="000453E4"/>
    <w:rsid w:val="00045466"/>
    <w:rsid w:val="000456DF"/>
    <w:rsid w:val="00045845"/>
    <w:rsid w:val="00045E6A"/>
    <w:rsid w:val="00045E8F"/>
    <w:rsid w:val="000465ED"/>
    <w:rsid w:val="00046C08"/>
    <w:rsid w:val="0004704D"/>
    <w:rsid w:val="000477D9"/>
    <w:rsid w:val="00050D6C"/>
    <w:rsid w:val="00051A7B"/>
    <w:rsid w:val="00051B05"/>
    <w:rsid w:val="00051D82"/>
    <w:rsid w:val="00051F72"/>
    <w:rsid w:val="0005288F"/>
    <w:rsid w:val="00054831"/>
    <w:rsid w:val="00055062"/>
    <w:rsid w:val="000554EE"/>
    <w:rsid w:val="00055648"/>
    <w:rsid w:val="00055B88"/>
    <w:rsid w:val="00055DD7"/>
    <w:rsid w:val="00055EAA"/>
    <w:rsid w:val="0005650D"/>
    <w:rsid w:val="00060356"/>
    <w:rsid w:val="00061238"/>
    <w:rsid w:val="000613B2"/>
    <w:rsid w:val="000619FC"/>
    <w:rsid w:val="00061B1F"/>
    <w:rsid w:val="00061E6E"/>
    <w:rsid w:val="00062564"/>
    <w:rsid w:val="00062778"/>
    <w:rsid w:val="000633B0"/>
    <w:rsid w:val="00063A92"/>
    <w:rsid w:val="00063B49"/>
    <w:rsid w:val="0006427E"/>
    <w:rsid w:val="000647BD"/>
    <w:rsid w:val="00064980"/>
    <w:rsid w:val="00064987"/>
    <w:rsid w:val="00064B1D"/>
    <w:rsid w:val="00064C30"/>
    <w:rsid w:val="000657F4"/>
    <w:rsid w:val="00065816"/>
    <w:rsid w:val="00065FF1"/>
    <w:rsid w:val="00066272"/>
    <w:rsid w:val="0006691D"/>
    <w:rsid w:val="00066AF4"/>
    <w:rsid w:val="000673C2"/>
    <w:rsid w:val="00067853"/>
    <w:rsid w:val="00067F95"/>
    <w:rsid w:val="00070213"/>
    <w:rsid w:val="00070675"/>
    <w:rsid w:val="000709E5"/>
    <w:rsid w:val="00071491"/>
    <w:rsid w:val="00071DCE"/>
    <w:rsid w:val="00072995"/>
    <w:rsid w:val="00072EFF"/>
    <w:rsid w:val="000733C4"/>
    <w:rsid w:val="00073AB9"/>
    <w:rsid w:val="00073B3A"/>
    <w:rsid w:val="00073B65"/>
    <w:rsid w:val="00073E5E"/>
    <w:rsid w:val="00074783"/>
    <w:rsid w:val="00074C27"/>
    <w:rsid w:val="00074D7A"/>
    <w:rsid w:val="00075DE0"/>
    <w:rsid w:val="00077552"/>
    <w:rsid w:val="00080080"/>
    <w:rsid w:val="0008065C"/>
    <w:rsid w:val="0008070B"/>
    <w:rsid w:val="00080B41"/>
    <w:rsid w:val="000810AC"/>
    <w:rsid w:val="00081261"/>
    <w:rsid w:val="00081A02"/>
    <w:rsid w:val="00081ADA"/>
    <w:rsid w:val="00081DA0"/>
    <w:rsid w:val="00082231"/>
    <w:rsid w:val="000830A2"/>
    <w:rsid w:val="000839CC"/>
    <w:rsid w:val="0008482A"/>
    <w:rsid w:val="00084A1A"/>
    <w:rsid w:val="00085F1B"/>
    <w:rsid w:val="0008613E"/>
    <w:rsid w:val="000864CF"/>
    <w:rsid w:val="00086C99"/>
    <w:rsid w:val="00087350"/>
    <w:rsid w:val="000879ED"/>
    <w:rsid w:val="0009019B"/>
    <w:rsid w:val="0009054F"/>
    <w:rsid w:val="00090A6F"/>
    <w:rsid w:val="00090DE3"/>
    <w:rsid w:val="00090F5D"/>
    <w:rsid w:val="00090FC0"/>
    <w:rsid w:val="00090FF4"/>
    <w:rsid w:val="000918EF"/>
    <w:rsid w:val="00092243"/>
    <w:rsid w:val="000927C3"/>
    <w:rsid w:val="00092D38"/>
    <w:rsid w:val="00093324"/>
    <w:rsid w:val="00093417"/>
    <w:rsid w:val="0009377B"/>
    <w:rsid w:val="00093889"/>
    <w:rsid w:val="000945E0"/>
    <w:rsid w:val="0009483E"/>
    <w:rsid w:val="00094E4F"/>
    <w:rsid w:val="000950F9"/>
    <w:rsid w:val="00095EC5"/>
    <w:rsid w:val="00096F44"/>
    <w:rsid w:val="00097588"/>
    <w:rsid w:val="000A01F8"/>
    <w:rsid w:val="000A0346"/>
    <w:rsid w:val="000A04F0"/>
    <w:rsid w:val="000A07B0"/>
    <w:rsid w:val="000A16A6"/>
    <w:rsid w:val="000A1DD1"/>
    <w:rsid w:val="000A1E34"/>
    <w:rsid w:val="000A20C2"/>
    <w:rsid w:val="000A20C9"/>
    <w:rsid w:val="000A222E"/>
    <w:rsid w:val="000A2959"/>
    <w:rsid w:val="000A2C65"/>
    <w:rsid w:val="000A3B65"/>
    <w:rsid w:val="000A3EFE"/>
    <w:rsid w:val="000A47ED"/>
    <w:rsid w:val="000A4A70"/>
    <w:rsid w:val="000A4CC2"/>
    <w:rsid w:val="000A4D2B"/>
    <w:rsid w:val="000A5113"/>
    <w:rsid w:val="000A528C"/>
    <w:rsid w:val="000A56E6"/>
    <w:rsid w:val="000A5986"/>
    <w:rsid w:val="000A59AB"/>
    <w:rsid w:val="000A62C6"/>
    <w:rsid w:val="000A6571"/>
    <w:rsid w:val="000A68E4"/>
    <w:rsid w:val="000B058F"/>
    <w:rsid w:val="000B2412"/>
    <w:rsid w:val="000B27A5"/>
    <w:rsid w:val="000B369F"/>
    <w:rsid w:val="000B37DA"/>
    <w:rsid w:val="000B3DBA"/>
    <w:rsid w:val="000B4235"/>
    <w:rsid w:val="000B4467"/>
    <w:rsid w:val="000B4BCB"/>
    <w:rsid w:val="000B4DB9"/>
    <w:rsid w:val="000B56E0"/>
    <w:rsid w:val="000B75B5"/>
    <w:rsid w:val="000B78A4"/>
    <w:rsid w:val="000B7F93"/>
    <w:rsid w:val="000C0251"/>
    <w:rsid w:val="000C09AC"/>
    <w:rsid w:val="000C15B0"/>
    <w:rsid w:val="000C1A17"/>
    <w:rsid w:val="000C2712"/>
    <w:rsid w:val="000C33C0"/>
    <w:rsid w:val="000C33F6"/>
    <w:rsid w:val="000C3661"/>
    <w:rsid w:val="000C3B44"/>
    <w:rsid w:val="000C3B5F"/>
    <w:rsid w:val="000C3CE5"/>
    <w:rsid w:val="000C4814"/>
    <w:rsid w:val="000C5C4B"/>
    <w:rsid w:val="000C6043"/>
    <w:rsid w:val="000C6841"/>
    <w:rsid w:val="000C7327"/>
    <w:rsid w:val="000C767F"/>
    <w:rsid w:val="000D0BBF"/>
    <w:rsid w:val="000D0C92"/>
    <w:rsid w:val="000D11E9"/>
    <w:rsid w:val="000D12C1"/>
    <w:rsid w:val="000D1472"/>
    <w:rsid w:val="000D153F"/>
    <w:rsid w:val="000D1CBE"/>
    <w:rsid w:val="000D2807"/>
    <w:rsid w:val="000D2C35"/>
    <w:rsid w:val="000D2F69"/>
    <w:rsid w:val="000D34CF"/>
    <w:rsid w:val="000D3B69"/>
    <w:rsid w:val="000D3F8D"/>
    <w:rsid w:val="000D5089"/>
    <w:rsid w:val="000D522D"/>
    <w:rsid w:val="000D5324"/>
    <w:rsid w:val="000D5512"/>
    <w:rsid w:val="000D570E"/>
    <w:rsid w:val="000D5A44"/>
    <w:rsid w:val="000D5C04"/>
    <w:rsid w:val="000D6341"/>
    <w:rsid w:val="000D680B"/>
    <w:rsid w:val="000D68F9"/>
    <w:rsid w:val="000D789C"/>
    <w:rsid w:val="000D7B39"/>
    <w:rsid w:val="000D7DE9"/>
    <w:rsid w:val="000E02BF"/>
    <w:rsid w:val="000E04E9"/>
    <w:rsid w:val="000E0E83"/>
    <w:rsid w:val="000E1289"/>
    <w:rsid w:val="000E1540"/>
    <w:rsid w:val="000E20A6"/>
    <w:rsid w:val="000E26B9"/>
    <w:rsid w:val="000E2884"/>
    <w:rsid w:val="000E2BCF"/>
    <w:rsid w:val="000E3182"/>
    <w:rsid w:val="000E35A7"/>
    <w:rsid w:val="000E3ACE"/>
    <w:rsid w:val="000E3B32"/>
    <w:rsid w:val="000E3ED2"/>
    <w:rsid w:val="000E438C"/>
    <w:rsid w:val="000E479C"/>
    <w:rsid w:val="000E5180"/>
    <w:rsid w:val="000E5CEF"/>
    <w:rsid w:val="000E76B0"/>
    <w:rsid w:val="000E7A3F"/>
    <w:rsid w:val="000F001B"/>
    <w:rsid w:val="000F0173"/>
    <w:rsid w:val="000F0613"/>
    <w:rsid w:val="000F07F1"/>
    <w:rsid w:val="000F161C"/>
    <w:rsid w:val="000F2BC4"/>
    <w:rsid w:val="000F2D99"/>
    <w:rsid w:val="000F2E73"/>
    <w:rsid w:val="000F2ED2"/>
    <w:rsid w:val="000F3835"/>
    <w:rsid w:val="000F3E45"/>
    <w:rsid w:val="000F42CC"/>
    <w:rsid w:val="000F456F"/>
    <w:rsid w:val="000F4F90"/>
    <w:rsid w:val="000F5521"/>
    <w:rsid w:val="000F61F1"/>
    <w:rsid w:val="000F6D44"/>
    <w:rsid w:val="000F6EAB"/>
    <w:rsid w:val="000F6F1A"/>
    <w:rsid w:val="000F723D"/>
    <w:rsid w:val="000F7801"/>
    <w:rsid w:val="000F7A1C"/>
    <w:rsid w:val="000F7E25"/>
    <w:rsid w:val="00100246"/>
    <w:rsid w:val="0010193B"/>
    <w:rsid w:val="00101BB4"/>
    <w:rsid w:val="00101DDE"/>
    <w:rsid w:val="0010338E"/>
    <w:rsid w:val="001043A4"/>
    <w:rsid w:val="00104467"/>
    <w:rsid w:val="00104B67"/>
    <w:rsid w:val="00104BB8"/>
    <w:rsid w:val="00105481"/>
    <w:rsid w:val="00105BDA"/>
    <w:rsid w:val="00105C56"/>
    <w:rsid w:val="00106558"/>
    <w:rsid w:val="0010686E"/>
    <w:rsid w:val="001069D5"/>
    <w:rsid w:val="00106FEB"/>
    <w:rsid w:val="001071DF"/>
    <w:rsid w:val="001073B9"/>
    <w:rsid w:val="00107D55"/>
    <w:rsid w:val="00107E81"/>
    <w:rsid w:val="001108F6"/>
    <w:rsid w:val="0011095D"/>
    <w:rsid w:val="00110D1E"/>
    <w:rsid w:val="00111145"/>
    <w:rsid w:val="0011115B"/>
    <w:rsid w:val="001117AA"/>
    <w:rsid w:val="001117BC"/>
    <w:rsid w:val="00112562"/>
    <w:rsid w:val="001125CE"/>
    <w:rsid w:val="00112A40"/>
    <w:rsid w:val="00113571"/>
    <w:rsid w:val="0011358A"/>
    <w:rsid w:val="00113CCB"/>
    <w:rsid w:val="00114920"/>
    <w:rsid w:val="00114ED9"/>
    <w:rsid w:val="00115260"/>
    <w:rsid w:val="001157DD"/>
    <w:rsid w:val="001159B0"/>
    <w:rsid w:val="00115C49"/>
    <w:rsid w:val="001164C3"/>
    <w:rsid w:val="00116FEC"/>
    <w:rsid w:val="0011734E"/>
    <w:rsid w:val="0011784E"/>
    <w:rsid w:val="00117C0A"/>
    <w:rsid w:val="0012042B"/>
    <w:rsid w:val="00120F42"/>
    <w:rsid w:val="00121463"/>
    <w:rsid w:val="001217A9"/>
    <w:rsid w:val="001219D4"/>
    <w:rsid w:val="00121CFB"/>
    <w:rsid w:val="00123131"/>
    <w:rsid w:val="001232EC"/>
    <w:rsid w:val="0012373B"/>
    <w:rsid w:val="001237C9"/>
    <w:rsid w:val="00123903"/>
    <w:rsid w:val="00123C68"/>
    <w:rsid w:val="00125622"/>
    <w:rsid w:val="00125CDF"/>
    <w:rsid w:val="00125F2E"/>
    <w:rsid w:val="00125FDB"/>
    <w:rsid w:val="00126E4D"/>
    <w:rsid w:val="00127A2E"/>
    <w:rsid w:val="00127FCD"/>
    <w:rsid w:val="00130862"/>
    <w:rsid w:val="00130AAB"/>
    <w:rsid w:val="0013109E"/>
    <w:rsid w:val="00131843"/>
    <w:rsid w:val="00131853"/>
    <w:rsid w:val="00131C3E"/>
    <w:rsid w:val="00131E7E"/>
    <w:rsid w:val="00131F42"/>
    <w:rsid w:val="00132655"/>
    <w:rsid w:val="00133A7F"/>
    <w:rsid w:val="00134345"/>
    <w:rsid w:val="00134A48"/>
    <w:rsid w:val="00134C3A"/>
    <w:rsid w:val="001354F0"/>
    <w:rsid w:val="001357F1"/>
    <w:rsid w:val="00135839"/>
    <w:rsid w:val="00136019"/>
    <w:rsid w:val="00136D90"/>
    <w:rsid w:val="00140006"/>
    <w:rsid w:val="0014011B"/>
    <w:rsid w:val="001402D8"/>
    <w:rsid w:val="0014050D"/>
    <w:rsid w:val="00140FA8"/>
    <w:rsid w:val="001411D9"/>
    <w:rsid w:val="0014195A"/>
    <w:rsid w:val="00142FEB"/>
    <w:rsid w:val="00143491"/>
    <w:rsid w:val="0014355C"/>
    <w:rsid w:val="0014358B"/>
    <w:rsid w:val="00143646"/>
    <w:rsid w:val="00143A2D"/>
    <w:rsid w:val="00143F69"/>
    <w:rsid w:val="00144142"/>
    <w:rsid w:val="00144684"/>
    <w:rsid w:val="001446E3"/>
    <w:rsid w:val="0014483D"/>
    <w:rsid w:val="00144E12"/>
    <w:rsid w:val="00145663"/>
    <w:rsid w:val="00145814"/>
    <w:rsid w:val="00145A41"/>
    <w:rsid w:val="00145A69"/>
    <w:rsid w:val="00145FD5"/>
    <w:rsid w:val="00146319"/>
    <w:rsid w:val="00146DB4"/>
    <w:rsid w:val="001475BB"/>
    <w:rsid w:val="001477A3"/>
    <w:rsid w:val="00147991"/>
    <w:rsid w:val="00147ACB"/>
    <w:rsid w:val="001502AF"/>
    <w:rsid w:val="00150F34"/>
    <w:rsid w:val="00150F38"/>
    <w:rsid w:val="00150F47"/>
    <w:rsid w:val="00151675"/>
    <w:rsid w:val="0015176E"/>
    <w:rsid w:val="00152A7B"/>
    <w:rsid w:val="00153549"/>
    <w:rsid w:val="00154155"/>
    <w:rsid w:val="001541D3"/>
    <w:rsid w:val="00154D60"/>
    <w:rsid w:val="00154DC6"/>
    <w:rsid w:val="00154F67"/>
    <w:rsid w:val="00154FC6"/>
    <w:rsid w:val="001555D3"/>
    <w:rsid w:val="00155878"/>
    <w:rsid w:val="0015642E"/>
    <w:rsid w:val="00156850"/>
    <w:rsid w:val="00156B54"/>
    <w:rsid w:val="00157435"/>
    <w:rsid w:val="001578B8"/>
    <w:rsid w:val="00160554"/>
    <w:rsid w:val="001616D1"/>
    <w:rsid w:val="001622A4"/>
    <w:rsid w:val="001623C2"/>
    <w:rsid w:val="001625D6"/>
    <w:rsid w:val="00162930"/>
    <w:rsid w:val="00162AE8"/>
    <w:rsid w:val="00163E5F"/>
    <w:rsid w:val="001645F2"/>
    <w:rsid w:val="001650E1"/>
    <w:rsid w:val="00165165"/>
    <w:rsid w:val="00165BD2"/>
    <w:rsid w:val="00167345"/>
    <w:rsid w:val="0016750C"/>
    <w:rsid w:val="00167750"/>
    <w:rsid w:val="0016794E"/>
    <w:rsid w:val="001679CC"/>
    <w:rsid w:val="00167E40"/>
    <w:rsid w:val="0017042A"/>
    <w:rsid w:val="00170D39"/>
    <w:rsid w:val="00171461"/>
    <w:rsid w:val="00171475"/>
    <w:rsid w:val="00171B32"/>
    <w:rsid w:val="00171F76"/>
    <w:rsid w:val="0017236F"/>
    <w:rsid w:val="0017268A"/>
    <w:rsid w:val="00173356"/>
    <w:rsid w:val="001734E1"/>
    <w:rsid w:val="0017401B"/>
    <w:rsid w:val="00174460"/>
    <w:rsid w:val="0017461C"/>
    <w:rsid w:val="0017481F"/>
    <w:rsid w:val="00174943"/>
    <w:rsid w:val="00174FD5"/>
    <w:rsid w:val="0017504D"/>
    <w:rsid w:val="0017524B"/>
    <w:rsid w:val="0017671A"/>
    <w:rsid w:val="00176804"/>
    <w:rsid w:val="00176CEC"/>
    <w:rsid w:val="00176D9C"/>
    <w:rsid w:val="00177422"/>
    <w:rsid w:val="001779D3"/>
    <w:rsid w:val="00177A84"/>
    <w:rsid w:val="00177E74"/>
    <w:rsid w:val="00177F80"/>
    <w:rsid w:val="00180314"/>
    <w:rsid w:val="00180531"/>
    <w:rsid w:val="00180871"/>
    <w:rsid w:val="001809A0"/>
    <w:rsid w:val="00181543"/>
    <w:rsid w:val="001825F3"/>
    <w:rsid w:val="00182806"/>
    <w:rsid w:val="00182880"/>
    <w:rsid w:val="00182A40"/>
    <w:rsid w:val="00182D52"/>
    <w:rsid w:val="001830DE"/>
    <w:rsid w:val="0018347B"/>
    <w:rsid w:val="00183BB7"/>
    <w:rsid w:val="00184590"/>
    <w:rsid w:val="00184919"/>
    <w:rsid w:val="00184E31"/>
    <w:rsid w:val="00185542"/>
    <w:rsid w:val="0018575E"/>
    <w:rsid w:val="0018598B"/>
    <w:rsid w:val="00185EC0"/>
    <w:rsid w:val="00185F0C"/>
    <w:rsid w:val="00186442"/>
    <w:rsid w:val="00186789"/>
    <w:rsid w:val="00186C0C"/>
    <w:rsid w:val="00187065"/>
    <w:rsid w:val="001870D1"/>
    <w:rsid w:val="00187205"/>
    <w:rsid w:val="00187297"/>
    <w:rsid w:val="0018781E"/>
    <w:rsid w:val="00187EC8"/>
    <w:rsid w:val="00190DC5"/>
    <w:rsid w:val="001918CA"/>
    <w:rsid w:val="0019262D"/>
    <w:rsid w:val="00192C5A"/>
    <w:rsid w:val="00192EDC"/>
    <w:rsid w:val="001933BF"/>
    <w:rsid w:val="001935D1"/>
    <w:rsid w:val="0019364B"/>
    <w:rsid w:val="001938A1"/>
    <w:rsid w:val="00193C0C"/>
    <w:rsid w:val="001945E9"/>
    <w:rsid w:val="001945F5"/>
    <w:rsid w:val="00194745"/>
    <w:rsid w:val="00195E6D"/>
    <w:rsid w:val="00195F87"/>
    <w:rsid w:val="00196242"/>
    <w:rsid w:val="00196596"/>
    <w:rsid w:val="0019661B"/>
    <w:rsid w:val="00196879"/>
    <w:rsid w:val="001968F3"/>
    <w:rsid w:val="00196F60"/>
    <w:rsid w:val="00197015"/>
    <w:rsid w:val="00197241"/>
    <w:rsid w:val="00197C5E"/>
    <w:rsid w:val="001A0F8E"/>
    <w:rsid w:val="001A16EA"/>
    <w:rsid w:val="001A1903"/>
    <w:rsid w:val="001A1B35"/>
    <w:rsid w:val="001A1D9C"/>
    <w:rsid w:val="001A1E49"/>
    <w:rsid w:val="001A22F1"/>
    <w:rsid w:val="001A3483"/>
    <w:rsid w:val="001A411E"/>
    <w:rsid w:val="001A48A2"/>
    <w:rsid w:val="001A5245"/>
    <w:rsid w:val="001A5594"/>
    <w:rsid w:val="001A5633"/>
    <w:rsid w:val="001A56B3"/>
    <w:rsid w:val="001A5BFE"/>
    <w:rsid w:val="001A6DC6"/>
    <w:rsid w:val="001A6F61"/>
    <w:rsid w:val="001A6FFF"/>
    <w:rsid w:val="001A766D"/>
    <w:rsid w:val="001A7682"/>
    <w:rsid w:val="001B0164"/>
    <w:rsid w:val="001B0DA4"/>
    <w:rsid w:val="001B1058"/>
    <w:rsid w:val="001B106B"/>
    <w:rsid w:val="001B146B"/>
    <w:rsid w:val="001B1DC4"/>
    <w:rsid w:val="001B1DE1"/>
    <w:rsid w:val="001B2643"/>
    <w:rsid w:val="001B2C70"/>
    <w:rsid w:val="001B4690"/>
    <w:rsid w:val="001B56D1"/>
    <w:rsid w:val="001B6AD7"/>
    <w:rsid w:val="001B6C10"/>
    <w:rsid w:val="001B72B8"/>
    <w:rsid w:val="001B7315"/>
    <w:rsid w:val="001B7495"/>
    <w:rsid w:val="001B7E9C"/>
    <w:rsid w:val="001C0319"/>
    <w:rsid w:val="001C0759"/>
    <w:rsid w:val="001C0EAB"/>
    <w:rsid w:val="001C18BB"/>
    <w:rsid w:val="001C36F8"/>
    <w:rsid w:val="001C4155"/>
    <w:rsid w:val="001C4157"/>
    <w:rsid w:val="001C4776"/>
    <w:rsid w:val="001C4F55"/>
    <w:rsid w:val="001C51E1"/>
    <w:rsid w:val="001C5A3A"/>
    <w:rsid w:val="001C62BC"/>
    <w:rsid w:val="001C644E"/>
    <w:rsid w:val="001C69AC"/>
    <w:rsid w:val="001C69B3"/>
    <w:rsid w:val="001C73A0"/>
    <w:rsid w:val="001D02C3"/>
    <w:rsid w:val="001D0541"/>
    <w:rsid w:val="001D0638"/>
    <w:rsid w:val="001D0A48"/>
    <w:rsid w:val="001D0E57"/>
    <w:rsid w:val="001D0F11"/>
    <w:rsid w:val="001D0F76"/>
    <w:rsid w:val="001D1E2C"/>
    <w:rsid w:val="001D25E6"/>
    <w:rsid w:val="001D2759"/>
    <w:rsid w:val="001D286B"/>
    <w:rsid w:val="001D2D4B"/>
    <w:rsid w:val="001D2D67"/>
    <w:rsid w:val="001D4A88"/>
    <w:rsid w:val="001D4FD9"/>
    <w:rsid w:val="001D5339"/>
    <w:rsid w:val="001D5595"/>
    <w:rsid w:val="001D617A"/>
    <w:rsid w:val="001D6824"/>
    <w:rsid w:val="001D6957"/>
    <w:rsid w:val="001D6BD4"/>
    <w:rsid w:val="001D7874"/>
    <w:rsid w:val="001D7F22"/>
    <w:rsid w:val="001E0FD1"/>
    <w:rsid w:val="001E1088"/>
    <w:rsid w:val="001E1440"/>
    <w:rsid w:val="001E14C7"/>
    <w:rsid w:val="001E19F2"/>
    <w:rsid w:val="001E2496"/>
    <w:rsid w:val="001E2C46"/>
    <w:rsid w:val="001E3CAD"/>
    <w:rsid w:val="001E3DE9"/>
    <w:rsid w:val="001E46C4"/>
    <w:rsid w:val="001E479A"/>
    <w:rsid w:val="001E5465"/>
    <w:rsid w:val="001E573B"/>
    <w:rsid w:val="001E5744"/>
    <w:rsid w:val="001E5A3D"/>
    <w:rsid w:val="001E6D3E"/>
    <w:rsid w:val="001E6F70"/>
    <w:rsid w:val="001E75A0"/>
    <w:rsid w:val="001E78C9"/>
    <w:rsid w:val="001F0342"/>
    <w:rsid w:val="001F0945"/>
    <w:rsid w:val="001F0B02"/>
    <w:rsid w:val="001F0CE8"/>
    <w:rsid w:val="001F0F17"/>
    <w:rsid w:val="001F20AF"/>
    <w:rsid w:val="001F28F9"/>
    <w:rsid w:val="001F2B21"/>
    <w:rsid w:val="001F3347"/>
    <w:rsid w:val="001F34B2"/>
    <w:rsid w:val="001F4475"/>
    <w:rsid w:val="001F4641"/>
    <w:rsid w:val="001F5C1C"/>
    <w:rsid w:val="001F67D8"/>
    <w:rsid w:val="001F69E4"/>
    <w:rsid w:val="001F6B14"/>
    <w:rsid w:val="001F6BC9"/>
    <w:rsid w:val="001F6D00"/>
    <w:rsid w:val="001F6ED6"/>
    <w:rsid w:val="001F7728"/>
    <w:rsid w:val="001F7A00"/>
    <w:rsid w:val="001F7F67"/>
    <w:rsid w:val="00200241"/>
    <w:rsid w:val="002002D8"/>
    <w:rsid w:val="0020037C"/>
    <w:rsid w:val="00201777"/>
    <w:rsid w:val="00202027"/>
    <w:rsid w:val="00203536"/>
    <w:rsid w:val="00205450"/>
    <w:rsid w:val="00205B03"/>
    <w:rsid w:val="0020699C"/>
    <w:rsid w:val="00206CC6"/>
    <w:rsid w:val="00207780"/>
    <w:rsid w:val="002101BC"/>
    <w:rsid w:val="00210213"/>
    <w:rsid w:val="00210F9D"/>
    <w:rsid w:val="002111E2"/>
    <w:rsid w:val="002122E5"/>
    <w:rsid w:val="002125B4"/>
    <w:rsid w:val="00212609"/>
    <w:rsid w:val="00212625"/>
    <w:rsid w:val="00212AA2"/>
    <w:rsid w:val="00212B78"/>
    <w:rsid w:val="0021374D"/>
    <w:rsid w:val="00213E2C"/>
    <w:rsid w:val="00214060"/>
    <w:rsid w:val="002146B9"/>
    <w:rsid w:val="0021514E"/>
    <w:rsid w:val="00215151"/>
    <w:rsid w:val="00215158"/>
    <w:rsid w:val="002155B8"/>
    <w:rsid w:val="002157F2"/>
    <w:rsid w:val="00215B8C"/>
    <w:rsid w:val="00215D9B"/>
    <w:rsid w:val="002169CA"/>
    <w:rsid w:val="00217256"/>
    <w:rsid w:val="0021744B"/>
    <w:rsid w:val="00217CDC"/>
    <w:rsid w:val="002214F1"/>
    <w:rsid w:val="00222299"/>
    <w:rsid w:val="002223A9"/>
    <w:rsid w:val="00222AAC"/>
    <w:rsid w:val="00222DF3"/>
    <w:rsid w:val="002230D4"/>
    <w:rsid w:val="00223748"/>
    <w:rsid w:val="00223A73"/>
    <w:rsid w:val="00223D37"/>
    <w:rsid w:val="00224839"/>
    <w:rsid w:val="0022486D"/>
    <w:rsid w:val="002249B2"/>
    <w:rsid w:val="00225794"/>
    <w:rsid w:val="00225E84"/>
    <w:rsid w:val="00226001"/>
    <w:rsid w:val="00226574"/>
    <w:rsid w:val="002265F4"/>
    <w:rsid w:val="002266AE"/>
    <w:rsid w:val="00226B24"/>
    <w:rsid w:val="00226E08"/>
    <w:rsid w:val="00226FC5"/>
    <w:rsid w:val="00227180"/>
    <w:rsid w:val="002278EC"/>
    <w:rsid w:val="00230862"/>
    <w:rsid w:val="00231701"/>
    <w:rsid w:val="00231AEE"/>
    <w:rsid w:val="00231C21"/>
    <w:rsid w:val="002322F6"/>
    <w:rsid w:val="002327BB"/>
    <w:rsid w:val="0023280E"/>
    <w:rsid w:val="0023315F"/>
    <w:rsid w:val="00233BDC"/>
    <w:rsid w:val="00234BD8"/>
    <w:rsid w:val="00234CA9"/>
    <w:rsid w:val="0023595A"/>
    <w:rsid w:val="00236450"/>
    <w:rsid w:val="00236770"/>
    <w:rsid w:val="00236A7E"/>
    <w:rsid w:val="00236E3D"/>
    <w:rsid w:val="002377D1"/>
    <w:rsid w:val="00237FC6"/>
    <w:rsid w:val="00240062"/>
    <w:rsid w:val="002403BC"/>
    <w:rsid w:val="00240E53"/>
    <w:rsid w:val="00241022"/>
    <w:rsid w:val="0024155F"/>
    <w:rsid w:val="0024253B"/>
    <w:rsid w:val="00242B90"/>
    <w:rsid w:val="00243D05"/>
    <w:rsid w:val="002440EF"/>
    <w:rsid w:val="00244426"/>
    <w:rsid w:val="00245B79"/>
    <w:rsid w:val="00245F8A"/>
    <w:rsid w:val="00246648"/>
    <w:rsid w:val="00246F68"/>
    <w:rsid w:val="002474B0"/>
    <w:rsid w:val="002503A5"/>
    <w:rsid w:val="002506BC"/>
    <w:rsid w:val="0025100A"/>
    <w:rsid w:val="0025102B"/>
    <w:rsid w:val="002516E2"/>
    <w:rsid w:val="002518BE"/>
    <w:rsid w:val="00251F08"/>
    <w:rsid w:val="0025217D"/>
    <w:rsid w:val="00252270"/>
    <w:rsid w:val="002539CC"/>
    <w:rsid w:val="0025402D"/>
    <w:rsid w:val="002541AF"/>
    <w:rsid w:val="00254345"/>
    <w:rsid w:val="00254960"/>
    <w:rsid w:val="00255B63"/>
    <w:rsid w:val="002562F0"/>
    <w:rsid w:val="0025656E"/>
    <w:rsid w:val="00256920"/>
    <w:rsid w:val="00256DD8"/>
    <w:rsid w:val="00256E50"/>
    <w:rsid w:val="00257245"/>
    <w:rsid w:val="00257C5B"/>
    <w:rsid w:val="00257EBA"/>
    <w:rsid w:val="002606A6"/>
    <w:rsid w:val="00260B7C"/>
    <w:rsid w:val="00261418"/>
    <w:rsid w:val="00261A49"/>
    <w:rsid w:val="00262AE4"/>
    <w:rsid w:val="00262F3B"/>
    <w:rsid w:val="00263B2C"/>
    <w:rsid w:val="0026427A"/>
    <w:rsid w:val="002644A2"/>
    <w:rsid w:val="00264557"/>
    <w:rsid w:val="0026471C"/>
    <w:rsid w:val="00264F48"/>
    <w:rsid w:val="00265AC3"/>
    <w:rsid w:val="00265B48"/>
    <w:rsid w:val="00266C42"/>
    <w:rsid w:val="00266D8B"/>
    <w:rsid w:val="002670FD"/>
    <w:rsid w:val="00267537"/>
    <w:rsid w:val="00267808"/>
    <w:rsid w:val="00267871"/>
    <w:rsid w:val="00267B8E"/>
    <w:rsid w:val="00270022"/>
    <w:rsid w:val="002703B8"/>
    <w:rsid w:val="00270577"/>
    <w:rsid w:val="00270B18"/>
    <w:rsid w:val="00270F01"/>
    <w:rsid w:val="00271140"/>
    <w:rsid w:val="002715E4"/>
    <w:rsid w:val="00271858"/>
    <w:rsid w:val="00271E34"/>
    <w:rsid w:val="00271E85"/>
    <w:rsid w:val="00271EC3"/>
    <w:rsid w:val="0027201B"/>
    <w:rsid w:val="00272120"/>
    <w:rsid w:val="00272E88"/>
    <w:rsid w:val="00273315"/>
    <w:rsid w:val="002740AD"/>
    <w:rsid w:val="002749A8"/>
    <w:rsid w:val="002749D2"/>
    <w:rsid w:val="00274A7B"/>
    <w:rsid w:val="002753BD"/>
    <w:rsid w:val="00275B6C"/>
    <w:rsid w:val="00275CE7"/>
    <w:rsid w:val="00276225"/>
    <w:rsid w:val="002762E2"/>
    <w:rsid w:val="00276DB4"/>
    <w:rsid w:val="00277242"/>
    <w:rsid w:val="00277305"/>
    <w:rsid w:val="00277411"/>
    <w:rsid w:val="002779A7"/>
    <w:rsid w:val="00277AB0"/>
    <w:rsid w:val="00277CB7"/>
    <w:rsid w:val="00277CD9"/>
    <w:rsid w:val="00277D20"/>
    <w:rsid w:val="002804DB"/>
    <w:rsid w:val="002805AB"/>
    <w:rsid w:val="0028230D"/>
    <w:rsid w:val="0028248D"/>
    <w:rsid w:val="00282601"/>
    <w:rsid w:val="00282B49"/>
    <w:rsid w:val="00283033"/>
    <w:rsid w:val="00283201"/>
    <w:rsid w:val="00284204"/>
    <w:rsid w:val="002844E2"/>
    <w:rsid w:val="00284F67"/>
    <w:rsid w:val="00285E3F"/>
    <w:rsid w:val="0028681A"/>
    <w:rsid w:val="00286BB5"/>
    <w:rsid w:val="0028786A"/>
    <w:rsid w:val="002902E1"/>
    <w:rsid w:val="0029173D"/>
    <w:rsid w:val="00291773"/>
    <w:rsid w:val="002918F0"/>
    <w:rsid w:val="002921D4"/>
    <w:rsid w:val="0029223C"/>
    <w:rsid w:val="0029227C"/>
    <w:rsid w:val="0029239C"/>
    <w:rsid w:val="00293D20"/>
    <w:rsid w:val="00294F42"/>
    <w:rsid w:val="00296B3D"/>
    <w:rsid w:val="0029750D"/>
    <w:rsid w:val="002977FC"/>
    <w:rsid w:val="002977FF"/>
    <w:rsid w:val="00297C1A"/>
    <w:rsid w:val="002A0093"/>
    <w:rsid w:val="002A0712"/>
    <w:rsid w:val="002A168C"/>
    <w:rsid w:val="002A16D6"/>
    <w:rsid w:val="002A1B36"/>
    <w:rsid w:val="002A201F"/>
    <w:rsid w:val="002A24D8"/>
    <w:rsid w:val="002A2CAD"/>
    <w:rsid w:val="002A3334"/>
    <w:rsid w:val="002A3494"/>
    <w:rsid w:val="002A3DC7"/>
    <w:rsid w:val="002A41E1"/>
    <w:rsid w:val="002A43C4"/>
    <w:rsid w:val="002A44F1"/>
    <w:rsid w:val="002A4524"/>
    <w:rsid w:val="002A4822"/>
    <w:rsid w:val="002A57D4"/>
    <w:rsid w:val="002A58BA"/>
    <w:rsid w:val="002A6546"/>
    <w:rsid w:val="002A6A07"/>
    <w:rsid w:val="002A749D"/>
    <w:rsid w:val="002B036F"/>
    <w:rsid w:val="002B052A"/>
    <w:rsid w:val="002B080C"/>
    <w:rsid w:val="002B0D96"/>
    <w:rsid w:val="002B14CD"/>
    <w:rsid w:val="002B1B50"/>
    <w:rsid w:val="002B1F58"/>
    <w:rsid w:val="002B1FF1"/>
    <w:rsid w:val="002B23CD"/>
    <w:rsid w:val="002B2A11"/>
    <w:rsid w:val="002B2ADC"/>
    <w:rsid w:val="002B34B9"/>
    <w:rsid w:val="002B3797"/>
    <w:rsid w:val="002B4363"/>
    <w:rsid w:val="002B443C"/>
    <w:rsid w:val="002B4570"/>
    <w:rsid w:val="002B49E2"/>
    <w:rsid w:val="002B4E7B"/>
    <w:rsid w:val="002B4F97"/>
    <w:rsid w:val="002B5872"/>
    <w:rsid w:val="002B6102"/>
    <w:rsid w:val="002B64F2"/>
    <w:rsid w:val="002B64F7"/>
    <w:rsid w:val="002B6C59"/>
    <w:rsid w:val="002B6E31"/>
    <w:rsid w:val="002B7B00"/>
    <w:rsid w:val="002B7B2B"/>
    <w:rsid w:val="002B7C44"/>
    <w:rsid w:val="002B7C64"/>
    <w:rsid w:val="002B7DFB"/>
    <w:rsid w:val="002B7E0B"/>
    <w:rsid w:val="002C056B"/>
    <w:rsid w:val="002C0D65"/>
    <w:rsid w:val="002C1176"/>
    <w:rsid w:val="002C1B23"/>
    <w:rsid w:val="002C1B32"/>
    <w:rsid w:val="002C227F"/>
    <w:rsid w:val="002C2B17"/>
    <w:rsid w:val="002C2C1C"/>
    <w:rsid w:val="002C4210"/>
    <w:rsid w:val="002C4651"/>
    <w:rsid w:val="002C52F1"/>
    <w:rsid w:val="002C5303"/>
    <w:rsid w:val="002C54EF"/>
    <w:rsid w:val="002C602C"/>
    <w:rsid w:val="002C6465"/>
    <w:rsid w:val="002C668A"/>
    <w:rsid w:val="002C6C6C"/>
    <w:rsid w:val="002C70A8"/>
    <w:rsid w:val="002C780E"/>
    <w:rsid w:val="002C7E6E"/>
    <w:rsid w:val="002C7EFD"/>
    <w:rsid w:val="002D0495"/>
    <w:rsid w:val="002D095C"/>
    <w:rsid w:val="002D0D76"/>
    <w:rsid w:val="002D0EAA"/>
    <w:rsid w:val="002D168B"/>
    <w:rsid w:val="002D18B4"/>
    <w:rsid w:val="002D1A36"/>
    <w:rsid w:val="002D2084"/>
    <w:rsid w:val="002D28AB"/>
    <w:rsid w:val="002D29A5"/>
    <w:rsid w:val="002D35C5"/>
    <w:rsid w:val="002D3DD0"/>
    <w:rsid w:val="002D5485"/>
    <w:rsid w:val="002D5B2F"/>
    <w:rsid w:val="002D7042"/>
    <w:rsid w:val="002D72CD"/>
    <w:rsid w:val="002D75B0"/>
    <w:rsid w:val="002D7AA2"/>
    <w:rsid w:val="002E0CB7"/>
    <w:rsid w:val="002E11B6"/>
    <w:rsid w:val="002E132D"/>
    <w:rsid w:val="002E1F3A"/>
    <w:rsid w:val="002E27E8"/>
    <w:rsid w:val="002E298A"/>
    <w:rsid w:val="002E29F4"/>
    <w:rsid w:val="002E2C45"/>
    <w:rsid w:val="002E3371"/>
    <w:rsid w:val="002E3707"/>
    <w:rsid w:val="002E3A39"/>
    <w:rsid w:val="002E4062"/>
    <w:rsid w:val="002E4457"/>
    <w:rsid w:val="002E44F1"/>
    <w:rsid w:val="002E4C13"/>
    <w:rsid w:val="002E5252"/>
    <w:rsid w:val="002E528B"/>
    <w:rsid w:val="002E5B67"/>
    <w:rsid w:val="002E618E"/>
    <w:rsid w:val="002E6758"/>
    <w:rsid w:val="002E6CED"/>
    <w:rsid w:val="002E6D66"/>
    <w:rsid w:val="002F0058"/>
    <w:rsid w:val="002F0A91"/>
    <w:rsid w:val="002F0B23"/>
    <w:rsid w:val="002F1196"/>
    <w:rsid w:val="002F11FF"/>
    <w:rsid w:val="002F1314"/>
    <w:rsid w:val="002F131A"/>
    <w:rsid w:val="002F1360"/>
    <w:rsid w:val="002F1BE8"/>
    <w:rsid w:val="002F1EA5"/>
    <w:rsid w:val="002F2351"/>
    <w:rsid w:val="002F2DD7"/>
    <w:rsid w:val="002F34C3"/>
    <w:rsid w:val="002F37A7"/>
    <w:rsid w:val="002F3819"/>
    <w:rsid w:val="002F3BC3"/>
    <w:rsid w:val="002F3E7C"/>
    <w:rsid w:val="002F3EDF"/>
    <w:rsid w:val="002F3F0C"/>
    <w:rsid w:val="002F3FAE"/>
    <w:rsid w:val="002F455E"/>
    <w:rsid w:val="002F4A8D"/>
    <w:rsid w:val="002F5EFD"/>
    <w:rsid w:val="002F6B04"/>
    <w:rsid w:val="002F71C6"/>
    <w:rsid w:val="002F76C4"/>
    <w:rsid w:val="002F7767"/>
    <w:rsid w:val="002F79A6"/>
    <w:rsid w:val="003004F2"/>
    <w:rsid w:val="00300719"/>
    <w:rsid w:val="00300DA9"/>
    <w:rsid w:val="0030118A"/>
    <w:rsid w:val="00301978"/>
    <w:rsid w:val="00301CE5"/>
    <w:rsid w:val="0030215D"/>
    <w:rsid w:val="0030242F"/>
    <w:rsid w:val="003026F0"/>
    <w:rsid w:val="00302774"/>
    <w:rsid w:val="00302C77"/>
    <w:rsid w:val="0030328C"/>
    <w:rsid w:val="0030332C"/>
    <w:rsid w:val="003035D5"/>
    <w:rsid w:val="00303810"/>
    <w:rsid w:val="00303E51"/>
    <w:rsid w:val="00303FFD"/>
    <w:rsid w:val="003040A7"/>
    <w:rsid w:val="00304105"/>
    <w:rsid w:val="003051C2"/>
    <w:rsid w:val="003051C8"/>
    <w:rsid w:val="00305AF2"/>
    <w:rsid w:val="003063B0"/>
    <w:rsid w:val="003066F5"/>
    <w:rsid w:val="0030701D"/>
    <w:rsid w:val="003072DD"/>
    <w:rsid w:val="00307301"/>
    <w:rsid w:val="00307615"/>
    <w:rsid w:val="003077F6"/>
    <w:rsid w:val="00310004"/>
    <w:rsid w:val="0031056F"/>
    <w:rsid w:val="00310668"/>
    <w:rsid w:val="0031085A"/>
    <w:rsid w:val="003113FE"/>
    <w:rsid w:val="0031190C"/>
    <w:rsid w:val="00311BC7"/>
    <w:rsid w:val="00311FC3"/>
    <w:rsid w:val="00312296"/>
    <w:rsid w:val="00312447"/>
    <w:rsid w:val="00313A84"/>
    <w:rsid w:val="00313CC9"/>
    <w:rsid w:val="00314030"/>
    <w:rsid w:val="00314F0E"/>
    <w:rsid w:val="00315486"/>
    <w:rsid w:val="00315B02"/>
    <w:rsid w:val="00316840"/>
    <w:rsid w:val="003176FB"/>
    <w:rsid w:val="0032020B"/>
    <w:rsid w:val="0032020D"/>
    <w:rsid w:val="003207AF"/>
    <w:rsid w:val="00320D2C"/>
    <w:rsid w:val="0032111B"/>
    <w:rsid w:val="003211E0"/>
    <w:rsid w:val="00321AD8"/>
    <w:rsid w:val="00321D8E"/>
    <w:rsid w:val="00321F34"/>
    <w:rsid w:val="0032205C"/>
    <w:rsid w:val="00322704"/>
    <w:rsid w:val="003228DE"/>
    <w:rsid w:val="0032315B"/>
    <w:rsid w:val="003232F1"/>
    <w:rsid w:val="00323874"/>
    <w:rsid w:val="003239E4"/>
    <w:rsid w:val="00323B5B"/>
    <w:rsid w:val="00323BD5"/>
    <w:rsid w:val="00324C35"/>
    <w:rsid w:val="00324D02"/>
    <w:rsid w:val="00324EF2"/>
    <w:rsid w:val="003251DB"/>
    <w:rsid w:val="00325549"/>
    <w:rsid w:val="00325928"/>
    <w:rsid w:val="00325AA1"/>
    <w:rsid w:val="00325F8D"/>
    <w:rsid w:val="00326554"/>
    <w:rsid w:val="00326FBC"/>
    <w:rsid w:val="00327A15"/>
    <w:rsid w:val="00327CFE"/>
    <w:rsid w:val="0033058B"/>
    <w:rsid w:val="003306C2"/>
    <w:rsid w:val="00330875"/>
    <w:rsid w:val="00330A59"/>
    <w:rsid w:val="00330B6C"/>
    <w:rsid w:val="00330FA1"/>
    <w:rsid w:val="0033106E"/>
    <w:rsid w:val="0033187E"/>
    <w:rsid w:val="0033199D"/>
    <w:rsid w:val="00331BC7"/>
    <w:rsid w:val="00331C9F"/>
    <w:rsid w:val="00331F3C"/>
    <w:rsid w:val="00331F5F"/>
    <w:rsid w:val="00332863"/>
    <w:rsid w:val="00332A40"/>
    <w:rsid w:val="00332F5E"/>
    <w:rsid w:val="0033348A"/>
    <w:rsid w:val="003339E7"/>
    <w:rsid w:val="0033432F"/>
    <w:rsid w:val="003349FE"/>
    <w:rsid w:val="00334B32"/>
    <w:rsid w:val="00335AB4"/>
    <w:rsid w:val="003363DE"/>
    <w:rsid w:val="0033684D"/>
    <w:rsid w:val="00337B42"/>
    <w:rsid w:val="00340011"/>
    <w:rsid w:val="00340227"/>
    <w:rsid w:val="00340C98"/>
    <w:rsid w:val="0034121A"/>
    <w:rsid w:val="003414B5"/>
    <w:rsid w:val="00341689"/>
    <w:rsid w:val="00341939"/>
    <w:rsid w:val="0034196E"/>
    <w:rsid w:val="00341B42"/>
    <w:rsid w:val="00341C63"/>
    <w:rsid w:val="00341D59"/>
    <w:rsid w:val="00342923"/>
    <w:rsid w:val="0034317B"/>
    <w:rsid w:val="0034348F"/>
    <w:rsid w:val="00343F90"/>
    <w:rsid w:val="00343FD9"/>
    <w:rsid w:val="00343FED"/>
    <w:rsid w:val="00344759"/>
    <w:rsid w:val="003447D0"/>
    <w:rsid w:val="00344A8D"/>
    <w:rsid w:val="0034616C"/>
    <w:rsid w:val="00346323"/>
    <w:rsid w:val="003465E0"/>
    <w:rsid w:val="00350A07"/>
    <w:rsid w:val="00350BEE"/>
    <w:rsid w:val="003512A9"/>
    <w:rsid w:val="0035143F"/>
    <w:rsid w:val="00351458"/>
    <w:rsid w:val="0035150D"/>
    <w:rsid w:val="00351530"/>
    <w:rsid w:val="0035177C"/>
    <w:rsid w:val="00351928"/>
    <w:rsid w:val="0035192B"/>
    <w:rsid w:val="003519CB"/>
    <w:rsid w:val="00351B08"/>
    <w:rsid w:val="00351CB8"/>
    <w:rsid w:val="0035210E"/>
    <w:rsid w:val="00353798"/>
    <w:rsid w:val="00353A7B"/>
    <w:rsid w:val="00353DF4"/>
    <w:rsid w:val="00354027"/>
    <w:rsid w:val="003544CE"/>
    <w:rsid w:val="00354633"/>
    <w:rsid w:val="003546A0"/>
    <w:rsid w:val="00355037"/>
    <w:rsid w:val="00355412"/>
    <w:rsid w:val="00355DC4"/>
    <w:rsid w:val="00356080"/>
    <w:rsid w:val="00356653"/>
    <w:rsid w:val="00356C88"/>
    <w:rsid w:val="0035725F"/>
    <w:rsid w:val="0035743F"/>
    <w:rsid w:val="00357BE2"/>
    <w:rsid w:val="00357DCF"/>
    <w:rsid w:val="00357FEF"/>
    <w:rsid w:val="003602CC"/>
    <w:rsid w:val="00360815"/>
    <w:rsid w:val="00360D53"/>
    <w:rsid w:val="0036170C"/>
    <w:rsid w:val="00361F77"/>
    <w:rsid w:val="00362340"/>
    <w:rsid w:val="00363341"/>
    <w:rsid w:val="0036377C"/>
    <w:rsid w:val="00363E80"/>
    <w:rsid w:val="003641A1"/>
    <w:rsid w:val="00364626"/>
    <w:rsid w:val="003646AA"/>
    <w:rsid w:val="00364CFF"/>
    <w:rsid w:val="003663C1"/>
    <w:rsid w:val="003664C4"/>
    <w:rsid w:val="00366BC3"/>
    <w:rsid w:val="00366E0F"/>
    <w:rsid w:val="00367A56"/>
    <w:rsid w:val="003704B9"/>
    <w:rsid w:val="0037050C"/>
    <w:rsid w:val="00370C37"/>
    <w:rsid w:val="00370F14"/>
    <w:rsid w:val="00371045"/>
    <w:rsid w:val="00371601"/>
    <w:rsid w:val="00372154"/>
    <w:rsid w:val="00372338"/>
    <w:rsid w:val="003732CA"/>
    <w:rsid w:val="00373756"/>
    <w:rsid w:val="00373830"/>
    <w:rsid w:val="00373A1A"/>
    <w:rsid w:val="00373CDC"/>
    <w:rsid w:val="00373FF4"/>
    <w:rsid w:val="003745FC"/>
    <w:rsid w:val="0037465E"/>
    <w:rsid w:val="003755B9"/>
    <w:rsid w:val="0037570E"/>
    <w:rsid w:val="00375C26"/>
    <w:rsid w:val="003768D8"/>
    <w:rsid w:val="00377A8C"/>
    <w:rsid w:val="00377BA0"/>
    <w:rsid w:val="00380282"/>
    <w:rsid w:val="003806F5"/>
    <w:rsid w:val="00381A72"/>
    <w:rsid w:val="00381BF5"/>
    <w:rsid w:val="0038280D"/>
    <w:rsid w:val="00382C59"/>
    <w:rsid w:val="00382E34"/>
    <w:rsid w:val="0038438C"/>
    <w:rsid w:val="00384676"/>
    <w:rsid w:val="00384A1E"/>
    <w:rsid w:val="00384F78"/>
    <w:rsid w:val="0038532D"/>
    <w:rsid w:val="00386153"/>
    <w:rsid w:val="0038668A"/>
    <w:rsid w:val="00387239"/>
    <w:rsid w:val="00387679"/>
    <w:rsid w:val="00387AE2"/>
    <w:rsid w:val="00387F4F"/>
    <w:rsid w:val="0039028C"/>
    <w:rsid w:val="00390392"/>
    <w:rsid w:val="00390857"/>
    <w:rsid w:val="003909AB"/>
    <w:rsid w:val="00390ACC"/>
    <w:rsid w:val="00391868"/>
    <w:rsid w:val="00392036"/>
    <w:rsid w:val="003920FD"/>
    <w:rsid w:val="00392682"/>
    <w:rsid w:val="00392885"/>
    <w:rsid w:val="003929D9"/>
    <w:rsid w:val="00393C6E"/>
    <w:rsid w:val="003940AB"/>
    <w:rsid w:val="003942BB"/>
    <w:rsid w:val="0039466D"/>
    <w:rsid w:val="0039498C"/>
    <w:rsid w:val="00394AFD"/>
    <w:rsid w:val="003955A1"/>
    <w:rsid w:val="0039567C"/>
    <w:rsid w:val="003957C4"/>
    <w:rsid w:val="00395891"/>
    <w:rsid w:val="003960F1"/>
    <w:rsid w:val="00396A79"/>
    <w:rsid w:val="003A083B"/>
    <w:rsid w:val="003A0B5B"/>
    <w:rsid w:val="003A19B8"/>
    <w:rsid w:val="003A2154"/>
    <w:rsid w:val="003A2B39"/>
    <w:rsid w:val="003A2F3D"/>
    <w:rsid w:val="003A39FC"/>
    <w:rsid w:val="003A4623"/>
    <w:rsid w:val="003A466D"/>
    <w:rsid w:val="003A4BF3"/>
    <w:rsid w:val="003A4DB8"/>
    <w:rsid w:val="003A5692"/>
    <w:rsid w:val="003A58D8"/>
    <w:rsid w:val="003A5A0A"/>
    <w:rsid w:val="003A5A6E"/>
    <w:rsid w:val="003A5B87"/>
    <w:rsid w:val="003A6145"/>
    <w:rsid w:val="003A6152"/>
    <w:rsid w:val="003A63E6"/>
    <w:rsid w:val="003A6915"/>
    <w:rsid w:val="003A7DB1"/>
    <w:rsid w:val="003B0ACE"/>
    <w:rsid w:val="003B1650"/>
    <w:rsid w:val="003B1AC0"/>
    <w:rsid w:val="003B2193"/>
    <w:rsid w:val="003B2846"/>
    <w:rsid w:val="003B4008"/>
    <w:rsid w:val="003B420D"/>
    <w:rsid w:val="003B492D"/>
    <w:rsid w:val="003B4A2B"/>
    <w:rsid w:val="003B4B4B"/>
    <w:rsid w:val="003B5580"/>
    <w:rsid w:val="003B5615"/>
    <w:rsid w:val="003B56EC"/>
    <w:rsid w:val="003B6419"/>
    <w:rsid w:val="003B6660"/>
    <w:rsid w:val="003B66E7"/>
    <w:rsid w:val="003C064E"/>
    <w:rsid w:val="003C0938"/>
    <w:rsid w:val="003C0C29"/>
    <w:rsid w:val="003C0CD9"/>
    <w:rsid w:val="003C0F88"/>
    <w:rsid w:val="003C104B"/>
    <w:rsid w:val="003C1883"/>
    <w:rsid w:val="003C1C8C"/>
    <w:rsid w:val="003C262D"/>
    <w:rsid w:val="003C28E5"/>
    <w:rsid w:val="003C2E6F"/>
    <w:rsid w:val="003C3138"/>
    <w:rsid w:val="003C3C04"/>
    <w:rsid w:val="003C4892"/>
    <w:rsid w:val="003C4AA0"/>
    <w:rsid w:val="003C4C4A"/>
    <w:rsid w:val="003C4FA3"/>
    <w:rsid w:val="003C5544"/>
    <w:rsid w:val="003C6356"/>
    <w:rsid w:val="003C6366"/>
    <w:rsid w:val="003C6492"/>
    <w:rsid w:val="003C6C16"/>
    <w:rsid w:val="003C7380"/>
    <w:rsid w:val="003C77B1"/>
    <w:rsid w:val="003C77B3"/>
    <w:rsid w:val="003D0333"/>
    <w:rsid w:val="003D186C"/>
    <w:rsid w:val="003D187D"/>
    <w:rsid w:val="003D1C14"/>
    <w:rsid w:val="003D2E87"/>
    <w:rsid w:val="003D321D"/>
    <w:rsid w:val="003D33D6"/>
    <w:rsid w:val="003D3DBE"/>
    <w:rsid w:val="003D3DE2"/>
    <w:rsid w:val="003D468D"/>
    <w:rsid w:val="003D48CD"/>
    <w:rsid w:val="003D4A00"/>
    <w:rsid w:val="003D4C77"/>
    <w:rsid w:val="003D5181"/>
    <w:rsid w:val="003D6B49"/>
    <w:rsid w:val="003D6E1F"/>
    <w:rsid w:val="003D741F"/>
    <w:rsid w:val="003D782C"/>
    <w:rsid w:val="003D794D"/>
    <w:rsid w:val="003D7EC9"/>
    <w:rsid w:val="003D7FED"/>
    <w:rsid w:val="003E0116"/>
    <w:rsid w:val="003E06CB"/>
    <w:rsid w:val="003E0B32"/>
    <w:rsid w:val="003E10C2"/>
    <w:rsid w:val="003E1DF7"/>
    <w:rsid w:val="003E1EAF"/>
    <w:rsid w:val="003E3058"/>
    <w:rsid w:val="003E31AE"/>
    <w:rsid w:val="003E35A7"/>
    <w:rsid w:val="003E3C4A"/>
    <w:rsid w:val="003E4263"/>
    <w:rsid w:val="003E4766"/>
    <w:rsid w:val="003E4AAB"/>
    <w:rsid w:val="003E56CB"/>
    <w:rsid w:val="003E59F7"/>
    <w:rsid w:val="003E5A75"/>
    <w:rsid w:val="003E5D94"/>
    <w:rsid w:val="003E6250"/>
    <w:rsid w:val="003E6402"/>
    <w:rsid w:val="003E6B2B"/>
    <w:rsid w:val="003E716B"/>
    <w:rsid w:val="003E75E8"/>
    <w:rsid w:val="003E76A9"/>
    <w:rsid w:val="003E77BA"/>
    <w:rsid w:val="003E79D6"/>
    <w:rsid w:val="003E7BCE"/>
    <w:rsid w:val="003E7C05"/>
    <w:rsid w:val="003E7DE4"/>
    <w:rsid w:val="003F0809"/>
    <w:rsid w:val="003F1133"/>
    <w:rsid w:val="003F1667"/>
    <w:rsid w:val="003F22D4"/>
    <w:rsid w:val="003F2407"/>
    <w:rsid w:val="003F27D4"/>
    <w:rsid w:val="003F2B03"/>
    <w:rsid w:val="003F3E3F"/>
    <w:rsid w:val="003F4342"/>
    <w:rsid w:val="003F4845"/>
    <w:rsid w:val="003F5408"/>
    <w:rsid w:val="003F5F86"/>
    <w:rsid w:val="003F6A8C"/>
    <w:rsid w:val="003F6DB2"/>
    <w:rsid w:val="003F755C"/>
    <w:rsid w:val="003F7C29"/>
    <w:rsid w:val="003F7D3B"/>
    <w:rsid w:val="003F7D87"/>
    <w:rsid w:val="00400311"/>
    <w:rsid w:val="00400710"/>
    <w:rsid w:val="00401A1D"/>
    <w:rsid w:val="00401B7A"/>
    <w:rsid w:val="00402827"/>
    <w:rsid w:val="00402835"/>
    <w:rsid w:val="00402AFB"/>
    <w:rsid w:val="004030E2"/>
    <w:rsid w:val="004032A4"/>
    <w:rsid w:val="0040373D"/>
    <w:rsid w:val="004041C0"/>
    <w:rsid w:val="00404918"/>
    <w:rsid w:val="00404C4F"/>
    <w:rsid w:val="00405767"/>
    <w:rsid w:val="004069BB"/>
    <w:rsid w:val="00406C33"/>
    <w:rsid w:val="00406F01"/>
    <w:rsid w:val="004076C2"/>
    <w:rsid w:val="0040797F"/>
    <w:rsid w:val="00407D86"/>
    <w:rsid w:val="00407FC2"/>
    <w:rsid w:val="0041103A"/>
    <w:rsid w:val="004126FD"/>
    <w:rsid w:val="004127F7"/>
    <w:rsid w:val="00412B47"/>
    <w:rsid w:val="00412C56"/>
    <w:rsid w:val="00412D1F"/>
    <w:rsid w:val="0041318C"/>
    <w:rsid w:val="00413321"/>
    <w:rsid w:val="00413841"/>
    <w:rsid w:val="00414236"/>
    <w:rsid w:val="00414337"/>
    <w:rsid w:val="00414926"/>
    <w:rsid w:val="004156A9"/>
    <w:rsid w:val="004160A3"/>
    <w:rsid w:val="00416179"/>
    <w:rsid w:val="004161C2"/>
    <w:rsid w:val="004161F6"/>
    <w:rsid w:val="004169E0"/>
    <w:rsid w:val="00416BD5"/>
    <w:rsid w:val="00416D50"/>
    <w:rsid w:val="00416FD5"/>
    <w:rsid w:val="004170F3"/>
    <w:rsid w:val="00417772"/>
    <w:rsid w:val="00417EF5"/>
    <w:rsid w:val="004208A5"/>
    <w:rsid w:val="00420E6A"/>
    <w:rsid w:val="00420EFB"/>
    <w:rsid w:val="00421542"/>
    <w:rsid w:val="00421899"/>
    <w:rsid w:val="00421F1F"/>
    <w:rsid w:val="0042298C"/>
    <w:rsid w:val="00422EEB"/>
    <w:rsid w:val="00423022"/>
    <w:rsid w:val="00424167"/>
    <w:rsid w:val="0042446D"/>
    <w:rsid w:val="004245B3"/>
    <w:rsid w:val="00424B35"/>
    <w:rsid w:val="00424EC5"/>
    <w:rsid w:val="00425285"/>
    <w:rsid w:val="00425A9E"/>
    <w:rsid w:val="004266B7"/>
    <w:rsid w:val="0042679A"/>
    <w:rsid w:val="004268F0"/>
    <w:rsid w:val="00426D6B"/>
    <w:rsid w:val="00426ED5"/>
    <w:rsid w:val="00427990"/>
    <w:rsid w:val="00430758"/>
    <w:rsid w:val="00430EFE"/>
    <w:rsid w:val="00431E6C"/>
    <w:rsid w:val="0043253F"/>
    <w:rsid w:val="00432857"/>
    <w:rsid w:val="00432985"/>
    <w:rsid w:val="00433076"/>
    <w:rsid w:val="004333F1"/>
    <w:rsid w:val="004335F6"/>
    <w:rsid w:val="00433CE7"/>
    <w:rsid w:val="00434680"/>
    <w:rsid w:val="00435BD1"/>
    <w:rsid w:val="00436663"/>
    <w:rsid w:val="0043670B"/>
    <w:rsid w:val="00436C7E"/>
    <w:rsid w:val="0043700F"/>
    <w:rsid w:val="004370DD"/>
    <w:rsid w:val="004375AB"/>
    <w:rsid w:val="0044028C"/>
    <w:rsid w:val="004413FE"/>
    <w:rsid w:val="0044177E"/>
    <w:rsid w:val="0044193E"/>
    <w:rsid w:val="00442021"/>
    <w:rsid w:val="00442731"/>
    <w:rsid w:val="004427B3"/>
    <w:rsid w:val="004428C4"/>
    <w:rsid w:val="00442D0B"/>
    <w:rsid w:val="00443A2C"/>
    <w:rsid w:val="00444179"/>
    <w:rsid w:val="004442E1"/>
    <w:rsid w:val="00444496"/>
    <w:rsid w:val="00444D9D"/>
    <w:rsid w:val="00445275"/>
    <w:rsid w:val="0044554F"/>
    <w:rsid w:val="0044580B"/>
    <w:rsid w:val="00445A48"/>
    <w:rsid w:val="00445CD7"/>
    <w:rsid w:val="00445FF3"/>
    <w:rsid w:val="00446C32"/>
    <w:rsid w:val="00446C81"/>
    <w:rsid w:val="00446E25"/>
    <w:rsid w:val="00447767"/>
    <w:rsid w:val="004500C6"/>
    <w:rsid w:val="00450EE8"/>
    <w:rsid w:val="00451594"/>
    <w:rsid w:val="00452738"/>
    <w:rsid w:val="00452974"/>
    <w:rsid w:val="00452D19"/>
    <w:rsid w:val="00453268"/>
    <w:rsid w:val="00453321"/>
    <w:rsid w:val="004535F6"/>
    <w:rsid w:val="00453EFD"/>
    <w:rsid w:val="00454B93"/>
    <w:rsid w:val="0045515C"/>
    <w:rsid w:val="00455172"/>
    <w:rsid w:val="00455371"/>
    <w:rsid w:val="004557B9"/>
    <w:rsid w:val="004559DB"/>
    <w:rsid w:val="00456091"/>
    <w:rsid w:val="004561BD"/>
    <w:rsid w:val="00456BF7"/>
    <w:rsid w:val="004579B9"/>
    <w:rsid w:val="00457FDC"/>
    <w:rsid w:val="00460295"/>
    <w:rsid w:val="00460489"/>
    <w:rsid w:val="0046056B"/>
    <w:rsid w:val="00460753"/>
    <w:rsid w:val="00460EF9"/>
    <w:rsid w:val="004610C0"/>
    <w:rsid w:val="00461A56"/>
    <w:rsid w:val="00461F1F"/>
    <w:rsid w:val="00462FA1"/>
    <w:rsid w:val="00463407"/>
    <w:rsid w:val="004638A6"/>
    <w:rsid w:val="004639F4"/>
    <w:rsid w:val="00463BB7"/>
    <w:rsid w:val="00464AEB"/>
    <w:rsid w:val="00464BCF"/>
    <w:rsid w:val="004657E9"/>
    <w:rsid w:val="00465C60"/>
    <w:rsid w:val="00466321"/>
    <w:rsid w:val="00466832"/>
    <w:rsid w:val="004670A5"/>
    <w:rsid w:val="004670BF"/>
    <w:rsid w:val="00467167"/>
    <w:rsid w:val="004674A1"/>
    <w:rsid w:val="0047001D"/>
    <w:rsid w:val="00470640"/>
    <w:rsid w:val="004707F9"/>
    <w:rsid w:val="00470CC6"/>
    <w:rsid w:val="00471262"/>
    <w:rsid w:val="004717D1"/>
    <w:rsid w:val="00471CE5"/>
    <w:rsid w:val="00471EE0"/>
    <w:rsid w:val="00472B23"/>
    <w:rsid w:val="0047352D"/>
    <w:rsid w:val="004738FD"/>
    <w:rsid w:val="00473E0E"/>
    <w:rsid w:val="00475448"/>
    <w:rsid w:val="00476C79"/>
    <w:rsid w:val="00476F27"/>
    <w:rsid w:val="00477AA8"/>
    <w:rsid w:val="004801B9"/>
    <w:rsid w:val="00480B6A"/>
    <w:rsid w:val="00480D43"/>
    <w:rsid w:val="00482719"/>
    <w:rsid w:val="00483BCF"/>
    <w:rsid w:val="00483E7F"/>
    <w:rsid w:val="00483F98"/>
    <w:rsid w:val="00484043"/>
    <w:rsid w:val="004848E3"/>
    <w:rsid w:val="00484B9B"/>
    <w:rsid w:val="00485345"/>
    <w:rsid w:val="004855A9"/>
    <w:rsid w:val="004855F6"/>
    <w:rsid w:val="004856B0"/>
    <w:rsid w:val="0048605A"/>
    <w:rsid w:val="0048661E"/>
    <w:rsid w:val="00486649"/>
    <w:rsid w:val="004867CD"/>
    <w:rsid w:val="004867E5"/>
    <w:rsid w:val="00486A64"/>
    <w:rsid w:val="00486CF9"/>
    <w:rsid w:val="004870EE"/>
    <w:rsid w:val="00487CFD"/>
    <w:rsid w:val="00491657"/>
    <w:rsid w:val="00491895"/>
    <w:rsid w:val="00492140"/>
    <w:rsid w:val="00492517"/>
    <w:rsid w:val="004929BA"/>
    <w:rsid w:val="00492C30"/>
    <w:rsid w:val="004935A5"/>
    <w:rsid w:val="004938E5"/>
    <w:rsid w:val="00493AAD"/>
    <w:rsid w:val="004940C3"/>
    <w:rsid w:val="00494236"/>
    <w:rsid w:val="00494670"/>
    <w:rsid w:val="00494781"/>
    <w:rsid w:val="00494D8F"/>
    <w:rsid w:val="00495006"/>
    <w:rsid w:val="00495F4D"/>
    <w:rsid w:val="0049629F"/>
    <w:rsid w:val="00496E29"/>
    <w:rsid w:val="00497076"/>
    <w:rsid w:val="004975ED"/>
    <w:rsid w:val="004A046C"/>
    <w:rsid w:val="004A0A6A"/>
    <w:rsid w:val="004A1634"/>
    <w:rsid w:val="004A1745"/>
    <w:rsid w:val="004A1966"/>
    <w:rsid w:val="004A1B61"/>
    <w:rsid w:val="004A2AEC"/>
    <w:rsid w:val="004A2CE0"/>
    <w:rsid w:val="004A30B7"/>
    <w:rsid w:val="004A3673"/>
    <w:rsid w:val="004A3823"/>
    <w:rsid w:val="004A3DA1"/>
    <w:rsid w:val="004A4A24"/>
    <w:rsid w:val="004A4DC3"/>
    <w:rsid w:val="004A4EAE"/>
    <w:rsid w:val="004A50CD"/>
    <w:rsid w:val="004A59BA"/>
    <w:rsid w:val="004A5E78"/>
    <w:rsid w:val="004A5F1C"/>
    <w:rsid w:val="004A66C1"/>
    <w:rsid w:val="004A66CC"/>
    <w:rsid w:val="004A6E6C"/>
    <w:rsid w:val="004A704B"/>
    <w:rsid w:val="004A75DD"/>
    <w:rsid w:val="004A7748"/>
    <w:rsid w:val="004B00AF"/>
    <w:rsid w:val="004B018F"/>
    <w:rsid w:val="004B02BD"/>
    <w:rsid w:val="004B07D1"/>
    <w:rsid w:val="004B0A6F"/>
    <w:rsid w:val="004B0B83"/>
    <w:rsid w:val="004B0F1E"/>
    <w:rsid w:val="004B1A64"/>
    <w:rsid w:val="004B3162"/>
    <w:rsid w:val="004B39A7"/>
    <w:rsid w:val="004B3AC1"/>
    <w:rsid w:val="004B5B45"/>
    <w:rsid w:val="004B6114"/>
    <w:rsid w:val="004B64D0"/>
    <w:rsid w:val="004B6597"/>
    <w:rsid w:val="004B691E"/>
    <w:rsid w:val="004B70BB"/>
    <w:rsid w:val="004B7953"/>
    <w:rsid w:val="004B7C28"/>
    <w:rsid w:val="004B7F08"/>
    <w:rsid w:val="004C02C5"/>
    <w:rsid w:val="004C128A"/>
    <w:rsid w:val="004C1931"/>
    <w:rsid w:val="004C2BEF"/>
    <w:rsid w:val="004C388D"/>
    <w:rsid w:val="004C419D"/>
    <w:rsid w:val="004C439E"/>
    <w:rsid w:val="004C43E8"/>
    <w:rsid w:val="004C4AF2"/>
    <w:rsid w:val="004C526A"/>
    <w:rsid w:val="004C52CD"/>
    <w:rsid w:val="004C587E"/>
    <w:rsid w:val="004C5B86"/>
    <w:rsid w:val="004C64FF"/>
    <w:rsid w:val="004C6CFB"/>
    <w:rsid w:val="004C6ED1"/>
    <w:rsid w:val="004C700A"/>
    <w:rsid w:val="004C738A"/>
    <w:rsid w:val="004C738F"/>
    <w:rsid w:val="004C73AB"/>
    <w:rsid w:val="004C7E56"/>
    <w:rsid w:val="004D0533"/>
    <w:rsid w:val="004D0B9B"/>
    <w:rsid w:val="004D0F87"/>
    <w:rsid w:val="004D199E"/>
    <w:rsid w:val="004D1CB5"/>
    <w:rsid w:val="004D1FE5"/>
    <w:rsid w:val="004D40DC"/>
    <w:rsid w:val="004D43F1"/>
    <w:rsid w:val="004D4991"/>
    <w:rsid w:val="004D5138"/>
    <w:rsid w:val="004D56ED"/>
    <w:rsid w:val="004D5E21"/>
    <w:rsid w:val="004D6898"/>
    <w:rsid w:val="004D6AC0"/>
    <w:rsid w:val="004D78A9"/>
    <w:rsid w:val="004D7A3A"/>
    <w:rsid w:val="004E05A1"/>
    <w:rsid w:val="004E076F"/>
    <w:rsid w:val="004E0985"/>
    <w:rsid w:val="004E0BDC"/>
    <w:rsid w:val="004E107E"/>
    <w:rsid w:val="004E1742"/>
    <w:rsid w:val="004E1A83"/>
    <w:rsid w:val="004E1ECA"/>
    <w:rsid w:val="004E3363"/>
    <w:rsid w:val="004E3581"/>
    <w:rsid w:val="004E41CC"/>
    <w:rsid w:val="004E455B"/>
    <w:rsid w:val="004E45A8"/>
    <w:rsid w:val="004E45EF"/>
    <w:rsid w:val="004E467E"/>
    <w:rsid w:val="004E4C97"/>
    <w:rsid w:val="004E4FB4"/>
    <w:rsid w:val="004E5A46"/>
    <w:rsid w:val="004E6946"/>
    <w:rsid w:val="004E6B86"/>
    <w:rsid w:val="004E7758"/>
    <w:rsid w:val="004E785E"/>
    <w:rsid w:val="004F1212"/>
    <w:rsid w:val="004F1683"/>
    <w:rsid w:val="004F1724"/>
    <w:rsid w:val="004F19A7"/>
    <w:rsid w:val="004F1AD8"/>
    <w:rsid w:val="004F2B49"/>
    <w:rsid w:val="004F3063"/>
    <w:rsid w:val="004F44DA"/>
    <w:rsid w:val="004F5268"/>
    <w:rsid w:val="004F5492"/>
    <w:rsid w:val="004F5D1D"/>
    <w:rsid w:val="004F5EAC"/>
    <w:rsid w:val="004F694E"/>
    <w:rsid w:val="004F6A9D"/>
    <w:rsid w:val="004F6CD5"/>
    <w:rsid w:val="004F7065"/>
    <w:rsid w:val="004F72E8"/>
    <w:rsid w:val="004F754A"/>
    <w:rsid w:val="00500D9A"/>
    <w:rsid w:val="00501B6D"/>
    <w:rsid w:val="00502AE3"/>
    <w:rsid w:val="00502AF8"/>
    <w:rsid w:val="005039CB"/>
    <w:rsid w:val="00503DFB"/>
    <w:rsid w:val="005043D0"/>
    <w:rsid w:val="00504478"/>
    <w:rsid w:val="00504EC1"/>
    <w:rsid w:val="00504EF3"/>
    <w:rsid w:val="00504FA9"/>
    <w:rsid w:val="00505051"/>
    <w:rsid w:val="0050543B"/>
    <w:rsid w:val="0050558F"/>
    <w:rsid w:val="005060E3"/>
    <w:rsid w:val="00506286"/>
    <w:rsid w:val="0050628A"/>
    <w:rsid w:val="00507957"/>
    <w:rsid w:val="005102D6"/>
    <w:rsid w:val="00510813"/>
    <w:rsid w:val="00510C94"/>
    <w:rsid w:val="00511990"/>
    <w:rsid w:val="00511DE0"/>
    <w:rsid w:val="00511FDE"/>
    <w:rsid w:val="005126DF"/>
    <w:rsid w:val="005135AD"/>
    <w:rsid w:val="005143D6"/>
    <w:rsid w:val="00514870"/>
    <w:rsid w:val="005149C0"/>
    <w:rsid w:val="00514B0A"/>
    <w:rsid w:val="00514B9B"/>
    <w:rsid w:val="00514BEB"/>
    <w:rsid w:val="00514E40"/>
    <w:rsid w:val="005151E3"/>
    <w:rsid w:val="0051573B"/>
    <w:rsid w:val="005162A5"/>
    <w:rsid w:val="005163EA"/>
    <w:rsid w:val="00516BDB"/>
    <w:rsid w:val="005176BA"/>
    <w:rsid w:val="0051789A"/>
    <w:rsid w:val="00517D16"/>
    <w:rsid w:val="00517F02"/>
    <w:rsid w:val="00520D81"/>
    <w:rsid w:val="005214A9"/>
    <w:rsid w:val="005214FA"/>
    <w:rsid w:val="005215AA"/>
    <w:rsid w:val="00521B92"/>
    <w:rsid w:val="005221AB"/>
    <w:rsid w:val="00522276"/>
    <w:rsid w:val="00522828"/>
    <w:rsid w:val="00522EF5"/>
    <w:rsid w:val="0052397A"/>
    <w:rsid w:val="00523F61"/>
    <w:rsid w:val="005241CF"/>
    <w:rsid w:val="00524303"/>
    <w:rsid w:val="0052455D"/>
    <w:rsid w:val="005247F8"/>
    <w:rsid w:val="00524918"/>
    <w:rsid w:val="00524A70"/>
    <w:rsid w:val="00524E30"/>
    <w:rsid w:val="0052581A"/>
    <w:rsid w:val="005258A2"/>
    <w:rsid w:val="00525CF5"/>
    <w:rsid w:val="00525F3A"/>
    <w:rsid w:val="00525F44"/>
    <w:rsid w:val="00527868"/>
    <w:rsid w:val="00527E59"/>
    <w:rsid w:val="00527EB6"/>
    <w:rsid w:val="0053056E"/>
    <w:rsid w:val="00531280"/>
    <w:rsid w:val="005316C5"/>
    <w:rsid w:val="005319F7"/>
    <w:rsid w:val="00531D18"/>
    <w:rsid w:val="00532267"/>
    <w:rsid w:val="005325F2"/>
    <w:rsid w:val="00532E94"/>
    <w:rsid w:val="00535193"/>
    <w:rsid w:val="00535273"/>
    <w:rsid w:val="005354E1"/>
    <w:rsid w:val="00535D17"/>
    <w:rsid w:val="005361C7"/>
    <w:rsid w:val="005367CD"/>
    <w:rsid w:val="005370A3"/>
    <w:rsid w:val="005401AE"/>
    <w:rsid w:val="0054058F"/>
    <w:rsid w:val="005407EB"/>
    <w:rsid w:val="0054083E"/>
    <w:rsid w:val="00540915"/>
    <w:rsid w:val="00540D61"/>
    <w:rsid w:val="005411E5"/>
    <w:rsid w:val="005413C0"/>
    <w:rsid w:val="00541B1A"/>
    <w:rsid w:val="0054229F"/>
    <w:rsid w:val="00542811"/>
    <w:rsid w:val="00542BBF"/>
    <w:rsid w:val="00542E07"/>
    <w:rsid w:val="00543515"/>
    <w:rsid w:val="00543533"/>
    <w:rsid w:val="005439BA"/>
    <w:rsid w:val="005440FB"/>
    <w:rsid w:val="00544805"/>
    <w:rsid w:val="00544A30"/>
    <w:rsid w:val="00545424"/>
    <w:rsid w:val="005465E5"/>
    <w:rsid w:val="00546662"/>
    <w:rsid w:val="00547229"/>
    <w:rsid w:val="00547245"/>
    <w:rsid w:val="00550385"/>
    <w:rsid w:val="005504A9"/>
    <w:rsid w:val="005519D8"/>
    <w:rsid w:val="00551EF8"/>
    <w:rsid w:val="0055221C"/>
    <w:rsid w:val="00552276"/>
    <w:rsid w:val="00552778"/>
    <w:rsid w:val="00552788"/>
    <w:rsid w:val="00553C37"/>
    <w:rsid w:val="00553C47"/>
    <w:rsid w:val="00553D38"/>
    <w:rsid w:val="005548AF"/>
    <w:rsid w:val="00554A7B"/>
    <w:rsid w:val="00555456"/>
    <w:rsid w:val="0055572C"/>
    <w:rsid w:val="00555FA3"/>
    <w:rsid w:val="005561AE"/>
    <w:rsid w:val="00556558"/>
    <w:rsid w:val="00556A8E"/>
    <w:rsid w:val="0055724B"/>
    <w:rsid w:val="005600E2"/>
    <w:rsid w:val="005607C1"/>
    <w:rsid w:val="00560BB2"/>
    <w:rsid w:val="0056106A"/>
    <w:rsid w:val="00561638"/>
    <w:rsid w:val="00561BF5"/>
    <w:rsid w:val="00562321"/>
    <w:rsid w:val="00562698"/>
    <w:rsid w:val="00562C5B"/>
    <w:rsid w:val="005639C3"/>
    <w:rsid w:val="005658DB"/>
    <w:rsid w:val="00565B52"/>
    <w:rsid w:val="0056601F"/>
    <w:rsid w:val="005661D4"/>
    <w:rsid w:val="00566353"/>
    <w:rsid w:val="00567371"/>
    <w:rsid w:val="005675EA"/>
    <w:rsid w:val="0056773F"/>
    <w:rsid w:val="005708F6"/>
    <w:rsid w:val="005712A0"/>
    <w:rsid w:val="005720AE"/>
    <w:rsid w:val="0057217E"/>
    <w:rsid w:val="0057272F"/>
    <w:rsid w:val="00572E64"/>
    <w:rsid w:val="00573384"/>
    <w:rsid w:val="005735E5"/>
    <w:rsid w:val="0057370D"/>
    <w:rsid w:val="005738C0"/>
    <w:rsid w:val="0057401D"/>
    <w:rsid w:val="00574D4C"/>
    <w:rsid w:val="0057538C"/>
    <w:rsid w:val="00575887"/>
    <w:rsid w:val="005759EF"/>
    <w:rsid w:val="0057659C"/>
    <w:rsid w:val="0057661F"/>
    <w:rsid w:val="00576C81"/>
    <w:rsid w:val="00576DDA"/>
    <w:rsid w:val="00576F47"/>
    <w:rsid w:val="00576FE0"/>
    <w:rsid w:val="00577069"/>
    <w:rsid w:val="005775B1"/>
    <w:rsid w:val="005778D1"/>
    <w:rsid w:val="00577C6A"/>
    <w:rsid w:val="00577FE6"/>
    <w:rsid w:val="00580F5A"/>
    <w:rsid w:val="0058107C"/>
    <w:rsid w:val="00581E29"/>
    <w:rsid w:val="00581EA8"/>
    <w:rsid w:val="00582DF0"/>
    <w:rsid w:val="0058337A"/>
    <w:rsid w:val="00583778"/>
    <w:rsid w:val="005837EB"/>
    <w:rsid w:val="0058394D"/>
    <w:rsid w:val="00583B33"/>
    <w:rsid w:val="00583EFC"/>
    <w:rsid w:val="0058492A"/>
    <w:rsid w:val="00584B7F"/>
    <w:rsid w:val="00584E13"/>
    <w:rsid w:val="00584E47"/>
    <w:rsid w:val="00585217"/>
    <w:rsid w:val="00585A84"/>
    <w:rsid w:val="005869C2"/>
    <w:rsid w:val="00586F69"/>
    <w:rsid w:val="00587C61"/>
    <w:rsid w:val="005901F9"/>
    <w:rsid w:val="00591EA2"/>
    <w:rsid w:val="00591ED7"/>
    <w:rsid w:val="00591FC4"/>
    <w:rsid w:val="00592193"/>
    <w:rsid w:val="005931BE"/>
    <w:rsid w:val="005939F2"/>
    <w:rsid w:val="00593DA5"/>
    <w:rsid w:val="00594392"/>
    <w:rsid w:val="00594458"/>
    <w:rsid w:val="005946C9"/>
    <w:rsid w:val="00594BFC"/>
    <w:rsid w:val="00594D1B"/>
    <w:rsid w:val="00594D77"/>
    <w:rsid w:val="0059513A"/>
    <w:rsid w:val="00595AD9"/>
    <w:rsid w:val="00595BE0"/>
    <w:rsid w:val="00596182"/>
    <w:rsid w:val="00596283"/>
    <w:rsid w:val="00596654"/>
    <w:rsid w:val="005969E4"/>
    <w:rsid w:val="00596A0C"/>
    <w:rsid w:val="00596C77"/>
    <w:rsid w:val="005970A4"/>
    <w:rsid w:val="00597FBE"/>
    <w:rsid w:val="005A041E"/>
    <w:rsid w:val="005A06B7"/>
    <w:rsid w:val="005A1185"/>
    <w:rsid w:val="005A155B"/>
    <w:rsid w:val="005A1759"/>
    <w:rsid w:val="005A1CF0"/>
    <w:rsid w:val="005A258D"/>
    <w:rsid w:val="005A365E"/>
    <w:rsid w:val="005A3DC2"/>
    <w:rsid w:val="005A43AD"/>
    <w:rsid w:val="005A46EB"/>
    <w:rsid w:val="005A478B"/>
    <w:rsid w:val="005A632B"/>
    <w:rsid w:val="005A680D"/>
    <w:rsid w:val="005A68A7"/>
    <w:rsid w:val="005A6DB6"/>
    <w:rsid w:val="005A6E85"/>
    <w:rsid w:val="005A6FBE"/>
    <w:rsid w:val="005A797C"/>
    <w:rsid w:val="005A7C54"/>
    <w:rsid w:val="005A7E07"/>
    <w:rsid w:val="005B15FF"/>
    <w:rsid w:val="005B1737"/>
    <w:rsid w:val="005B1F3A"/>
    <w:rsid w:val="005B2A5F"/>
    <w:rsid w:val="005B3935"/>
    <w:rsid w:val="005B3EAF"/>
    <w:rsid w:val="005B44F0"/>
    <w:rsid w:val="005B47F7"/>
    <w:rsid w:val="005B4C46"/>
    <w:rsid w:val="005B522D"/>
    <w:rsid w:val="005B5E3B"/>
    <w:rsid w:val="005B6CD2"/>
    <w:rsid w:val="005C03A5"/>
    <w:rsid w:val="005C08FC"/>
    <w:rsid w:val="005C0BCA"/>
    <w:rsid w:val="005C0C50"/>
    <w:rsid w:val="005C1EBB"/>
    <w:rsid w:val="005C2236"/>
    <w:rsid w:val="005C4434"/>
    <w:rsid w:val="005C47F2"/>
    <w:rsid w:val="005C4DF8"/>
    <w:rsid w:val="005C5148"/>
    <w:rsid w:val="005C5513"/>
    <w:rsid w:val="005C5909"/>
    <w:rsid w:val="005C6394"/>
    <w:rsid w:val="005C665D"/>
    <w:rsid w:val="005C6A56"/>
    <w:rsid w:val="005C716B"/>
    <w:rsid w:val="005C71C6"/>
    <w:rsid w:val="005C7491"/>
    <w:rsid w:val="005C75B2"/>
    <w:rsid w:val="005C773C"/>
    <w:rsid w:val="005D09BA"/>
    <w:rsid w:val="005D0EC3"/>
    <w:rsid w:val="005D0F1A"/>
    <w:rsid w:val="005D1037"/>
    <w:rsid w:val="005D15C3"/>
    <w:rsid w:val="005D17D3"/>
    <w:rsid w:val="005D200B"/>
    <w:rsid w:val="005D2128"/>
    <w:rsid w:val="005D226E"/>
    <w:rsid w:val="005D2428"/>
    <w:rsid w:val="005D268D"/>
    <w:rsid w:val="005D2B59"/>
    <w:rsid w:val="005D36AB"/>
    <w:rsid w:val="005D3773"/>
    <w:rsid w:val="005D4020"/>
    <w:rsid w:val="005D46A1"/>
    <w:rsid w:val="005D4B19"/>
    <w:rsid w:val="005D500B"/>
    <w:rsid w:val="005D50A1"/>
    <w:rsid w:val="005D556E"/>
    <w:rsid w:val="005D61B6"/>
    <w:rsid w:val="005D672C"/>
    <w:rsid w:val="005D702D"/>
    <w:rsid w:val="005D73DF"/>
    <w:rsid w:val="005D7FF1"/>
    <w:rsid w:val="005E01A9"/>
    <w:rsid w:val="005E068E"/>
    <w:rsid w:val="005E1CD0"/>
    <w:rsid w:val="005E1D45"/>
    <w:rsid w:val="005E2AFD"/>
    <w:rsid w:val="005E319E"/>
    <w:rsid w:val="005E36AC"/>
    <w:rsid w:val="005E380D"/>
    <w:rsid w:val="005E3A9D"/>
    <w:rsid w:val="005E4713"/>
    <w:rsid w:val="005E5471"/>
    <w:rsid w:val="005E64E0"/>
    <w:rsid w:val="005E6788"/>
    <w:rsid w:val="005E6847"/>
    <w:rsid w:val="005E6DE4"/>
    <w:rsid w:val="005E790C"/>
    <w:rsid w:val="005F0935"/>
    <w:rsid w:val="005F0A6D"/>
    <w:rsid w:val="005F0C00"/>
    <w:rsid w:val="005F0F9B"/>
    <w:rsid w:val="005F132B"/>
    <w:rsid w:val="005F14D9"/>
    <w:rsid w:val="005F18B5"/>
    <w:rsid w:val="005F1A11"/>
    <w:rsid w:val="005F25CB"/>
    <w:rsid w:val="005F28B1"/>
    <w:rsid w:val="005F2D22"/>
    <w:rsid w:val="005F2E18"/>
    <w:rsid w:val="005F2E62"/>
    <w:rsid w:val="005F3147"/>
    <w:rsid w:val="005F335E"/>
    <w:rsid w:val="005F3CF2"/>
    <w:rsid w:val="005F4308"/>
    <w:rsid w:val="005F4825"/>
    <w:rsid w:val="005F5264"/>
    <w:rsid w:val="005F56B9"/>
    <w:rsid w:val="005F59A5"/>
    <w:rsid w:val="005F66DE"/>
    <w:rsid w:val="005F6F56"/>
    <w:rsid w:val="005F79C3"/>
    <w:rsid w:val="00600126"/>
    <w:rsid w:val="00600272"/>
    <w:rsid w:val="006016F6"/>
    <w:rsid w:val="00601902"/>
    <w:rsid w:val="0060228E"/>
    <w:rsid w:val="006026CC"/>
    <w:rsid w:val="00603746"/>
    <w:rsid w:val="0060413C"/>
    <w:rsid w:val="00604857"/>
    <w:rsid w:val="00604CEC"/>
    <w:rsid w:val="00604FE8"/>
    <w:rsid w:val="00605635"/>
    <w:rsid w:val="006059F9"/>
    <w:rsid w:val="0060610F"/>
    <w:rsid w:val="00606AF4"/>
    <w:rsid w:val="00607379"/>
    <w:rsid w:val="00607835"/>
    <w:rsid w:val="00607866"/>
    <w:rsid w:val="00607A5E"/>
    <w:rsid w:val="006107EA"/>
    <w:rsid w:val="006107EE"/>
    <w:rsid w:val="0061097B"/>
    <w:rsid w:val="00610BF3"/>
    <w:rsid w:val="00610D2D"/>
    <w:rsid w:val="0061191B"/>
    <w:rsid w:val="00613331"/>
    <w:rsid w:val="00613396"/>
    <w:rsid w:val="00613443"/>
    <w:rsid w:val="0061468E"/>
    <w:rsid w:val="0061495E"/>
    <w:rsid w:val="00614A3A"/>
    <w:rsid w:val="00614C4A"/>
    <w:rsid w:val="00614D90"/>
    <w:rsid w:val="00614FA3"/>
    <w:rsid w:val="006151AC"/>
    <w:rsid w:val="00615DF9"/>
    <w:rsid w:val="006168E5"/>
    <w:rsid w:val="00617429"/>
    <w:rsid w:val="006176E1"/>
    <w:rsid w:val="00617CC3"/>
    <w:rsid w:val="00617EA7"/>
    <w:rsid w:val="00620B51"/>
    <w:rsid w:val="00620B8F"/>
    <w:rsid w:val="00620DFC"/>
    <w:rsid w:val="00621BA7"/>
    <w:rsid w:val="00621BAA"/>
    <w:rsid w:val="00621C17"/>
    <w:rsid w:val="00621CE4"/>
    <w:rsid w:val="006231D4"/>
    <w:rsid w:val="0062433C"/>
    <w:rsid w:val="00624C85"/>
    <w:rsid w:val="00624D07"/>
    <w:rsid w:val="00625FE7"/>
    <w:rsid w:val="0062693E"/>
    <w:rsid w:val="00626B15"/>
    <w:rsid w:val="00626BE1"/>
    <w:rsid w:val="006270AC"/>
    <w:rsid w:val="00627508"/>
    <w:rsid w:val="00630A28"/>
    <w:rsid w:val="00630C59"/>
    <w:rsid w:val="00630ECC"/>
    <w:rsid w:val="0063172C"/>
    <w:rsid w:val="006321DA"/>
    <w:rsid w:val="006322F8"/>
    <w:rsid w:val="006339C1"/>
    <w:rsid w:val="00633BFA"/>
    <w:rsid w:val="00633D1B"/>
    <w:rsid w:val="0063433F"/>
    <w:rsid w:val="00634695"/>
    <w:rsid w:val="00634DB2"/>
    <w:rsid w:val="00634FCC"/>
    <w:rsid w:val="006355DB"/>
    <w:rsid w:val="006356B7"/>
    <w:rsid w:val="00636B4C"/>
    <w:rsid w:val="00636BDC"/>
    <w:rsid w:val="00636CE7"/>
    <w:rsid w:val="00637032"/>
    <w:rsid w:val="006377A6"/>
    <w:rsid w:val="006378C2"/>
    <w:rsid w:val="00637A3D"/>
    <w:rsid w:val="00637F1F"/>
    <w:rsid w:val="00640035"/>
    <w:rsid w:val="0064040C"/>
    <w:rsid w:val="00640791"/>
    <w:rsid w:val="00640E03"/>
    <w:rsid w:val="0064105A"/>
    <w:rsid w:val="006411EF"/>
    <w:rsid w:val="00641243"/>
    <w:rsid w:val="00641377"/>
    <w:rsid w:val="00641683"/>
    <w:rsid w:val="00641820"/>
    <w:rsid w:val="00641960"/>
    <w:rsid w:val="00642E18"/>
    <w:rsid w:val="00643360"/>
    <w:rsid w:val="00643886"/>
    <w:rsid w:val="00646923"/>
    <w:rsid w:val="00646A92"/>
    <w:rsid w:val="00646DB8"/>
    <w:rsid w:val="006479E0"/>
    <w:rsid w:val="00650065"/>
    <w:rsid w:val="006504D6"/>
    <w:rsid w:val="00650B72"/>
    <w:rsid w:val="00650C49"/>
    <w:rsid w:val="00650D75"/>
    <w:rsid w:val="00652422"/>
    <w:rsid w:val="006530BF"/>
    <w:rsid w:val="006535A8"/>
    <w:rsid w:val="00653C01"/>
    <w:rsid w:val="00654081"/>
    <w:rsid w:val="006541EE"/>
    <w:rsid w:val="00655AB8"/>
    <w:rsid w:val="00655CDB"/>
    <w:rsid w:val="00655FE8"/>
    <w:rsid w:val="006560DA"/>
    <w:rsid w:val="0065632C"/>
    <w:rsid w:val="0065721A"/>
    <w:rsid w:val="0065738E"/>
    <w:rsid w:val="0066028C"/>
    <w:rsid w:val="006618D6"/>
    <w:rsid w:val="00661C9F"/>
    <w:rsid w:val="00662FE3"/>
    <w:rsid w:val="0066318A"/>
    <w:rsid w:val="0066350A"/>
    <w:rsid w:val="00663B2A"/>
    <w:rsid w:val="00663D70"/>
    <w:rsid w:val="006640D9"/>
    <w:rsid w:val="006644F7"/>
    <w:rsid w:val="00664C4D"/>
    <w:rsid w:val="00664CB5"/>
    <w:rsid w:val="00664E8E"/>
    <w:rsid w:val="006652D8"/>
    <w:rsid w:val="0066550E"/>
    <w:rsid w:val="006658FC"/>
    <w:rsid w:val="00665B62"/>
    <w:rsid w:val="0066642D"/>
    <w:rsid w:val="00666597"/>
    <w:rsid w:val="00666D6C"/>
    <w:rsid w:val="00667C13"/>
    <w:rsid w:val="00667EED"/>
    <w:rsid w:val="00667F14"/>
    <w:rsid w:val="0067020F"/>
    <w:rsid w:val="00670487"/>
    <w:rsid w:val="00670F33"/>
    <w:rsid w:val="00670F3A"/>
    <w:rsid w:val="0067119F"/>
    <w:rsid w:val="0067262A"/>
    <w:rsid w:val="006726F4"/>
    <w:rsid w:val="00673360"/>
    <w:rsid w:val="00673885"/>
    <w:rsid w:val="00673968"/>
    <w:rsid w:val="00673BA5"/>
    <w:rsid w:val="006748B8"/>
    <w:rsid w:val="00674AB6"/>
    <w:rsid w:val="00675766"/>
    <w:rsid w:val="00675B59"/>
    <w:rsid w:val="0067603E"/>
    <w:rsid w:val="00676416"/>
    <w:rsid w:val="006775C3"/>
    <w:rsid w:val="006777EB"/>
    <w:rsid w:val="0068014B"/>
    <w:rsid w:val="00680245"/>
    <w:rsid w:val="00680B52"/>
    <w:rsid w:val="00680D3B"/>
    <w:rsid w:val="00680F77"/>
    <w:rsid w:val="006813D3"/>
    <w:rsid w:val="0068182A"/>
    <w:rsid w:val="00681BAD"/>
    <w:rsid w:val="00682525"/>
    <w:rsid w:val="00682A5B"/>
    <w:rsid w:val="0068349A"/>
    <w:rsid w:val="006839CA"/>
    <w:rsid w:val="00683B0C"/>
    <w:rsid w:val="00683D5C"/>
    <w:rsid w:val="00684AB0"/>
    <w:rsid w:val="00685278"/>
    <w:rsid w:val="006861C5"/>
    <w:rsid w:val="006862E2"/>
    <w:rsid w:val="00686844"/>
    <w:rsid w:val="00687648"/>
    <w:rsid w:val="00687A04"/>
    <w:rsid w:val="00687F10"/>
    <w:rsid w:val="006900C2"/>
    <w:rsid w:val="006904F9"/>
    <w:rsid w:val="00690698"/>
    <w:rsid w:val="00691E2E"/>
    <w:rsid w:val="0069201F"/>
    <w:rsid w:val="00692119"/>
    <w:rsid w:val="006921B5"/>
    <w:rsid w:val="0069265D"/>
    <w:rsid w:val="0069290A"/>
    <w:rsid w:val="00692A13"/>
    <w:rsid w:val="00692CE2"/>
    <w:rsid w:val="006936F5"/>
    <w:rsid w:val="00693F1C"/>
    <w:rsid w:val="006942E1"/>
    <w:rsid w:val="006945F3"/>
    <w:rsid w:val="006961AD"/>
    <w:rsid w:val="00696757"/>
    <w:rsid w:val="00696F62"/>
    <w:rsid w:val="00697379"/>
    <w:rsid w:val="0069775A"/>
    <w:rsid w:val="00697813"/>
    <w:rsid w:val="0069788D"/>
    <w:rsid w:val="006A03C0"/>
    <w:rsid w:val="006A0F9A"/>
    <w:rsid w:val="006A18D9"/>
    <w:rsid w:val="006A1943"/>
    <w:rsid w:val="006A1EF8"/>
    <w:rsid w:val="006A2866"/>
    <w:rsid w:val="006A3123"/>
    <w:rsid w:val="006A313E"/>
    <w:rsid w:val="006A3A6C"/>
    <w:rsid w:val="006A3DC9"/>
    <w:rsid w:val="006A3EE8"/>
    <w:rsid w:val="006A4F5B"/>
    <w:rsid w:val="006A508A"/>
    <w:rsid w:val="006A52A5"/>
    <w:rsid w:val="006A55E6"/>
    <w:rsid w:val="006A5799"/>
    <w:rsid w:val="006A6935"/>
    <w:rsid w:val="006A6D8A"/>
    <w:rsid w:val="006A6E44"/>
    <w:rsid w:val="006A6F23"/>
    <w:rsid w:val="006A72BF"/>
    <w:rsid w:val="006A75B1"/>
    <w:rsid w:val="006A75BA"/>
    <w:rsid w:val="006A7EB0"/>
    <w:rsid w:val="006B03F2"/>
    <w:rsid w:val="006B0B64"/>
    <w:rsid w:val="006B0BC0"/>
    <w:rsid w:val="006B0D4D"/>
    <w:rsid w:val="006B11F0"/>
    <w:rsid w:val="006B1D42"/>
    <w:rsid w:val="006B2040"/>
    <w:rsid w:val="006B2DB2"/>
    <w:rsid w:val="006B3212"/>
    <w:rsid w:val="006B37DC"/>
    <w:rsid w:val="006B454A"/>
    <w:rsid w:val="006B49EB"/>
    <w:rsid w:val="006B4F68"/>
    <w:rsid w:val="006B549F"/>
    <w:rsid w:val="006B584D"/>
    <w:rsid w:val="006B5C06"/>
    <w:rsid w:val="006B5F9F"/>
    <w:rsid w:val="006B679D"/>
    <w:rsid w:val="006B7295"/>
    <w:rsid w:val="006B770E"/>
    <w:rsid w:val="006B7B09"/>
    <w:rsid w:val="006C0592"/>
    <w:rsid w:val="006C0720"/>
    <w:rsid w:val="006C0E17"/>
    <w:rsid w:val="006C1492"/>
    <w:rsid w:val="006C272E"/>
    <w:rsid w:val="006C2796"/>
    <w:rsid w:val="006C2839"/>
    <w:rsid w:val="006C2D94"/>
    <w:rsid w:val="006C3059"/>
    <w:rsid w:val="006C34CB"/>
    <w:rsid w:val="006C3875"/>
    <w:rsid w:val="006C4116"/>
    <w:rsid w:val="006C469E"/>
    <w:rsid w:val="006C49A3"/>
    <w:rsid w:val="006C4A79"/>
    <w:rsid w:val="006C4C5C"/>
    <w:rsid w:val="006C5185"/>
    <w:rsid w:val="006C5479"/>
    <w:rsid w:val="006C6A50"/>
    <w:rsid w:val="006C6BA2"/>
    <w:rsid w:val="006C7467"/>
    <w:rsid w:val="006C7864"/>
    <w:rsid w:val="006C7A27"/>
    <w:rsid w:val="006C7BDA"/>
    <w:rsid w:val="006D0DB2"/>
    <w:rsid w:val="006D0E84"/>
    <w:rsid w:val="006D0EDF"/>
    <w:rsid w:val="006D10D9"/>
    <w:rsid w:val="006D13B5"/>
    <w:rsid w:val="006D1DF6"/>
    <w:rsid w:val="006D1F2A"/>
    <w:rsid w:val="006D264A"/>
    <w:rsid w:val="006D3047"/>
    <w:rsid w:val="006D379C"/>
    <w:rsid w:val="006D3842"/>
    <w:rsid w:val="006D3B13"/>
    <w:rsid w:val="006D404E"/>
    <w:rsid w:val="006D4105"/>
    <w:rsid w:val="006D41CC"/>
    <w:rsid w:val="006D426C"/>
    <w:rsid w:val="006D42B0"/>
    <w:rsid w:val="006D4F5F"/>
    <w:rsid w:val="006D5108"/>
    <w:rsid w:val="006D5B78"/>
    <w:rsid w:val="006D5C99"/>
    <w:rsid w:val="006D6175"/>
    <w:rsid w:val="006D6214"/>
    <w:rsid w:val="006D6844"/>
    <w:rsid w:val="006D6FEA"/>
    <w:rsid w:val="006D7150"/>
    <w:rsid w:val="006D7374"/>
    <w:rsid w:val="006E07A3"/>
    <w:rsid w:val="006E0F39"/>
    <w:rsid w:val="006E103F"/>
    <w:rsid w:val="006E12FF"/>
    <w:rsid w:val="006E17F6"/>
    <w:rsid w:val="006E1ACF"/>
    <w:rsid w:val="006E200B"/>
    <w:rsid w:val="006E2037"/>
    <w:rsid w:val="006E231B"/>
    <w:rsid w:val="006E3DA0"/>
    <w:rsid w:val="006E4555"/>
    <w:rsid w:val="006E4923"/>
    <w:rsid w:val="006E55F2"/>
    <w:rsid w:val="006E56D4"/>
    <w:rsid w:val="006E5E4D"/>
    <w:rsid w:val="006E6034"/>
    <w:rsid w:val="006E607E"/>
    <w:rsid w:val="006E643A"/>
    <w:rsid w:val="006E6D81"/>
    <w:rsid w:val="006E7459"/>
    <w:rsid w:val="006E7D80"/>
    <w:rsid w:val="006F0CC0"/>
    <w:rsid w:val="006F1E1E"/>
    <w:rsid w:val="006F1E30"/>
    <w:rsid w:val="006F27E8"/>
    <w:rsid w:val="006F2C77"/>
    <w:rsid w:val="006F2CBD"/>
    <w:rsid w:val="006F3269"/>
    <w:rsid w:val="006F3DB3"/>
    <w:rsid w:val="006F4906"/>
    <w:rsid w:val="006F4995"/>
    <w:rsid w:val="006F5727"/>
    <w:rsid w:val="006F57FD"/>
    <w:rsid w:val="006F5B8A"/>
    <w:rsid w:val="006F5EDF"/>
    <w:rsid w:val="006F5F22"/>
    <w:rsid w:val="006F78BB"/>
    <w:rsid w:val="006F7EBA"/>
    <w:rsid w:val="00700A38"/>
    <w:rsid w:val="007012E3"/>
    <w:rsid w:val="00701D3D"/>
    <w:rsid w:val="007035AE"/>
    <w:rsid w:val="0070370D"/>
    <w:rsid w:val="00704A98"/>
    <w:rsid w:val="007053A2"/>
    <w:rsid w:val="00705AAC"/>
    <w:rsid w:val="0070632C"/>
    <w:rsid w:val="00706370"/>
    <w:rsid w:val="00706419"/>
    <w:rsid w:val="00706423"/>
    <w:rsid w:val="007066AF"/>
    <w:rsid w:val="00706C5D"/>
    <w:rsid w:val="00706D11"/>
    <w:rsid w:val="007075ED"/>
    <w:rsid w:val="007104BA"/>
    <w:rsid w:val="00710870"/>
    <w:rsid w:val="00710C0A"/>
    <w:rsid w:val="00711AE6"/>
    <w:rsid w:val="00711B17"/>
    <w:rsid w:val="00712455"/>
    <w:rsid w:val="00712E6A"/>
    <w:rsid w:val="00713421"/>
    <w:rsid w:val="00713745"/>
    <w:rsid w:val="00713B86"/>
    <w:rsid w:val="00714257"/>
    <w:rsid w:val="00714ECC"/>
    <w:rsid w:val="007150AC"/>
    <w:rsid w:val="00715A83"/>
    <w:rsid w:val="00715D7F"/>
    <w:rsid w:val="00716A5C"/>
    <w:rsid w:val="00717AB2"/>
    <w:rsid w:val="00720023"/>
    <w:rsid w:val="00720685"/>
    <w:rsid w:val="007207F0"/>
    <w:rsid w:val="0072104E"/>
    <w:rsid w:val="007218BE"/>
    <w:rsid w:val="00721C00"/>
    <w:rsid w:val="00722121"/>
    <w:rsid w:val="007223B0"/>
    <w:rsid w:val="007224E2"/>
    <w:rsid w:val="007226BD"/>
    <w:rsid w:val="00722F9F"/>
    <w:rsid w:val="007230AC"/>
    <w:rsid w:val="00723C1F"/>
    <w:rsid w:val="00724CB1"/>
    <w:rsid w:val="00725576"/>
    <w:rsid w:val="0072614D"/>
    <w:rsid w:val="0072683A"/>
    <w:rsid w:val="007271A8"/>
    <w:rsid w:val="007279A5"/>
    <w:rsid w:val="00730B3B"/>
    <w:rsid w:val="007316E8"/>
    <w:rsid w:val="00731C23"/>
    <w:rsid w:val="00732922"/>
    <w:rsid w:val="00732949"/>
    <w:rsid w:val="00733003"/>
    <w:rsid w:val="0073324A"/>
    <w:rsid w:val="0073345F"/>
    <w:rsid w:val="007338C1"/>
    <w:rsid w:val="00734ED5"/>
    <w:rsid w:val="00734F8C"/>
    <w:rsid w:val="0073523F"/>
    <w:rsid w:val="0073570C"/>
    <w:rsid w:val="00735767"/>
    <w:rsid w:val="007362D8"/>
    <w:rsid w:val="00737067"/>
    <w:rsid w:val="007372F6"/>
    <w:rsid w:val="00737D20"/>
    <w:rsid w:val="0074072E"/>
    <w:rsid w:val="00740B45"/>
    <w:rsid w:val="00741274"/>
    <w:rsid w:val="00741C9F"/>
    <w:rsid w:val="00741DE2"/>
    <w:rsid w:val="00742181"/>
    <w:rsid w:val="00742485"/>
    <w:rsid w:val="0074347B"/>
    <w:rsid w:val="00744058"/>
    <w:rsid w:val="007440E1"/>
    <w:rsid w:val="007440F7"/>
    <w:rsid w:val="00744765"/>
    <w:rsid w:val="00746D62"/>
    <w:rsid w:val="00747618"/>
    <w:rsid w:val="0074768E"/>
    <w:rsid w:val="007476B2"/>
    <w:rsid w:val="007503A9"/>
    <w:rsid w:val="0075043F"/>
    <w:rsid w:val="007505ED"/>
    <w:rsid w:val="00750694"/>
    <w:rsid w:val="00750BC4"/>
    <w:rsid w:val="007514FC"/>
    <w:rsid w:val="0075162E"/>
    <w:rsid w:val="00751682"/>
    <w:rsid w:val="00751690"/>
    <w:rsid w:val="00751A04"/>
    <w:rsid w:val="00751DC1"/>
    <w:rsid w:val="00752577"/>
    <w:rsid w:val="00752892"/>
    <w:rsid w:val="00752EBA"/>
    <w:rsid w:val="007535B2"/>
    <w:rsid w:val="0075389C"/>
    <w:rsid w:val="00754034"/>
    <w:rsid w:val="00754882"/>
    <w:rsid w:val="00754B5F"/>
    <w:rsid w:val="00754D4B"/>
    <w:rsid w:val="00754F8F"/>
    <w:rsid w:val="00755379"/>
    <w:rsid w:val="007554CA"/>
    <w:rsid w:val="00755691"/>
    <w:rsid w:val="00755802"/>
    <w:rsid w:val="00755A4B"/>
    <w:rsid w:val="00755D72"/>
    <w:rsid w:val="007561C8"/>
    <w:rsid w:val="00756556"/>
    <w:rsid w:val="00756B8D"/>
    <w:rsid w:val="00756CE0"/>
    <w:rsid w:val="00757A5D"/>
    <w:rsid w:val="007604C5"/>
    <w:rsid w:val="00760803"/>
    <w:rsid w:val="007618C4"/>
    <w:rsid w:val="00761F00"/>
    <w:rsid w:val="00762220"/>
    <w:rsid w:val="007623C1"/>
    <w:rsid w:val="00762B39"/>
    <w:rsid w:val="00763C8E"/>
    <w:rsid w:val="00764161"/>
    <w:rsid w:val="00764A01"/>
    <w:rsid w:val="00764D03"/>
    <w:rsid w:val="007652A2"/>
    <w:rsid w:val="007658FB"/>
    <w:rsid w:val="00765953"/>
    <w:rsid w:val="00766017"/>
    <w:rsid w:val="00766F27"/>
    <w:rsid w:val="007673E5"/>
    <w:rsid w:val="00767980"/>
    <w:rsid w:val="00767BB3"/>
    <w:rsid w:val="00770B19"/>
    <w:rsid w:val="00770E47"/>
    <w:rsid w:val="00770ECE"/>
    <w:rsid w:val="007711F8"/>
    <w:rsid w:val="007717FA"/>
    <w:rsid w:val="00771846"/>
    <w:rsid w:val="0077195B"/>
    <w:rsid w:val="0077209D"/>
    <w:rsid w:val="00772450"/>
    <w:rsid w:val="00773ADA"/>
    <w:rsid w:val="00773D1F"/>
    <w:rsid w:val="0077456E"/>
    <w:rsid w:val="0077463F"/>
    <w:rsid w:val="00774864"/>
    <w:rsid w:val="00774BB4"/>
    <w:rsid w:val="00774E88"/>
    <w:rsid w:val="007750B8"/>
    <w:rsid w:val="0077554F"/>
    <w:rsid w:val="00775BA8"/>
    <w:rsid w:val="0077628C"/>
    <w:rsid w:val="00776690"/>
    <w:rsid w:val="00776793"/>
    <w:rsid w:val="00776C79"/>
    <w:rsid w:val="00776F41"/>
    <w:rsid w:val="00777A0D"/>
    <w:rsid w:val="00777B71"/>
    <w:rsid w:val="007807E1"/>
    <w:rsid w:val="007817B1"/>
    <w:rsid w:val="00781E9A"/>
    <w:rsid w:val="0078274F"/>
    <w:rsid w:val="00782B84"/>
    <w:rsid w:val="00782DEF"/>
    <w:rsid w:val="0078312C"/>
    <w:rsid w:val="007836EA"/>
    <w:rsid w:val="0078372E"/>
    <w:rsid w:val="007841D6"/>
    <w:rsid w:val="00784658"/>
    <w:rsid w:val="0078486D"/>
    <w:rsid w:val="00784CDA"/>
    <w:rsid w:val="00784D58"/>
    <w:rsid w:val="007854B5"/>
    <w:rsid w:val="007867AD"/>
    <w:rsid w:val="00786D10"/>
    <w:rsid w:val="00786FA1"/>
    <w:rsid w:val="007877C8"/>
    <w:rsid w:val="007906C4"/>
    <w:rsid w:val="00791DB7"/>
    <w:rsid w:val="00791DCC"/>
    <w:rsid w:val="00792054"/>
    <w:rsid w:val="007922EE"/>
    <w:rsid w:val="00792431"/>
    <w:rsid w:val="0079380E"/>
    <w:rsid w:val="007940EA"/>
    <w:rsid w:val="007944A7"/>
    <w:rsid w:val="00794624"/>
    <w:rsid w:val="00794934"/>
    <w:rsid w:val="007957E9"/>
    <w:rsid w:val="0079587D"/>
    <w:rsid w:val="007959EB"/>
    <w:rsid w:val="007961A3"/>
    <w:rsid w:val="007967E8"/>
    <w:rsid w:val="0079680C"/>
    <w:rsid w:val="007971AE"/>
    <w:rsid w:val="007971C5"/>
    <w:rsid w:val="00797EC8"/>
    <w:rsid w:val="007A08A1"/>
    <w:rsid w:val="007A0A24"/>
    <w:rsid w:val="007A0AD2"/>
    <w:rsid w:val="007A0B69"/>
    <w:rsid w:val="007A0D26"/>
    <w:rsid w:val="007A170C"/>
    <w:rsid w:val="007A1EAA"/>
    <w:rsid w:val="007A1F6C"/>
    <w:rsid w:val="007A2170"/>
    <w:rsid w:val="007A22BF"/>
    <w:rsid w:val="007A2E3D"/>
    <w:rsid w:val="007A304F"/>
    <w:rsid w:val="007A3176"/>
    <w:rsid w:val="007A32E2"/>
    <w:rsid w:val="007A3323"/>
    <w:rsid w:val="007A3C80"/>
    <w:rsid w:val="007A43BF"/>
    <w:rsid w:val="007A48F6"/>
    <w:rsid w:val="007A5580"/>
    <w:rsid w:val="007A5604"/>
    <w:rsid w:val="007A5665"/>
    <w:rsid w:val="007A57A8"/>
    <w:rsid w:val="007A5BFF"/>
    <w:rsid w:val="007A661B"/>
    <w:rsid w:val="007A674D"/>
    <w:rsid w:val="007A69CE"/>
    <w:rsid w:val="007A6A32"/>
    <w:rsid w:val="007A7909"/>
    <w:rsid w:val="007A7D9F"/>
    <w:rsid w:val="007B0304"/>
    <w:rsid w:val="007B0A30"/>
    <w:rsid w:val="007B1217"/>
    <w:rsid w:val="007B1284"/>
    <w:rsid w:val="007B17DA"/>
    <w:rsid w:val="007B1CF9"/>
    <w:rsid w:val="007B1E18"/>
    <w:rsid w:val="007B283C"/>
    <w:rsid w:val="007B2912"/>
    <w:rsid w:val="007B3747"/>
    <w:rsid w:val="007B4770"/>
    <w:rsid w:val="007B4F63"/>
    <w:rsid w:val="007B51D0"/>
    <w:rsid w:val="007B561E"/>
    <w:rsid w:val="007B5976"/>
    <w:rsid w:val="007B5A16"/>
    <w:rsid w:val="007B5E67"/>
    <w:rsid w:val="007B6190"/>
    <w:rsid w:val="007B638B"/>
    <w:rsid w:val="007B649B"/>
    <w:rsid w:val="007B65CF"/>
    <w:rsid w:val="007B69D8"/>
    <w:rsid w:val="007B72B8"/>
    <w:rsid w:val="007B72BA"/>
    <w:rsid w:val="007B777F"/>
    <w:rsid w:val="007B7A58"/>
    <w:rsid w:val="007B7CBA"/>
    <w:rsid w:val="007C0561"/>
    <w:rsid w:val="007C0B94"/>
    <w:rsid w:val="007C1B5F"/>
    <w:rsid w:val="007C21B5"/>
    <w:rsid w:val="007C3554"/>
    <w:rsid w:val="007C36C0"/>
    <w:rsid w:val="007C3A82"/>
    <w:rsid w:val="007C4481"/>
    <w:rsid w:val="007C4792"/>
    <w:rsid w:val="007C47A9"/>
    <w:rsid w:val="007C4B64"/>
    <w:rsid w:val="007C5064"/>
    <w:rsid w:val="007C5187"/>
    <w:rsid w:val="007C5675"/>
    <w:rsid w:val="007C638A"/>
    <w:rsid w:val="007C6436"/>
    <w:rsid w:val="007C6478"/>
    <w:rsid w:val="007C6BD3"/>
    <w:rsid w:val="007C6D74"/>
    <w:rsid w:val="007C7434"/>
    <w:rsid w:val="007C7CBA"/>
    <w:rsid w:val="007D0327"/>
    <w:rsid w:val="007D0872"/>
    <w:rsid w:val="007D1002"/>
    <w:rsid w:val="007D1751"/>
    <w:rsid w:val="007D1CAF"/>
    <w:rsid w:val="007D2033"/>
    <w:rsid w:val="007D2134"/>
    <w:rsid w:val="007D22E2"/>
    <w:rsid w:val="007D2CC7"/>
    <w:rsid w:val="007D33CF"/>
    <w:rsid w:val="007D3AB5"/>
    <w:rsid w:val="007D4A7F"/>
    <w:rsid w:val="007D4C9E"/>
    <w:rsid w:val="007D5358"/>
    <w:rsid w:val="007D575E"/>
    <w:rsid w:val="007D7307"/>
    <w:rsid w:val="007D76D7"/>
    <w:rsid w:val="007D7FCE"/>
    <w:rsid w:val="007E08B4"/>
    <w:rsid w:val="007E0C11"/>
    <w:rsid w:val="007E0DFF"/>
    <w:rsid w:val="007E102E"/>
    <w:rsid w:val="007E1144"/>
    <w:rsid w:val="007E12AF"/>
    <w:rsid w:val="007E16A0"/>
    <w:rsid w:val="007E16FB"/>
    <w:rsid w:val="007E2455"/>
    <w:rsid w:val="007E2586"/>
    <w:rsid w:val="007E2B26"/>
    <w:rsid w:val="007E2B79"/>
    <w:rsid w:val="007E3A41"/>
    <w:rsid w:val="007E4618"/>
    <w:rsid w:val="007E4BD2"/>
    <w:rsid w:val="007E570E"/>
    <w:rsid w:val="007E59D6"/>
    <w:rsid w:val="007E61ED"/>
    <w:rsid w:val="007E665E"/>
    <w:rsid w:val="007E67AF"/>
    <w:rsid w:val="007E716E"/>
    <w:rsid w:val="007E72BB"/>
    <w:rsid w:val="007E7D8C"/>
    <w:rsid w:val="007F04E5"/>
    <w:rsid w:val="007F144A"/>
    <w:rsid w:val="007F1833"/>
    <w:rsid w:val="007F1C9E"/>
    <w:rsid w:val="007F2704"/>
    <w:rsid w:val="007F3158"/>
    <w:rsid w:val="007F36D9"/>
    <w:rsid w:val="007F37D0"/>
    <w:rsid w:val="007F431D"/>
    <w:rsid w:val="007F5875"/>
    <w:rsid w:val="007F5D28"/>
    <w:rsid w:val="007F62BD"/>
    <w:rsid w:val="007F74E5"/>
    <w:rsid w:val="007F796E"/>
    <w:rsid w:val="008001E7"/>
    <w:rsid w:val="00800E18"/>
    <w:rsid w:val="0080107D"/>
    <w:rsid w:val="00801393"/>
    <w:rsid w:val="00801656"/>
    <w:rsid w:val="00801B52"/>
    <w:rsid w:val="0080224B"/>
    <w:rsid w:val="00802D69"/>
    <w:rsid w:val="00802E3F"/>
    <w:rsid w:val="00802F88"/>
    <w:rsid w:val="00803328"/>
    <w:rsid w:val="008033DC"/>
    <w:rsid w:val="00803BEC"/>
    <w:rsid w:val="00803F76"/>
    <w:rsid w:val="008041FC"/>
    <w:rsid w:val="008049EA"/>
    <w:rsid w:val="008056FA"/>
    <w:rsid w:val="00805BFA"/>
    <w:rsid w:val="008062C5"/>
    <w:rsid w:val="008068D0"/>
    <w:rsid w:val="008077F1"/>
    <w:rsid w:val="00807C99"/>
    <w:rsid w:val="00807D65"/>
    <w:rsid w:val="008105D9"/>
    <w:rsid w:val="00811743"/>
    <w:rsid w:val="00811898"/>
    <w:rsid w:val="008121E7"/>
    <w:rsid w:val="008127FF"/>
    <w:rsid w:val="008128B7"/>
    <w:rsid w:val="0081293E"/>
    <w:rsid w:val="00812B43"/>
    <w:rsid w:val="00812F4A"/>
    <w:rsid w:val="00813051"/>
    <w:rsid w:val="00814321"/>
    <w:rsid w:val="00814792"/>
    <w:rsid w:val="00814DB2"/>
    <w:rsid w:val="00815021"/>
    <w:rsid w:val="00815465"/>
    <w:rsid w:val="00815DD5"/>
    <w:rsid w:val="00815E42"/>
    <w:rsid w:val="008164F4"/>
    <w:rsid w:val="00816F16"/>
    <w:rsid w:val="00817B81"/>
    <w:rsid w:val="00817E9A"/>
    <w:rsid w:val="00817F16"/>
    <w:rsid w:val="008204E5"/>
    <w:rsid w:val="00820E80"/>
    <w:rsid w:val="00821595"/>
    <w:rsid w:val="008217F8"/>
    <w:rsid w:val="00821816"/>
    <w:rsid w:val="00821C73"/>
    <w:rsid w:val="008221A6"/>
    <w:rsid w:val="008224C3"/>
    <w:rsid w:val="0082336D"/>
    <w:rsid w:val="00823739"/>
    <w:rsid w:val="00824A0B"/>
    <w:rsid w:val="00825245"/>
    <w:rsid w:val="008257EC"/>
    <w:rsid w:val="00825A80"/>
    <w:rsid w:val="0082676C"/>
    <w:rsid w:val="00827320"/>
    <w:rsid w:val="0082742F"/>
    <w:rsid w:val="00827495"/>
    <w:rsid w:val="00827AAE"/>
    <w:rsid w:val="00827D84"/>
    <w:rsid w:val="008304F5"/>
    <w:rsid w:val="008305BF"/>
    <w:rsid w:val="008306BD"/>
    <w:rsid w:val="00830A11"/>
    <w:rsid w:val="00830CC0"/>
    <w:rsid w:val="00831A80"/>
    <w:rsid w:val="0083281D"/>
    <w:rsid w:val="00832AE9"/>
    <w:rsid w:val="008332F1"/>
    <w:rsid w:val="00833432"/>
    <w:rsid w:val="008336E0"/>
    <w:rsid w:val="00833743"/>
    <w:rsid w:val="00833AB2"/>
    <w:rsid w:val="00833B49"/>
    <w:rsid w:val="008340A4"/>
    <w:rsid w:val="00834D77"/>
    <w:rsid w:val="00834DDA"/>
    <w:rsid w:val="008359BC"/>
    <w:rsid w:val="00835D1B"/>
    <w:rsid w:val="00836C53"/>
    <w:rsid w:val="008376C3"/>
    <w:rsid w:val="0083784D"/>
    <w:rsid w:val="00840115"/>
    <w:rsid w:val="00840136"/>
    <w:rsid w:val="00840569"/>
    <w:rsid w:val="00840A2A"/>
    <w:rsid w:val="00840BE1"/>
    <w:rsid w:val="0084213F"/>
    <w:rsid w:val="008424F2"/>
    <w:rsid w:val="00842B4C"/>
    <w:rsid w:val="008432A0"/>
    <w:rsid w:val="00843EDD"/>
    <w:rsid w:val="00843FA2"/>
    <w:rsid w:val="00844D6C"/>
    <w:rsid w:val="00844F9A"/>
    <w:rsid w:val="00845856"/>
    <w:rsid w:val="00845883"/>
    <w:rsid w:val="00846696"/>
    <w:rsid w:val="0084684A"/>
    <w:rsid w:val="00846F6D"/>
    <w:rsid w:val="00847345"/>
    <w:rsid w:val="008477D1"/>
    <w:rsid w:val="00847CBE"/>
    <w:rsid w:val="0085064C"/>
    <w:rsid w:val="00850E9C"/>
    <w:rsid w:val="008510C3"/>
    <w:rsid w:val="008513F9"/>
    <w:rsid w:val="00851A6B"/>
    <w:rsid w:val="00852107"/>
    <w:rsid w:val="00852554"/>
    <w:rsid w:val="008531E3"/>
    <w:rsid w:val="008532AE"/>
    <w:rsid w:val="008539B4"/>
    <w:rsid w:val="00853B23"/>
    <w:rsid w:val="008541A1"/>
    <w:rsid w:val="00854B45"/>
    <w:rsid w:val="00854C31"/>
    <w:rsid w:val="00854FD2"/>
    <w:rsid w:val="0085562A"/>
    <w:rsid w:val="00855CB3"/>
    <w:rsid w:val="008560C4"/>
    <w:rsid w:val="00856660"/>
    <w:rsid w:val="00856CDB"/>
    <w:rsid w:val="00856D7E"/>
    <w:rsid w:val="00856F47"/>
    <w:rsid w:val="0086050B"/>
    <w:rsid w:val="00860B8A"/>
    <w:rsid w:val="00861965"/>
    <w:rsid w:val="00861B28"/>
    <w:rsid w:val="0086205A"/>
    <w:rsid w:val="00862A73"/>
    <w:rsid w:val="00862C3C"/>
    <w:rsid w:val="00862F97"/>
    <w:rsid w:val="008630CE"/>
    <w:rsid w:val="008633BE"/>
    <w:rsid w:val="008637C7"/>
    <w:rsid w:val="00863B03"/>
    <w:rsid w:val="00864381"/>
    <w:rsid w:val="0086464B"/>
    <w:rsid w:val="00864C42"/>
    <w:rsid w:val="00866345"/>
    <w:rsid w:val="00866B65"/>
    <w:rsid w:val="00866D5C"/>
    <w:rsid w:val="00866D9B"/>
    <w:rsid w:val="00867906"/>
    <w:rsid w:val="00867ABE"/>
    <w:rsid w:val="00867B39"/>
    <w:rsid w:val="00867D77"/>
    <w:rsid w:val="00870131"/>
    <w:rsid w:val="008703F4"/>
    <w:rsid w:val="00870663"/>
    <w:rsid w:val="0087135F"/>
    <w:rsid w:val="0087240A"/>
    <w:rsid w:val="00872C96"/>
    <w:rsid w:val="00872D94"/>
    <w:rsid w:val="00873537"/>
    <w:rsid w:val="0087379D"/>
    <w:rsid w:val="00873C87"/>
    <w:rsid w:val="00873CF4"/>
    <w:rsid w:val="0087442A"/>
    <w:rsid w:val="00875374"/>
    <w:rsid w:val="008755BC"/>
    <w:rsid w:val="00875647"/>
    <w:rsid w:val="00875919"/>
    <w:rsid w:val="00875E8B"/>
    <w:rsid w:val="00876040"/>
    <w:rsid w:val="00876653"/>
    <w:rsid w:val="00876BAB"/>
    <w:rsid w:val="00876C1E"/>
    <w:rsid w:val="00876E67"/>
    <w:rsid w:val="00877053"/>
    <w:rsid w:val="008779B8"/>
    <w:rsid w:val="00880364"/>
    <w:rsid w:val="00880B49"/>
    <w:rsid w:val="0088107A"/>
    <w:rsid w:val="00881172"/>
    <w:rsid w:val="00881557"/>
    <w:rsid w:val="00881561"/>
    <w:rsid w:val="0088161A"/>
    <w:rsid w:val="008819DE"/>
    <w:rsid w:val="00881B3B"/>
    <w:rsid w:val="00881BD7"/>
    <w:rsid w:val="00882189"/>
    <w:rsid w:val="0088279E"/>
    <w:rsid w:val="00882EAA"/>
    <w:rsid w:val="00882FDB"/>
    <w:rsid w:val="00883E13"/>
    <w:rsid w:val="00883E60"/>
    <w:rsid w:val="008846B1"/>
    <w:rsid w:val="008847E6"/>
    <w:rsid w:val="00884C1C"/>
    <w:rsid w:val="00884C5A"/>
    <w:rsid w:val="00884D54"/>
    <w:rsid w:val="00885798"/>
    <w:rsid w:val="00885845"/>
    <w:rsid w:val="008862FF"/>
    <w:rsid w:val="00886AC0"/>
    <w:rsid w:val="00890C55"/>
    <w:rsid w:val="00890E84"/>
    <w:rsid w:val="00891592"/>
    <w:rsid w:val="00891E9E"/>
    <w:rsid w:val="00892A77"/>
    <w:rsid w:val="00893D15"/>
    <w:rsid w:val="00894072"/>
    <w:rsid w:val="00894278"/>
    <w:rsid w:val="008944DA"/>
    <w:rsid w:val="00894A57"/>
    <w:rsid w:val="00896C91"/>
    <w:rsid w:val="0089721C"/>
    <w:rsid w:val="00897340"/>
    <w:rsid w:val="00897435"/>
    <w:rsid w:val="0089745C"/>
    <w:rsid w:val="00897D80"/>
    <w:rsid w:val="008A1415"/>
    <w:rsid w:val="008A17B8"/>
    <w:rsid w:val="008A1B0D"/>
    <w:rsid w:val="008A2F68"/>
    <w:rsid w:val="008A33FA"/>
    <w:rsid w:val="008A3962"/>
    <w:rsid w:val="008A3976"/>
    <w:rsid w:val="008A406B"/>
    <w:rsid w:val="008A439B"/>
    <w:rsid w:val="008A5109"/>
    <w:rsid w:val="008A53DC"/>
    <w:rsid w:val="008A6849"/>
    <w:rsid w:val="008A6A42"/>
    <w:rsid w:val="008A6BE8"/>
    <w:rsid w:val="008B0165"/>
    <w:rsid w:val="008B12DB"/>
    <w:rsid w:val="008B1942"/>
    <w:rsid w:val="008B1984"/>
    <w:rsid w:val="008B1BAE"/>
    <w:rsid w:val="008B1C25"/>
    <w:rsid w:val="008B2056"/>
    <w:rsid w:val="008B21B4"/>
    <w:rsid w:val="008B2301"/>
    <w:rsid w:val="008B2BC9"/>
    <w:rsid w:val="008B3112"/>
    <w:rsid w:val="008B3BF2"/>
    <w:rsid w:val="008B3C87"/>
    <w:rsid w:val="008B3E59"/>
    <w:rsid w:val="008B40AF"/>
    <w:rsid w:val="008B4C70"/>
    <w:rsid w:val="008B4FA6"/>
    <w:rsid w:val="008B4FC3"/>
    <w:rsid w:val="008B5282"/>
    <w:rsid w:val="008B58F6"/>
    <w:rsid w:val="008B5A94"/>
    <w:rsid w:val="008B646E"/>
    <w:rsid w:val="008B65DD"/>
    <w:rsid w:val="008B69B9"/>
    <w:rsid w:val="008B718E"/>
    <w:rsid w:val="008B733C"/>
    <w:rsid w:val="008B7C17"/>
    <w:rsid w:val="008B7E98"/>
    <w:rsid w:val="008C00E3"/>
    <w:rsid w:val="008C01E4"/>
    <w:rsid w:val="008C0F44"/>
    <w:rsid w:val="008C1089"/>
    <w:rsid w:val="008C1622"/>
    <w:rsid w:val="008C187A"/>
    <w:rsid w:val="008C239F"/>
    <w:rsid w:val="008C2C11"/>
    <w:rsid w:val="008C2CD4"/>
    <w:rsid w:val="008C2D01"/>
    <w:rsid w:val="008C324F"/>
    <w:rsid w:val="008C34AC"/>
    <w:rsid w:val="008C40E6"/>
    <w:rsid w:val="008C44EC"/>
    <w:rsid w:val="008C4DBD"/>
    <w:rsid w:val="008C4F30"/>
    <w:rsid w:val="008C50B3"/>
    <w:rsid w:val="008C574D"/>
    <w:rsid w:val="008C6021"/>
    <w:rsid w:val="008C619E"/>
    <w:rsid w:val="008C6AD9"/>
    <w:rsid w:val="008D014A"/>
    <w:rsid w:val="008D0506"/>
    <w:rsid w:val="008D0B49"/>
    <w:rsid w:val="008D0F7A"/>
    <w:rsid w:val="008D1676"/>
    <w:rsid w:val="008D1C00"/>
    <w:rsid w:val="008D1C1B"/>
    <w:rsid w:val="008D1D13"/>
    <w:rsid w:val="008D1E8A"/>
    <w:rsid w:val="008D1E98"/>
    <w:rsid w:val="008D2CEC"/>
    <w:rsid w:val="008D2E16"/>
    <w:rsid w:val="008D2E26"/>
    <w:rsid w:val="008D3705"/>
    <w:rsid w:val="008D3CD2"/>
    <w:rsid w:val="008D4140"/>
    <w:rsid w:val="008D49AB"/>
    <w:rsid w:val="008D4AFC"/>
    <w:rsid w:val="008D4FCE"/>
    <w:rsid w:val="008D585F"/>
    <w:rsid w:val="008D5E1F"/>
    <w:rsid w:val="008D5E46"/>
    <w:rsid w:val="008D60D9"/>
    <w:rsid w:val="008D6195"/>
    <w:rsid w:val="008D68E4"/>
    <w:rsid w:val="008D6A38"/>
    <w:rsid w:val="008D7070"/>
    <w:rsid w:val="008D7297"/>
    <w:rsid w:val="008D745A"/>
    <w:rsid w:val="008D778F"/>
    <w:rsid w:val="008D7A2A"/>
    <w:rsid w:val="008D7FD8"/>
    <w:rsid w:val="008E0308"/>
    <w:rsid w:val="008E0506"/>
    <w:rsid w:val="008E0CFF"/>
    <w:rsid w:val="008E0ECB"/>
    <w:rsid w:val="008E1249"/>
    <w:rsid w:val="008E1919"/>
    <w:rsid w:val="008E28F9"/>
    <w:rsid w:val="008E309C"/>
    <w:rsid w:val="008E31F7"/>
    <w:rsid w:val="008E31FA"/>
    <w:rsid w:val="008E3995"/>
    <w:rsid w:val="008E436F"/>
    <w:rsid w:val="008E5AC8"/>
    <w:rsid w:val="008E5D6B"/>
    <w:rsid w:val="008E6EF4"/>
    <w:rsid w:val="008E76F0"/>
    <w:rsid w:val="008F0016"/>
    <w:rsid w:val="008F1500"/>
    <w:rsid w:val="008F15FE"/>
    <w:rsid w:val="008F2677"/>
    <w:rsid w:val="008F2903"/>
    <w:rsid w:val="008F2B68"/>
    <w:rsid w:val="008F2BF8"/>
    <w:rsid w:val="008F2D29"/>
    <w:rsid w:val="008F3D51"/>
    <w:rsid w:val="008F4CE7"/>
    <w:rsid w:val="008F5187"/>
    <w:rsid w:val="008F5613"/>
    <w:rsid w:val="008F5949"/>
    <w:rsid w:val="008F5DB1"/>
    <w:rsid w:val="008F5E4D"/>
    <w:rsid w:val="008F60D8"/>
    <w:rsid w:val="008F60F4"/>
    <w:rsid w:val="008F66C8"/>
    <w:rsid w:val="008F6928"/>
    <w:rsid w:val="008F7230"/>
    <w:rsid w:val="008F7C4B"/>
    <w:rsid w:val="008F7EC8"/>
    <w:rsid w:val="00900815"/>
    <w:rsid w:val="009008D3"/>
    <w:rsid w:val="009009C7"/>
    <w:rsid w:val="00900A40"/>
    <w:rsid w:val="00901681"/>
    <w:rsid w:val="009018D1"/>
    <w:rsid w:val="00901F34"/>
    <w:rsid w:val="00902727"/>
    <w:rsid w:val="00902E5E"/>
    <w:rsid w:val="00902FB4"/>
    <w:rsid w:val="0090305B"/>
    <w:rsid w:val="0090312B"/>
    <w:rsid w:val="00903573"/>
    <w:rsid w:val="00904E7C"/>
    <w:rsid w:val="00905192"/>
    <w:rsid w:val="00905391"/>
    <w:rsid w:val="00905681"/>
    <w:rsid w:val="009056DF"/>
    <w:rsid w:val="0090578E"/>
    <w:rsid w:val="00905911"/>
    <w:rsid w:val="00905C75"/>
    <w:rsid w:val="00905ED9"/>
    <w:rsid w:val="009062AF"/>
    <w:rsid w:val="0090647B"/>
    <w:rsid w:val="00906C26"/>
    <w:rsid w:val="00907034"/>
    <w:rsid w:val="009073DC"/>
    <w:rsid w:val="009076D7"/>
    <w:rsid w:val="00907748"/>
    <w:rsid w:val="009079B2"/>
    <w:rsid w:val="009107CB"/>
    <w:rsid w:val="009109DE"/>
    <w:rsid w:val="00910E1F"/>
    <w:rsid w:val="00911067"/>
    <w:rsid w:val="009116EB"/>
    <w:rsid w:val="00911D92"/>
    <w:rsid w:val="00911E86"/>
    <w:rsid w:val="00912821"/>
    <w:rsid w:val="00912D01"/>
    <w:rsid w:val="009137A6"/>
    <w:rsid w:val="00914009"/>
    <w:rsid w:val="0091418D"/>
    <w:rsid w:val="009142AB"/>
    <w:rsid w:val="009159FB"/>
    <w:rsid w:val="00915B33"/>
    <w:rsid w:val="00915E2F"/>
    <w:rsid w:val="0091736D"/>
    <w:rsid w:val="00920052"/>
    <w:rsid w:val="0092120A"/>
    <w:rsid w:val="0092176A"/>
    <w:rsid w:val="009218F6"/>
    <w:rsid w:val="00921FE2"/>
    <w:rsid w:val="00924823"/>
    <w:rsid w:val="009249D1"/>
    <w:rsid w:val="0092565D"/>
    <w:rsid w:val="0092567E"/>
    <w:rsid w:val="009257EB"/>
    <w:rsid w:val="00925D55"/>
    <w:rsid w:val="00926D42"/>
    <w:rsid w:val="00927325"/>
    <w:rsid w:val="009278B8"/>
    <w:rsid w:val="00927DCB"/>
    <w:rsid w:val="00930278"/>
    <w:rsid w:val="0093037A"/>
    <w:rsid w:val="009307D5"/>
    <w:rsid w:val="00931264"/>
    <w:rsid w:val="009317F6"/>
    <w:rsid w:val="0093183C"/>
    <w:rsid w:val="00931C93"/>
    <w:rsid w:val="00932017"/>
    <w:rsid w:val="00932148"/>
    <w:rsid w:val="00932594"/>
    <w:rsid w:val="009329AF"/>
    <w:rsid w:val="0093338A"/>
    <w:rsid w:val="009343B9"/>
    <w:rsid w:val="00934951"/>
    <w:rsid w:val="00934AF6"/>
    <w:rsid w:val="00935040"/>
    <w:rsid w:val="00935846"/>
    <w:rsid w:val="00935C7F"/>
    <w:rsid w:val="00935FDA"/>
    <w:rsid w:val="0093652B"/>
    <w:rsid w:val="00936E4E"/>
    <w:rsid w:val="00937167"/>
    <w:rsid w:val="0093727D"/>
    <w:rsid w:val="0094143E"/>
    <w:rsid w:val="0094154D"/>
    <w:rsid w:val="00941BD6"/>
    <w:rsid w:val="009428BF"/>
    <w:rsid w:val="00942925"/>
    <w:rsid w:val="00942E3E"/>
    <w:rsid w:val="009430DF"/>
    <w:rsid w:val="009433AF"/>
    <w:rsid w:val="009435AD"/>
    <w:rsid w:val="00943B6B"/>
    <w:rsid w:val="009440C9"/>
    <w:rsid w:val="00944743"/>
    <w:rsid w:val="009447CC"/>
    <w:rsid w:val="0094498D"/>
    <w:rsid w:val="009453B8"/>
    <w:rsid w:val="00945A35"/>
    <w:rsid w:val="00946245"/>
    <w:rsid w:val="009463A7"/>
    <w:rsid w:val="009476F1"/>
    <w:rsid w:val="00947998"/>
    <w:rsid w:val="00947D7C"/>
    <w:rsid w:val="00950AB7"/>
    <w:rsid w:val="00950AC4"/>
    <w:rsid w:val="00950F27"/>
    <w:rsid w:val="009511E5"/>
    <w:rsid w:val="0095155F"/>
    <w:rsid w:val="00951781"/>
    <w:rsid w:val="00953E68"/>
    <w:rsid w:val="009541B8"/>
    <w:rsid w:val="00954233"/>
    <w:rsid w:val="00954378"/>
    <w:rsid w:val="00954429"/>
    <w:rsid w:val="009549A7"/>
    <w:rsid w:val="00954A89"/>
    <w:rsid w:val="00954C94"/>
    <w:rsid w:val="00954E08"/>
    <w:rsid w:val="009553B3"/>
    <w:rsid w:val="009563CE"/>
    <w:rsid w:val="00956413"/>
    <w:rsid w:val="00956428"/>
    <w:rsid w:val="009567C6"/>
    <w:rsid w:val="00956CD1"/>
    <w:rsid w:val="009577EF"/>
    <w:rsid w:val="009612BB"/>
    <w:rsid w:val="009638A6"/>
    <w:rsid w:val="00964147"/>
    <w:rsid w:val="00964CF0"/>
    <w:rsid w:val="00964DD7"/>
    <w:rsid w:val="009654C6"/>
    <w:rsid w:val="009655FE"/>
    <w:rsid w:val="00965AC7"/>
    <w:rsid w:val="00965BFD"/>
    <w:rsid w:val="00965F80"/>
    <w:rsid w:val="00966054"/>
    <w:rsid w:val="009662A9"/>
    <w:rsid w:val="00966358"/>
    <w:rsid w:val="00966597"/>
    <w:rsid w:val="00966A76"/>
    <w:rsid w:val="00966B7A"/>
    <w:rsid w:val="00966BC7"/>
    <w:rsid w:val="00966C0F"/>
    <w:rsid w:val="0096723A"/>
    <w:rsid w:val="0096727B"/>
    <w:rsid w:val="00967E7C"/>
    <w:rsid w:val="0097062B"/>
    <w:rsid w:val="00970E3D"/>
    <w:rsid w:val="009711EA"/>
    <w:rsid w:val="009714F0"/>
    <w:rsid w:val="009716F5"/>
    <w:rsid w:val="0097189D"/>
    <w:rsid w:val="00971A48"/>
    <w:rsid w:val="00971AFC"/>
    <w:rsid w:val="00971C27"/>
    <w:rsid w:val="009722DF"/>
    <w:rsid w:val="009727FD"/>
    <w:rsid w:val="00972EC8"/>
    <w:rsid w:val="009736BA"/>
    <w:rsid w:val="00974A7A"/>
    <w:rsid w:val="00975435"/>
    <w:rsid w:val="00976328"/>
    <w:rsid w:val="0097680D"/>
    <w:rsid w:val="00976A03"/>
    <w:rsid w:val="00977208"/>
    <w:rsid w:val="009773FE"/>
    <w:rsid w:val="0097759F"/>
    <w:rsid w:val="009818AC"/>
    <w:rsid w:val="0098230F"/>
    <w:rsid w:val="00982355"/>
    <w:rsid w:val="00982438"/>
    <w:rsid w:val="00982994"/>
    <w:rsid w:val="00983C50"/>
    <w:rsid w:val="0098400C"/>
    <w:rsid w:val="0098404C"/>
    <w:rsid w:val="00984B60"/>
    <w:rsid w:val="00984CA8"/>
    <w:rsid w:val="00984DA0"/>
    <w:rsid w:val="00985283"/>
    <w:rsid w:val="009852DA"/>
    <w:rsid w:val="009857E5"/>
    <w:rsid w:val="00985D7E"/>
    <w:rsid w:val="00985F1E"/>
    <w:rsid w:val="0098707F"/>
    <w:rsid w:val="00987A16"/>
    <w:rsid w:val="009906DF"/>
    <w:rsid w:val="009908FD"/>
    <w:rsid w:val="0099153D"/>
    <w:rsid w:val="009915D5"/>
    <w:rsid w:val="0099179C"/>
    <w:rsid w:val="009917FC"/>
    <w:rsid w:val="00991A63"/>
    <w:rsid w:val="00991AAB"/>
    <w:rsid w:val="00991AD3"/>
    <w:rsid w:val="00992870"/>
    <w:rsid w:val="00992E1B"/>
    <w:rsid w:val="00992FF3"/>
    <w:rsid w:val="009930BC"/>
    <w:rsid w:val="009934C0"/>
    <w:rsid w:val="00994191"/>
    <w:rsid w:val="0099522C"/>
    <w:rsid w:val="009957A3"/>
    <w:rsid w:val="00995962"/>
    <w:rsid w:val="00995992"/>
    <w:rsid w:val="00995EC8"/>
    <w:rsid w:val="00996C40"/>
    <w:rsid w:val="00996C75"/>
    <w:rsid w:val="0099734E"/>
    <w:rsid w:val="009974B5"/>
    <w:rsid w:val="00997ABC"/>
    <w:rsid w:val="00997F6C"/>
    <w:rsid w:val="009A03E5"/>
    <w:rsid w:val="009A0F3B"/>
    <w:rsid w:val="009A108D"/>
    <w:rsid w:val="009A1097"/>
    <w:rsid w:val="009A157A"/>
    <w:rsid w:val="009A1BB4"/>
    <w:rsid w:val="009A217E"/>
    <w:rsid w:val="009A2628"/>
    <w:rsid w:val="009A282A"/>
    <w:rsid w:val="009A2C10"/>
    <w:rsid w:val="009A305E"/>
    <w:rsid w:val="009A3200"/>
    <w:rsid w:val="009A369C"/>
    <w:rsid w:val="009A3911"/>
    <w:rsid w:val="009A404B"/>
    <w:rsid w:val="009A43C9"/>
    <w:rsid w:val="009A46C0"/>
    <w:rsid w:val="009A49B6"/>
    <w:rsid w:val="009A4B87"/>
    <w:rsid w:val="009A4F89"/>
    <w:rsid w:val="009A5ACB"/>
    <w:rsid w:val="009A619A"/>
    <w:rsid w:val="009A65B1"/>
    <w:rsid w:val="009A67EC"/>
    <w:rsid w:val="009A69B9"/>
    <w:rsid w:val="009A6A8E"/>
    <w:rsid w:val="009A72F6"/>
    <w:rsid w:val="009A760D"/>
    <w:rsid w:val="009A7DB5"/>
    <w:rsid w:val="009B03C1"/>
    <w:rsid w:val="009B0415"/>
    <w:rsid w:val="009B0897"/>
    <w:rsid w:val="009B0BCE"/>
    <w:rsid w:val="009B0CA6"/>
    <w:rsid w:val="009B17D9"/>
    <w:rsid w:val="009B28C5"/>
    <w:rsid w:val="009B30C5"/>
    <w:rsid w:val="009B37CF"/>
    <w:rsid w:val="009B417D"/>
    <w:rsid w:val="009B4740"/>
    <w:rsid w:val="009B4863"/>
    <w:rsid w:val="009B55ED"/>
    <w:rsid w:val="009B59B4"/>
    <w:rsid w:val="009B6A08"/>
    <w:rsid w:val="009B6C95"/>
    <w:rsid w:val="009B6EA5"/>
    <w:rsid w:val="009B718C"/>
    <w:rsid w:val="009B718D"/>
    <w:rsid w:val="009B752D"/>
    <w:rsid w:val="009B7BD9"/>
    <w:rsid w:val="009C03C9"/>
    <w:rsid w:val="009C042D"/>
    <w:rsid w:val="009C0955"/>
    <w:rsid w:val="009C0ACE"/>
    <w:rsid w:val="009C0E0C"/>
    <w:rsid w:val="009C1049"/>
    <w:rsid w:val="009C116E"/>
    <w:rsid w:val="009C118C"/>
    <w:rsid w:val="009C1511"/>
    <w:rsid w:val="009C1541"/>
    <w:rsid w:val="009C2385"/>
    <w:rsid w:val="009C2A47"/>
    <w:rsid w:val="009C2FE8"/>
    <w:rsid w:val="009C30C7"/>
    <w:rsid w:val="009C3209"/>
    <w:rsid w:val="009C37A5"/>
    <w:rsid w:val="009C3828"/>
    <w:rsid w:val="009C3969"/>
    <w:rsid w:val="009C3B7A"/>
    <w:rsid w:val="009C3EC3"/>
    <w:rsid w:val="009C4353"/>
    <w:rsid w:val="009C44E1"/>
    <w:rsid w:val="009C48A7"/>
    <w:rsid w:val="009C5201"/>
    <w:rsid w:val="009C5359"/>
    <w:rsid w:val="009C54D2"/>
    <w:rsid w:val="009C5ABF"/>
    <w:rsid w:val="009C5E74"/>
    <w:rsid w:val="009C6492"/>
    <w:rsid w:val="009C6532"/>
    <w:rsid w:val="009C6595"/>
    <w:rsid w:val="009C6B9C"/>
    <w:rsid w:val="009C6DDE"/>
    <w:rsid w:val="009C703D"/>
    <w:rsid w:val="009C7760"/>
    <w:rsid w:val="009C7CB9"/>
    <w:rsid w:val="009C7DD5"/>
    <w:rsid w:val="009D0572"/>
    <w:rsid w:val="009D1013"/>
    <w:rsid w:val="009D1460"/>
    <w:rsid w:val="009D1D43"/>
    <w:rsid w:val="009D2771"/>
    <w:rsid w:val="009D3005"/>
    <w:rsid w:val="009D32F5"/>
    <w:rsid w:val="009D34B3"/>
    <w:rsid w:val="009D39FF"/>
    <w:rsid w:val="009D3EDE"/>
    <w:rsid w:val="009D4137"/>
    <w:rsid w:val="009D4445"/>
    <w:rsid w:val="009D4B87"/>
    <w:rsid w:val="009D4E45"/>
    <w:rsid w:val="009D5F99"/>
    <w:rsid w:val="009D75AB"/>
    <w:rsid w:val="009D7847"/>
    <w:rsid w:val="009D7A7A"/>
    <w:rsid w:val="009D7B71"/>
    <w:rsid w:val="009E0DC6"/>
    <w:rsid w:val="009E1C8B"/>
    <w:rsid w:val="009E214E"/>
    <w:rsid w:val="009E227D"/>
    <w:rsid w:val="009E2461"/>
    <w:rsid w:val="009E2966"/>
    <w:rsid w:val="009E309C"/>
    <w:rsid w:val="009E3620"/>
    <w:rsid w:val="009E36E0"/>
    <w:rsid w:val="009E4A0F"/>
    <w:rsid w:val="009E5019"/>
    <w:rsid w:val="009E678D"/>
    <w:rsid w:val="009E6930"/>
    <w:rsid w:val="009E6BD9"/>
    <w:rsid w:val="009E759A"/>
    <w:rsid w:val="009E7715"/>
    <w:rsid w:val="009E7E80"/>
    <w:rsid w:val="009F0251"/>
    <w:rsid w:val="009F06E9"/>
    <w:rsid w:val="009F0C69"/>
    <w:rsid w:val="009F0E74"/>
    <w:rsid w:val="009F0ED1"/>
    <w:rsid w:val="009F1168"/>
    <w:rsid w:val="009F128D"/>
    <w:rsid w:val="009F20A1"/>
    <w:rsid w:val="009F2CED"/>
    <w:rsid w:val="009F38E9"/>
    <w:rsid w:val="009F3A27"/>
    <w:rsid w:val="009F40E9"/>
    <w:rsid w:val="009F42EB"/>
    <w:rsid w:val="009F4B47"/>
    <w:rsid w:val="009F5125"/>
    <w:rsid w:val="009F53A1"/>
    <w:rsid w:val="009F608C"/>
    <w:rsid w:val="009F6777"/>
    <w:rsid w:val="009F6784"/>
    <w:rsid w:val="009F7438"/>
    <w:rsid w:val="009F7715"/>
    <w:rsid w:val="009F7B4F"/>
    <w:rsid w:val="009F7DBC"/>
    <w:rsid w:val="00A00C58"/>
    <w:rsid w:val="00A00CD8"/>
    <w:rsid w:val="00A01B17"/>
    <w:rsid w:val="00A01CAC"/>
    <w:rsid w:val="00A02307"/>
    <w:rsid w:val="00A028B1"/>
    <w:rsid w:val="00A029BE"/>
    <w:rsid w:val="00A02BB7"/>
    <w:rsid w:val="00A03252"/>
    <w:rsid w:val="00A037E9"/>
    <w:rsid w:val="00A04F1B"/>
    <w:rsid w:val="00A0501B"/>
    <w:rsid w:val="00A0518F"/>
    <w:rsid w:val="00A05362"/>
    <w:rsid w:val="00A05938"/>
    <w:rsid w:val="00A06E1E"/>
    <w:rsid w:val="00A070EA"/>
    <w:rsid w:val="00A0767A"/>
    <w:rsid w:val="00A079B7"/>
    <w:rsid w:val="00A07D60"/>
    <w:rsid w:val="00A1043A"/>
    <w:rsid w:val="00A1090D"/>
    <w:rsid w:val="00A1093E"/>
    <w:rsid w:val="00A10F49"/>
    <w:rsid w:val="00A110B6"/>
    <w:rsid w:val="00A11823"/>
    <w:rsid w:val="00A11860"/>
    <w:rsid w:val="00A11D36"/>
    <w:rsid w:val="00A11D85"/>
    <w:rsid w:val="00A12ADB"/>
    <w:rsid w:val="00A1378D"/>
    <w:rsid w:val="00A13794"/>
    <w:rsid w:val="00A13FA1"/>
    <w:rsid w:val="00A14947"/>
    <w:rsid w:val="00A150E7"/>
    <w:rsid w:val="00A15127"/>
    <w:rsid w:val="00A15497"/>
    <w:rsid w:val="00A157E2"/>
    <w:rsid w:val="00A15C3C"/>
    <w:rsid w:val="00A15DCA"/>
    <w:rsid w:val="00A15F6D"/>
    <w:rsid w:val="00A16FBE"/>
    <w:rsid w:val="00A17C9D"/>
    <w:rsid w:val="00A201D6"/>
    <w:rsid w:val="00A20356"/>
    <w:rsid w:val="00A20E4A"/>
    <w:rsid w:val="00A20E78"/>
    <w:rsid w:val="00A21005"/>
    <w:rsid w:val="00A2123B"/>
    <w:rsid w:val="00A21762"/>
    <w:rsid w:val="00A22167"/>
    <w:rsid w:val="00A22589"/>
    <w:rsid w:val="00A229AE"/>
    <w:rsid w:val="00A2301D"/>
    <w:rsid w:val="00A23905"/>
    <w:rsid w:val="00A23A3F"/>
    <w:rsid w:val="00A23A41"/>
    <w:rsid w:val="00A240AD"/>
    <w:rsid w:val="00A247F7"/>
    <w:rsid w:val="00A25176"/>
    <w:rsid w:val="00A256FA"/>
    <w:rsid w:val="00A25DA2"/>
    <w:rsid w:val="00A2601D"/>
    <w:rsid w:val="00A26F04"/>
    <w:rsid w:val="00A302AE"/>
    <w:rsid w:val="00A30543"/>
    <w:rsid w:val="00A30818"/>
    <w:rsid w:val="00A30FFD"/>
    <w:rsid w:val="00A32A83"/>
    <w:rsid w:val="00A32BD8"/>
    <w:rsid w:val="00A32DDE"/>
    <w:rsid w:val="00A32F0D"/>
    <w:rsid w:val="00A34143"/>
    <w:rsid w:val="00A3432B"/>
    <w:rsid w:val="00A34336"/>
    <w:rsid w:val="00A34BFF"/>
    <w:rsid w:val="00A35085"/>
    <w:rsid w:val="00A3528E"/>
    <w:rsid w:val="00A359F8"/>
    <w:rsid w:val="00A35C87"/>
    <w:rsid w:val="00A35D55"/>
    <w:rsid w:val="00A36136"/>
    <w:rsid w:val="00A368DB"/>
    <w:rsid w:val="00A3785D"/>
    <w:rsid w:val="00A37B5F"/>
    <w:rsid w:val="00A407B5"/>
    <w:rsid w:val="00A41150"/>
    <w:rsid w:val="00A423AA"/>
    <w:rsid w:val="00A430E1"/>
    <w:rsid w:val="00A43566"/>
    <w:rsid w:val="00A43879"/>
    <w:rsid w:val="00A441DA"/>
    <w:rsid w:val="00A4438A"/>
    <w:rsid w:val="00A447F7"/>
    <w:rsid w:val="00A44B2E"/>
    <w:rsid w:val="00A4545E"/>
    <w:rsid w:val="00A45FDC"/>
    <w:rsid w:val="00A467BC"/>
    <w:rsid w:val="00A46B3A"/>
    <w:rsid w:val="00A46BD5"/>
    <w:rsid w:val="00A46F61"/>
    <w:rsid w:val="00A4736F"/>
    <w:rsid w:val="00A4787A"/>
    <w:rsid w:val="00A47A85"/>
    <w:rsid w:val="00A47F02"/>
    <w:rsid w:val="00A47F04"/>
    <w:rsid w:val="00A47FE4"/>
    <w:rsid w:val="00A5046A"/>
    <w:rsid w:val="00A50AD4"/>
    <w:rsid w:val="00A50F3D"/>
    <w:rsid w:val="00A5134E"/>
    <w:rsid w:val="00A514ED"/>
    <w:rsid w:val="00A5204E"/>
    <w:rsid w:val="00A52183"/>
    <w:rsid w:val="00A526F5"/>
    <w:rsid w:val="00A5327C"/>
    <w:rsid w:val="00A53411"/>
    <w:rsid w:val="00A5369C"/>
    <w:rsid w:val="00A537C2"/>
    <w:rsid w:val="00A539D7"/>
    <w:rsid w:val="00A53BD2"/>
    <w:rsid w:val="00A53E33"/>
    <w:rsid w:val="00A53E90"/>
    <w:rsid w:val="00A53EC6"/>
    <w:rsid w:val="00A53F03"/>
    <w:rsid w:val="00A5455E"/>
    <w:rsid w:val="00A5564B"/>
    <w:rsid w:val="00A55848"/>
    <w:rsid w:val="00A558E1"/>
    <w:rsid w:val="00A55AF9"/>
    <w:rsid w:val="00A55C0F"/>
    <w:rsid w:val="00A5635F"/>
    <w:rsid w:val="00A56445"/>
    <w:rsid w:val="00A569E9"/>
    <w:rsid w:val="00A56DB3"/>
    <w:rsid w:val="00A56F32"/>
    <w:rsid w:val="00A577C4"/>
    <w:rsid w:val="00A6057C"/>
    <w:rsid w:val="00A60AB5"/>
    <w:rsid w:val="00A60BCD"/>
    <w:rsid w:val="00A611A4"/>
    <w:rsid w:val="00A61341"/>
    <w:rsid w:val="00A624B1"/>
    <w:rsid w:val="00A62972"/>
    <w:rsid w:val="00A6328B"/>
    <w:rsid w:val="00A63704"/>
    <w:rsid w:val="00A6377B"/>
    <w:rsid w:val="00A64646"/>
    <w:rsid w:val="00A65ADC"/>
    <w:rsid w:val="00A660FB"/>
    <w:rsid w:val="00A67281"/>
    <w:rsid w:val="00A67A2A"/>
    <w:rsid w:val="00A67E31"/>
    <w:rsid w:val="00A700AF"/>
    <w:rsid w:val="00A703F1"/>
    <w:rsid w:val="00A70C71"/>
    <w:rsid w:val="00A71684"/>
    <w:rsid w:val="00A7178D"/>
    <w:rsid w:val="00A72112"/>
    <w:rsid w:val="00A7253B"/>
    <w:rsid w:val="00A72C3A"/>
    <w:rsid w:val="00A7345B"/>
    <w:rsid w:val="00A75626"/>
    <w:rsid w:val="00A75939"/>
    <w:rsid w:val="00A75A51"/>
    <w:rsid w:val="00A75AB0"/>
    <w:rsid w:val="00A761B3"/>
    <w:rsid w:val="00A763B8"/>
    <w:rsid w:val="00A76A2A"/>
    <w:rsid w:val="00A7751C"/>
    <w:rsid w:val="00A80A92"/>
    <w:rsid w:val="00A812EC"/>
    <w:rsid w:val="00A814A1"/>
    <w:rsid w:val="00A81A89"/>
    <w:rsid w:val="00A81E47"/>
    <w:rsid w:val="00A822CC"/>
    <w:rsid w:val="00A82560"/>
    <w:rsid w:val="00A83144"/>
    <w:rsid w:val="00A831DB"/>
    <w:rsid w:val="00A83254"/>
    <w:rsid w:val="00A83D01"/>
    <w:rsid w:val="00A84596"/>
    <w:rsid w:val="00A84905"/>
    <w:rsid w:val="00A8692C"/>
    <w:rsid w:val="00A8713F"/>
    <w:rsid w:val="00A873E3"/>
    <w:rsid w:val="00A903CF"/>
    <w:rsid w:val="00A905F8"/>
    <w:rsid w:val="00A90887"/>
    <w:rsid w:val="00A90BA1"/>
    <w:rsid w:val="00A90CD8"/>
    <w:rsid w:val="00A90DB7"/>
    <w:rsid w:val="00A91131"/>
    <w:rsid w:val="00A917CF"/>
    <w:rsid w:val="00A919C6"/>
    <w:rsid w:val="00A91CBC"/>
    <w:rsid w:val="00A91FE7"/>
    <w:rsid w:val="00A9247C"/>
    <w:rsid w:val="00A9251D"/>
    <w:rsid w:val="00A92655"/>
    <w:rsid w:val="00A92864"/>
    <w:rsid w:val="00A92868"/>
    <w:rsid w:val="00A92DC4"/>
    <w:rsid w:val="00A92F4F"/>
    <w:rsid w:val="00A93118"/>
    <w:rsid w:val="00A937CC"/>
    <w:rsid w:val="00A93C3D"/>
    <w:rsid w:val="00A93D55"/>
    <w:rsid w:val="00A94C27"/>
    <w:rsid w:val="00A95094"/>
    <w:rsid w:val="00A957EF"/>
    <w:rsid w:val="00A958A5"/>
    <w:rsid w:val="00A95A75"/>
    <w:rsid w:val="00A95CD0"/>
    <w:rsid w:val="00A9628A"/>
    <w:rsid w:val="00A96434"/>
    <w:rsid w:val="00A96D02"/>
    <w:rsid w:val="00A96E73"/>
    <w:rsid w:val="00A97237"/>
    <w:rsid w:val="00A97A9A"/>
    <w:rsid w:val="00AA048B"/>
    <w:rsid w:val="00AA0671"/>
    <w:rsid w:val="00AA1A44"/>
    <w:rsid w:val="00AA1DBF"/>
    <w:rsid w:val="00AA2531"/>
    <w:rsid w:val="00AA26AD"/>
    <w:rsid w:val="00AA2BCB"/>
    <w:rsid w:val="00AA2C80"/>
    <w:rsid w:val="00AA392B"/>
    <w:rsid w:val="00AA3AEA"/>
    <w:rsid w:val="00AA3B9C"/>
    <w:rsid w:val="00AA3C8C"/>
    <w:rsid w:val="00AA41B9"/>
    <w:rsid w:val="00AA4437"/>
    <w:rsid w:val="00AA4613"/>
    <w:rsid w:val="00AA5550"/>
    <w:rsid w:val="00AA5C16"/>
    <w:rsid w:val="00AA5FDB"/>
    <w:rsid w:val="00AA6FEF"/>
    <w:rsid w:val="00AA70A0"/>
    <w:rsid w:val="00AA71D6"/>
    <w:rsid w:val="00AA7690"/>
    <w:rsid w:val="00AA7C0C"/>
    <w:rsid w:val="00AB06F5"/>
    <w:rsid w:val="00AB138F"/>
    <w:rsid w:val="00AB1E09"/>
    <w:rsid w:val="00AB1F85"/>
    <w:rsid w:val="00AB2280"/>
    <w:rsid w:val="00AB33EA"/>
    <w:rsid w:val="00AB367D"/>
    <w:rsid w:val="00AB37BB"/>
    <w:rsid w:val="00AB3E42"/>
    <w:rsid w:val="00AB3EC3"/>
    <w:rsid w:val="00AB4445"/>
    <w:rsid w:val="00AB44CF"/>
    <w:rsid w:val="00AB4ACF"/>
    <w:rsid w:val="00AB4E5C"/>
    <w:rsid w:val="00AB5330"/>
    <w:rsid w:val="00AB559D"/>
    <w:rsid w:val="00AB5956"/>
    <w:rsid w:val="00AB649B"/>
    <w:rsid w:val="00AB673F"/>
    <w:rsid w:val="00AB6963"/>
    <w:rsid w:val="00AB6F7F"/>
    <w:rsid w:val="00AB7747"/>
    <w:rsid w:val="00AB79E7"/>
    <w:rsid w:val="00AC064F"/>
    <w:rsid w:val="00AC08DD"/>
    <w:rsid w:val="00AC0E26"/>
    <w:rsid w:val="00AC14CE"/>
    <w:rsid w:val="00AC19E3"/>
    <w:rsid w:val="00AC2181"/>
    <w:rsid w:val="00AC2561"/>
    <w:rsid w:val="00AC2A56"/>
    <w:rsid w:val="00AC2DB4"/>
    <w:rsid w:val="00AC2F6C"/>
    <w:rsid w:val="00AC3891"/>
    <w:rsid w:val="00AC3EB9"/>
    <w:rsid w:val="00AC5609"/>
    <w:rsid w:val="00AC5B90"/>
    <w:rsid w:val="00AC616B"/>
    <w:rsid w:val="00AC750A"/>
    <w:rsid w:val="00AC7C51"/>
    <w:rsid w:val="00AD01AC"/>
    <w:rsid w:val="00AD0313"/>
    <w:rsid w:val="00AD055E"/>
    <w:rsid w:val="00AD06F9"/>
    <w:rsid w:val="00AD0D23"/>
    <w:rsid w:val="00AD0E83"/>
    <w:rsid w:val="00AD17CD"/>
    <w:rsid w:val="00AD1982"/>
    <w:rsid w:val="00AD2957"/>
    <w:rsid w:val="00AD299D"/>
    <w:rsid w:val="00AD34D4"/>
    <w:rsid w:val="00AD37AC"/>
    <w:rsid w:val="00AD3D8A"/>
    <w:rsid w:val="00AD3F8D"/>
    <w:rsid w:val="00AD40DA"/>
    <w:rsid w:val="00AD41F3"/>
    <w:rsid w:val="00AD47A7"/>
    <w:rsid w:val="00AD49EA"/>
    <w:rsid w:val="00AD51B9"/>
    <w:rsid w:val="00AD53D3"/>
    <w:rsid w:val="00AD6445"/>
    <w:rsid w:val="00AD6CC8"/>
    <w:rsid w:val="00AD7367"/>
    <w:rsid w:val="00AD7790"/>
    <w:rsid w:val="00AD7E1C"/>
    <w:rsid w:val="00AD7E7B"/>
    <w:rsid w:val="00AE00A2"/>
    <w:rsid w:val="00AE011D"/>
    <w:rsid w:val="00AE0126"/>
    <w:rsid w:val="00AE1134"/>
    <w:rsid w:val="00AE11C4"/>
    <w:rsid w:val="00AE1DA0"/>
    <w:rsid w:val="00AE1FE7"/>
    <w:rsid w:val="00AE25E1"/>
    <w:rsid w:val="00AE33D8"/>
    <w:rsid w:val="00AE3664"/>
    <w:rsid w:val="00AE37F0"/>
    <w:rsid w:val="00AE38F5"/>
    <w:rsid w:val="00AE3A8C"/>
    <w:rsid w:val="00AE4C7E"/>
    <w:rsid w:val="00AE4CF4"/>
    <w:rsid w:val="00AE5324"/>
    <w:rsid w:val="00AE5EB3"/>
    <w:rsid w:val="00AE6009"/>
    <w:rsid w:val="00AE6056"/>
    <w:rsid w:val="00AE63BC"/>
    <w:rsid w:val="00AE6962"/>
    <w:rsid w:val="00AE6AEE"/>
    <w:rsid w:val="00AE6D08"/>
    <w:rsid w:val="00AF0C53"/>
    <w:rsid w:val="00AF0CBF"/>
    <w:rsid w:val="00AF18D7"/>
    <w:rsid w:val="00AF1981"/>
    <w:rsid w:val="00AF21A5"/>
    <w:rsid w:val="00AF257F"/>
    <w:rsid w:val="00AF2603"/>
    <w:rsid w:val="00AF2AE1"/>
    <w:rsid w:val="00AF33CF"/>
    <w:rsid w:val="00AF394B"/>
    <w:rsid w:val="00AF3FE6"/>
    <w:rsid w:val="00AF40C1"/>
    <w:rsid w:val="00AF4A20"/>
    <w:rsid w:val="00AF4B96"/>
    <w:rsid w:val="00AF4D50"/>
    <w:rsid w:val="00AF4EB3"/>
    <w:rsid w:val="00AF5F92"/>
    <w:rsid w:val="00AF6179"/>
    <w:rsid w:val="00AF61C2"/>
    <w:rsid w:val="00AF7027"/>
    <w:rsid w:val="00AF749A"/>
    <w:rsid w:val="00AF7817"/>
    <w:rsid w:val="00AF7CB6"/>
    <w:rsid w:val="00AF7F6B"/>
    <w:rsid w:val="00B001F2"/>
    <w:rsid w:val="00B00976"/>
    <w:rsid w:val="00B01277"/>
    <w:rsid w:val="00B01C04"/>
    <w:rsid w:val="00B0227E"/>
    <w:rsid w:val="00B0253E"/>
    <w:rsid w:val="00B02D39"/>
    <w:rsid w:val="00B02EDD"/>
    <w:rsid w:val="00B0325A"/>
    <w:rsid w:val="00B033A1"/>
    <w:rsid w:val="00B03432"/>
    <w:rsid w:val="00B034E9"/>
    <w:rsid w:val="00B040A8"/>
    <w:rsid w:val="00B04350"/>
    <w:rsid w:val="00B0539E"/>
    <w:rsid w:val="00B0540D"/>
    <w:rsid w:val="00B06002"/>
    <w:rsid w:val="00B062D0"/>
    <w:rsid w:val="00B07533"/>
    <w:rsid w:val="00B07CDF"/>
    <w:rsid w:val="00B07D4E"/>
    <w:rsid w:val="00B10282"/>
    <w:rsid w:val="00B106D1"/>
    <w:rsid w:val="00B109BF"/>
    <w:rsid w:val="00B11297"/>
    <w:rsid w:val="00B11693"/>
    <w:rsid w:val="00B1295A"/>
    <w:rsid w:val="00B12D04"/>
    <w:rsid w:val="00B137C9"/>
    <w:rsid w:val="00B13E09"/>
    <w:rsid w:val="00B14665"/>
    <w:rsid w:val="00B14C07"/>
    <w:rsid w:val="00B14FD8"/>
    <w:rsid w:val="00B15828"/>
    <w:rsid w:val="00B15D0C"/>
    <w:rsid w:val="00B15D47"/>
    <w:rsid w:val="00B16A26"/>
    <w:rsid w:val="00B17882"/>
    <w:rsid w:val="00B17F28"/>
    <w:rsid w:val="00B20A45"/>
    <w:rsid w:val="00B20AF0"/>
    <w:rsid w:val="00B20E90"/>
    <w:rsid w:val="00B21065"/>
    <w:rsid w:val="00B210FE"/>
    <w:rsid w:val="00B21457"/>
    <w:rsid w:val="00B21492"/>
    <w:rsid w:val="00B21E10"/>
    <w:rsid w:val="00B22C5C"/>
    <w:rsid w:val="00B22E2C"/>
    <w:rsid w:val="00B22FE3"/>
    <w:rsid w:val="00B24DB9"/>
    <w:rsid w:val="00B24F30"/>
    <w:rsid w:val="00B255F4"/>
    <w:rsid w:val="00B2568F"/>
    <w:rsid w:val="00B259F1"/>
    <w:rsid w:val="00B2660C"/>
    <w:rsid w:val="00B26D60"/>
    <w:rsid w:val="00B26FDF"/>
    <w:rsid w:val="00B27370"/>
    <w:rsid w:val="00B2747F"/>
    <w:rsid w:val="00B30249"/>
    <w:rsid w:val="00B30523"/>
    <w:rsid w:val="00B305C7"/>
    <w:rsid w:val="00B31110"/>
    <w:rsid w:val="00B31726"/>
    <w:rsid w:val="00B31ABF"/>
    <w:rsid w:val="00B31D74"/>
    <w:rsid w:val="00B32326"/>
    <w:rsid w:val="00B32AB1"/>
    <w:rsid w:val="00B3360A"/>
    <w:rsid w:val="00B33B69"/>
    <w:rsid w:val="00B33BE3"/>
    <w:rsid w:val="00B33E94"/>
    <w:rsid w:val="00B33F6D"/>
    <w:rsid w:val="00B34329"/>
    <w:rsid w:val="00B3499C"/>
    <w:rsid w:val="00B34CEC"/>
    <w:rsid w:val="00B34D52"/>
    <w:rsid w:val="00B34E2E"/>
    <w:rsid w:val="00B357B3"/>
    <w:rsid w:val="00B358B1"/>
    <w:rsid w:val="00B36106"/>
    <w:rsid w:val="00B36CBC"/>
    <w:rsid w:val="00B36F93"/>
    <w:rsid w:val="00B3755C"/>
    <w:rsid w:val="00B378D8"/>
    <w:rsid w:val="00B37C56"/>
    <w:rsid w:val="00B400B8"/>
    <w:rsid w:val="00B4099F"/>
    <w:rsid w:val="00B41B4F"/>
    <w:rsid w:val="00B41BD0"/>
    <w:rsid w:val="00B42946"/>
    <w:rsid w:val="00B42D1A"/>
    <w:rsid w:val="00B444EA"/>
    <w:rsid w:val="00B44B2D"/>
    <w:rsid w:val="00B44D7B"/>
    <w:rsid w:val="00B44F40"/>
    <w:rsid w:val="00B45641"/>
    <w:rsid w:val="00B456E7"/>
    <w:rsid w:val="00B458D3"/>
    <w:rsid w:val="00B45AA1"/>
    <w:rsid w:val="00B46842"/>
    <w:rsid w:val="00B47170"/>
    <w:rsid w:val="00B47337"/>
    <w:rsid w:val="00B47499"/>
    <w:rsid w:val="00B47742"/>
    <w:rsid w:val="00B47C6B"/>
    <w:rsid w:val="00B50172"/>
    <w:rsid w:val="00B50183"/>
    <w:rsid w:val="00B50BD7"/>
    <w:rsid w:val="00B50CD0"/>
    <w:rsid w:val="00B5157B"/>
    <w:rsid w:val="00B518DC"/>
    <w:rsid w:val="00B51961"/>
    <w:rsid w:val="00B51E85"/>
    <w:rsid w:val="00B52D3A"/>
    <w:rsid w:val="00B5391F"/>
    <w:rsid w:val="00B53B5D"/>
    <w:rsid w:val="00B5411D"/>
    <w:rsid w:val="00B54479"/>
    <w:rsid w:val="00B54AC9"/>
    <w:rsid w:val="00B55208"/>
    <w:rsid w:val="00B555AD"/>
    <w:rsid w:val="00B559C3"/>
    <w:rsid w:val="00B55AE4"/>
    <w:rsid w:val="00B566CA"/>
    <w:rsid w:val="00B569D1"/>
    <w:rsid w:val="00B572D6"/>
    <w:rsid w:val="00B57A28"/>
    <w:rsid w:val="00B603BF"/>
    <w:rsid w:val="00B6055E"/>
    <w:rsid w:val="00B606E2"/>
    <w:rsid w:val="00B60CF7"/>
    <w:rsid w:val="00B60F55"/>
    <w:rsid w:val="00B61AA4"/>
    <w:rsid w:val="00B61B19"/>
    <w:rsid w:val="00B61B75"/>
    <w:rsid w:val="00B620A7"/>
    <w:rsid w:val="00B6317D"/>
    <w:rsid w:val="00B6335A"/>
    <w:rsid w:val="00B639D7"/>
    <w:rsid w:val="00B63CB6"/>
    <w:rsid w:val="00B644C4"/>
    <w:rsid w:val="00B658B9"/>
    <w:rsid w:val="00B671B2"/>
    <w:rsid w:val="00B6753D"/>
    <w:rsid w:val="00B70A05"/>
    <w:rsid w:val="00B715ED"/>
    <w:rsid w:val="00B7219F"/>
    <w:rsid w:val="00B72838"/>
    <w:rsid w:val="00B728E2"/>
    <w:rsid w:val="00B73239"/>
    <w:rsid w:val="00B7372A"/>
    <w:rsid w:val="00B73BEA"/>
    <w:rsid w:val="00B74997"/>
    <w:rsid w:val="00B75298"/>
    <w:rsid w:val="00B75591"/>
    <w:rsid w:val="00B76230"/>
    <w:rsid w:val="00B765D1"/>
    <w:rsid w:val="00B7694B"/>
    <w:rsid w:val="00B76AA4"/>
    <w:rsid w:val="00B76C4D"/>
    <w:rsid w:val="00B7700E"/>
    <w:rsid w:val="00B7723F"/>
    <w:rsid w:val="00B77423"/>
    <w:rsid w:val="00B77A12"/>
    <w:rsid w:val="00B77F43"/>
    <w:rsid w:val="00B8043F"/>
    <w:rsid w:val="00B80534"/>
    <w:rsid w:val="00B810DA"/>
    <w:rsid w:val="00B8142E"/>
    <w:rsid w:val="00B824C0"/>
    <w:rsid w:val="00B82557"/>
    <w:rsid w:val="00B82DFE"/>
    <w:rsid w:val="00B82EE2"/>
    <w:rsid w:val="00B8355D"/>
    <w:rsid w:val="00B83573"/>
    <w:rsid w:val="00B83B79"/>
    <w:rsid w:val="00B83B95"/>
    <w:rsid w:val="00B83D67"/>
    <w:rsid w:val="00B8427C"/>
    <w:rsid w:val="00B8433C"/>
    <w:rsid w:val="00B8446B"/>
    <w:rsid w:val="00B84472"/>
    <w:rsid w:val="00B847C3"/>
    <w:rsid w:val="00B84903"/>
    <w:rsid w:val="00B84C46"/>
    <w:rsid w:val="00B84F62"/>
    <w:rsid w:val="00B850F2"/>
    <w:rsid w:val="00B85170"/>
    <w:rsid w:val="00B85CCA"/>
    <w:rsid w:val="00B86C27"/>
    <w:rsid w:val="00B86C63"/>
    <w:rsid w:val="00B872A8"/>
    <w:rsid w:val="00B872FB"/>
    <w:rsid w:val="00B87491"/>
    <w:rsid w:val="00B876A0"/>
    <w:rsid w:val="00B87927"/>
    <w:rsid w:val="00B87D5A"/>
    <w:rsid w:val="00B87F65"/>
    <w:rsid w:val="00B907DF"/>
    <w:rsid w:val="00B91222"/>
    <w:rsid w:val="00B9293D"/>
    <w:rsid w:val="00B92A24"/>
    <w:rsid w:val="00B93C6E"/>
    <w:rsid w:val="00B9465A"/>
    <w:rsid w:val="00B94BA8"/>
    <w:rsid w:val="00B9535E"/>
    <w:rsid w:val="00B95691"/>
    <w:rsid w:val="00B95DFB"/>
    <w:rsid w:val="00B95F54"/>
    <w:rsid w:val="00B97015"/>
    <w:rsid w:val="00B97737"/>
    <w:rsid w:val="00B97AE2"/>
    <w:rsid w:val="00B97B28"/>
    <w:rsid w:val="00BA00FA"/>
    <w:rsid w:val="00BA0A0F"/>
    <w:rsid w:val="00BA19F3"/>
    <w:rsid w:val="00BA2380"/>
    <w:rsid w:val="00BA269D"/>
    <w:rsid w:val="00BA286C"/>
    <w:rsid w:val="00BA29E9"/>
    <w:rsid w:val="00BA338D"/>
    <w:rsid w:val="00BA393C"/>
    <w:rsid w:val="00BA3C01"/>
    <w:rsid w:val="00BA44EE"/>
    <w:rsid w:val="00BA477E"/>
    <w:rsid w:val="00BA48B2"/>
    <w:rsid w:val="00BA4B88"/>
    <w:rsid w:val="00BA4EC1"/>
    <w:rsid w:val="00BA50C6"/>
    <w:rsid w:val="00BA510B"/>
    <w:rsid w:val="00BA5ACD"/>
    <w:rsid w:val="00BA5D64"/>
    <w:rsid w:val="00BA6739"/>
    <w:rsid w:val="00BA6A4C"/>
    <w:rsid w:val="00BA6DC9"/>
    <w:rsid w:val="00BA7138"/>
    <w:rsid w:val="00BA7142"/>
    <w:rsid w:val="00BA7C8E"/>
    <w:rsid w:val="00BB0203"/>
    <w:rsid w:val="00BB0267"/>
    <w:rsid w:val="00BB0EBE"/>
    <w:rsid w:val="00BB1097"/>
    <w:rsid w:val="00BB13C6"/>
    <w:rsid w:val="00BB17AB"/>
    <w:rsid w:val="00BB1941"/>
    <w:rsid w:val="00BB1B1D"/>
    <w:rsid w:val="00BB20D0"/>
    <w:rsid w:val="00BB237C"/>
    <w:rsid w:val="00BB31BF"/>
    <w:rsid w:val="00BB3D8D"/>
    <w:rsid w:val="00BB41A3"/>
    <w:rsid w:val="00BB49B6"/>
    <w:rsid w:val="00BB5358"/>
    <w:rsid w:val="00BB55FB"/>
    <w:rsid w:val="00BB565D"/>
    <w:rsid w:val="00BB7236"/>
    <w:rsid w:val="00BC033E"/>
    <w:rsid w:val="00BC05D7"/>
    <w:rsid w:val="00BC08E8"/>
    <w:rsid w:val="00BC0B44"/>
    <w:rsid w:val="00BC0F53"/>
    <w:rsid w:val="00BC0FA0"/>
    <w:rsid w:val="00BC139F"/>
    <w:rsid w:val="00BC1529"/>
    <w:rsid w:val="00BC18CA"/>
    <w:rsid w:val="00BC30B4"/>
    <w:rsid w:val="00BC32DC"/>
    <w:rsid w:val="00BC35B6"/>
    <w:rsid w:val="00BC3824"/>
    <w:rsid w:val="00BC3B02"/>
    <w:rsid w:val="00BC3C5C"/>
    <w:rsid w:val="00BC3CD0"/>
    <w:rsid w:val="00BC4EB6"/>
    <w:rsid w:val="00BC539C"/>
    <w:rsid w:val="00BC56FD"/>
    <w:rsid w:val="00BC5843"/>
    <w:rsid w:val="00BC592F"/>
    <w:rsid w:val="00BC5D7D"/>
    <w:rsid w:val="00BC661A"/>
    <w:rsid w:val="00BC67E7"/>
    <w:rsid w:val="00BC680A"/>
    <w:rsid w:val="00BC6C10"/>
    <w:rsid w:val="00BC6D5C"/>
    <w:rsid w:val="00BC6E08"/>
    <w:rsid w:val="00BC75CA"/>
    <w:rsid w:val="00BC7732"/>
    <w:rsid w:val="00BD0169"/>
    <w:rsid w:val="00BD02B7"/>
    <w:rsid w:val="00BD07A4"/>
    <w:rsid w:val="00BD11EE"/>
    <w:rsid w:val="00BD1B51"/>
    <w:rsid w:val="00BD1C9E"/>
    <w:rsid w:val="00BD1ED0"/>
    <w:rsid w:val="00BD1FEA"/>
    <w:rsid w:val="00BD279C"/>
    <w:rsid w:val="00BD35C9"/>
    <w:rsid w:val="00BD41AD"/>
    <w:rsid w:val="00BD44D7"/>
    <w:rsid w:val="00BD4596"/>
    <w:rsid w:val="00BD505D"/>
    <w:rsid w:val="00BD556F"/>
    <w:rsid w:val="00BD5769"/>
    <w:rsid w:val="00BD5D35"/>
    <w:rsid w:val="00BD71C1"/>
    <w:rsid w:val="00BD765F"/>
    <w:rsid w:val="00BD7798"/>
    <w:rsid w:val="00BD7B56"/>
    <w:rsid w:val="00BE042B"/>
    <w:rsid w:val="00BE0759"/>
    <w:rsid w:val="00BE0E00"/>
    <w:rsid w:val="00BE1328"/>
    <w:rsid w:val="00BE1405"/>
    <w:rsid w:val="00BE17EC"/>
    <w:rsid w:val="00BE187A"/>
    <w:rsid w:val="00BE1C7D"/>
    <w:rsid w:val="00BE1F53"/>
    <w:rsid w:val="00BE2890"/>
    <w:rsid w:val="00BE2DD3"/>
    <w:rsid w:val="00BE312D"/>
    <w:rsid w:val="00BE3BB6"/>
    <w:rsid w:val="00BE4E0E"/>
    <w:rsid w:val="00BE5A91"/>
    <w:rsid w:val="00BE6261"/>
    <w:rsid w:val="00BE6E2A"/>
    <w:rsid w:val="00BE7802"/>
    <w:rsid w:val="00BE7DA6"/>
    <w:rsid w:val="00BF0099"/>
    <w:rsid w:val="00BF00F7"/>
    <w:rsid w:val="00BF01B9"/>
    <w:rsid w:val="00BF01D4"/>
    <w:rsid w:val="00BF0618"/>
    <w:rsid w:val="00BF071F"/>
    <w:rsid w:val="00BF0968"/>
    <w:rsid w:val="00BF1235"/>
    <w:rsid w:val="00BF1343"/>
    <w:rsid w:val="00BF1C20"/>
    <w:rsid w:val="00BF221C"/>
    <w:rsid w:val="00BF22BF"/>
    <w:rsid w:val="00BF25D4"/>
    <w:rsid w:val="00BF285E"/>
    <w:rsid w:val="00BF2B14"/>
    <w:rsid w:val="00BF3676"/>
    <w:rsid w:val="00BF3B3F"/>
    <w:rsid w:val="00BF413A"/>
    <w:rsid w:val="00BF433F"/>
    <w:rsid w:val="00BF4442"/>
    <w:rsid w:val="00BF444A"/>
    <w:rsid w:val="00BF4B47"/>
    <w:rsid w:val="00BF4DF4"/>
    <w:rsid w:val="00BF5E6E"/>
    <w:rsid w:val="00BF7A41"/>
    <w:rsid w:val="00BF7DA8"/>
    <w:rsid w:val="00C0051E"/>
    <w:rsid w:val="00C00663"/>
    <w:rsid w:val="00C009D1"/>
    <w:rsid w:val="00C00DBF"/>
    <w:rsid w:val="00C0138A"/>
    <w:rsid w:val="00C0161C"/>
    <w:rsid w:val="00C01960"/>
    <w:rsid w:val="00C01A31"/>
    <w:rsid w:val="00C01D3A"/>
    <w:rsid w:val="00C01FD5"/>
    <w:rsid w:val="00C02823"/>
    <w:rsid w:val="00C032E6"/>
    <w:rsid w:val="00C034EE"/>
    <w:rsid w:val="00C03EC9"/>
    <w:rsid w:val="00C047E2"/>
    <w:rsid w:val="00C04F2E"/>
    <w:rsid w:val="00C05247"/>
    <w:rsid w:val="00C0572B"/>
    <w:rsid w:val="00C05946"/>
    <w:rsid w:val="00C05B61"/>
    <w:rsid w:val="00C05BC1"/>
    <w:rsid w:val="00C05DEA"/>
    <w:rsid w:val="00C06008"/>
    <w:rsid w:val="00C067EB"/>
    <w:rsid w:val="00C07B1C"/>
    <w:rsid w:val="00C10578"/>
    <w:rsid w:val="00C105EF"/>
    <w:rsid w:val="00C10EA4"/>
    <w:rsid w:val="00C11024"/>
    <w:rsid w:val="00C11710"/>
    <w:rsid w:val="00C11761"/>
    <w:rsid w:val="00C11768"/>
    <w:rsid w:val="00C11E3F"/>
    <w:rsid w:val="00C1208D"/>
    <w:rsid w:val="00C121F4"/>
    <w:rsid w:val="00C12C57"/>
    <w:rsid w:val="00C135BC"/>
    <w:rsid w:val="00C13E93"/>
    <w:rsid w:val="00C14A64"/>
    <w:rsid w:val="00C14B04"/>
    <w:rsid w:val="00C1539E"/>
    <w:rsid w:val="00C15508"/>
    <w:rsid w:val="00C15C95"/>
    <w:rsid w:val="00C15D9E"/>
    <w:rsid w:val="00C16876"/>
    <w:rsid w:val="00C16A09"/>
    <w:rsid w:val="00C16B12"/>
    <w:rsid w:val="00C170EC"/>
    <w:rsid w:val="00C17CDA"/>
    <w:rsid w:val="00C2099B"/>
    <w:rsid w:val="00C2188B"/>
    <w:rsid w:val="00C22CA8"/>
    <w:rsid w:val="00C22F40"/>
    <w:rsid w:val="00C230DB"/>
    <w:rsid w:val="00C244BD"/>
    <w:rsid w:val="00C250AC"/>
    <w:rsid w:val="00C25226"/>
    <w:rsid w:val="00C2596A"/>
    <w:rsid w:val="00C25B72"/>
    <w:rsid w:val="00C261BF"/>
    <w:rsid w:val="00C264F1"/>
    <w:rsid w:val="00C26993"/>
    <w:rsid w:val="00C269E5"/>
    <w:rsid w:val="00C26F8C"/>
    <w:rsid w:val="00C27537"/>
    <w:rsid w:val="00C27849"/>
    <w:rsid w:val="00C27A51"/>
    <w:rsid w:val="00C27B44"/>
    <w:rsid w:val="00C27CAF"/>
    <w:rsid w:val="00C326E1"/>
    <w:rsid w:val="00C328FE"/>
    <w:rsid w:val="00C32D39"/>
    <w:rsid w:val="00C33227"/>
    <w:rsid w:val="00C33507"/>
    <w:rsid w:val="00C3352C"/>
    <w:rsid w:val="00C33D39"/>
    <w:rsid w:val="00C33D60"/>
    <w:rsid w:val="00C341D2"/>
    <w:rsid w:val="00C350F3"/>
    <w:rsid w:val="00C356BA"/>
    <w:rsid w:val="00C358A3"/>
    <w:rsid w:val="00C35C02"/>
    <w:rsid w:val="00C36092"/>
    <w:rsid w:val="00C3614D"/>
    <w:rsid w:val="00C36685"/>
    <w:rsid w:val="00C3699C"/>
    <w:rsid w:val="00C37A0B"/>
    <w:rsid w:val="00C40390"/>
    <w:rsid w:val="00C4077D"/>
    <w:rsid w:val="00C40AA0"/>
    <w:rsid w:val="00C40CB9"/>
    <w:rsid w:val="00C419B5"/>
    <w:rsid w:val="00C41C89"/>
    <w:rsid w:val="00C41D19"/>
    <w:rsid w:val="00C421DB"/>
    <w:rsid w:val="00C421E1"/>
    <w:rsid w:val="00C427B2"/>
    <w:rsid w:val="00C42A6E"/>
    <w:rsid w:val="00C42AE0"/>
    <w:rsid w:val="00C42F6F"/>
    <w:rsid w:val="00C4409D"/>
    <w:rsid w:val="00C448A7"/>
    <w:rsid w:val="00C448B7"/>
    <w:rsid w:val="00C44C94"/>
    <w:rsid w:val="00C44E72"/>
    <w:rsid w:val="00C45A06"/>
    <w:rsid w:val="00C45BCE"/>
    <w:rsid w:val="00C46CB3"/>
    <w:rsid w:val="00C46E23"/>
    <w:rsid w:val="00C472BF"/>
    <w:rsid w:val="00C47836"/>
    <w:rsid w:val="00C47BCB"/>
    <w:rsid w:val="00C47E5B"/>
    <w:rsid w:val="00C5044B"/>
    <w:rsid w:val="00C5087B"/>
    <w:rsid w:val="00C50D1F"/>
    <w:rsid w:val="00C52593"/>
    <w:rsid w:val="00C52C83"/>
    <w:rsid w:val="00C53493"/>
    <w:rsid w:val="00C53913"/>
    <w:rsid w:val="00C53EC4"/>
    <w:rsid w:val="00C53EEE"/>
    <w:rsid w:val="00C5449A"/>
    <w:rsid w:val="00C54679"/>
    <w:rsid w:val="00C547C5"/>
    <w:rsid w:val="00C55143"/>
    <w:rsid w:val="00C55380"/>
    <w:rsid w:val="00C55E03"/>
    <w:rsid w:val="00C5625F"/>
    <w:rsid w:val="00C56B01"/>
    <w:rsid w:val="00C56E12"/>
    <w:rsid w:val="00C57F58"/>
    <w:rsid w:val="00C605FF"/>
    <w:rsid w:val="00C6101B"/>
    <w:rsid w:val="00C61651"/>
    <w:rsid w:val="00C61E4B"/>
    <w:rsid w:val="00C625AC"/>
    <w:rsid w:val="00C62675"/>
    <w:rsid w:val="00C62BC5"/>
    <w:rsid w:val="00C6342C"/>
    <w:rsid w:val="00C64005"/>
    <w:rsid w:val="00C6448A"/>
    <w:rsid w:val="00C648A8"/>
    <w:rsid w:val="00C64AF6"/>
    <w:rsid w:val="00C64BFF"/>
    <w:rsid w:val="00C64D85"/>
    <w:rsid w:val="00C64ED5"/>
    <w:rsid w:val="00C65339"/>
    <w:rsid w:val="00C65A0A"/>
    <w:rsid w:val="00C6665D"/>
    <w:rsid w:val="00C66F95"/>
    <w:rsid w:val="00C671DF"/>
    <w:rsid w:val="00C6751A"/>
    <w:rsid w:val="00C70185"/>
    <w:rsid w:val="00C704E3"/>
    <w:rsid w:val="00C704E9"/>
    <w:rsid w:val="00C70B67"/>
    <w:rsid w:val="00C721B2"/>
    <w:rsid w:val="00C7345B"/>
    <w:rsid w:val="00C734EB"/>
    <w:rsid w:val="00C7368C"/>
    <w:rsid w:val="00C738C3"/>
    <w:rsid w:val="00C73C1D"/>
    <w:rsid w:val="00C74080"/>
    <w:rsid w:val="00C743EE"/>
    <w:rsid w:val="00C74E18"/>
    <w:rsid w:val="00C763C9"/>
    <w:rsid w:val="00C76502"/>
    <w:rsid w:val="00C76A4D"/>
    <w:rsid w:val="00C76D1D"/>
    <w:rsid w:val="00C775F7"/>
    <w:rsid w:val="00C77720"/>
    <w:rsid w:val="00C80057"/>
    <w:rsid w:val="00C80187"/>
    <w:rsid w:val="00C801A1"/>
    <w:rsid w:val="00C807EC"/>
    <w:rsid w:val="00C80864"/>
    <w:rsid w:val="00C80D05"/>
    <w:rsid w:val="00C80EF9"/>
    <w:rsid w:val="00C811A5"/>
    <w:rsid w:val="00C81456"/>
    <w:rsid w:val="00C81A0C"/>
    <w:rsid w:val="00C82232"/>
    <w:rsid w:val="00C82913"/>
    <w:rsid w:val="00C82C19"/>
    <w:rsid w:val="00C830E7"/>
    <w:rsid w:val="00C83249"/>
    <w:rsid w:val="00C832A7"/>
    <w:rsid w:val="00C836FF"/>
    <w:rsid w:val="00C83944"/>
    <w:rsid w:val="00C83C92"/>
    <w:rsid w:val="00C83CDC"/>
    <w:rsid w:val="00C83E00"/>
    <w:rsid w:val="00C8607B"/>
    <w:rsid w:val="00C8692C"/>
    <w:rsid w:val="00C876ED"/>
    <w:rsid w:val="00C878DD"/>
    <w:rsid w:val="00C901B8"/>
    <w:rsid w:val="00C90595"/>
    <w:rsid w:val="00C90D14"/>
    <w:rsid w:val="00C91C8C"/>
    <w:rsid w:val="00C9232A"/>
    <w:rsid w:val="00C926C5"/>
    <w:rsid w:val="00C92EBB"/>
    <w:rsid w:val="00C9378E"/>
    <w:rsid w:val="00C93BD1"/>
    <w:rsid w:val="00C9414F"/>
    <w:rsid w:val="00C9496E"/>
    <w:rsid w:val="00C9563F"/>
    <w:rsid w:val="00C957D4"/>
    <w:rsid w:val="00C95E2C"/>
    <w:rsid w:val="00C96269"/>
    <w:rsid w:val="00C96CC1"/>
    <w:rsid w:val="00C972B1"/>
    <w:rsid w:val="00C9744D"/>
    <w:rsid w:val="00C97C44"/>
    <w:rsid w:val="00C97D9C"/>
    <w:rsid w:val="00CA0039"/>
    <w:rsid w:val="00CA0EA1"/>
    <w:rsid w:val="00CA10A3"/>
    <w:rsid w:val="00CA1AF7"/>
    <w:rsid w:val="00CA1B9C"/>
    <w:rsid w:val="00CA1D1C"/>
    <w:rsid w:val="00CA2942"/>
    <w:rsid w:val="00CA2CCE"/>
    <w:rsid w:val="00CA3545"/>
    <w:rsid w:val="00CA3A2A"/>
    <w:rsid w:val="00CA3CA4"/>
    <w:rsid w:val="00CA3F46"/>
    <w:rsid w:val="00CA3FFB"/>
    <w:rsid w:val="00CA4072"/>
    <w:rsid w:val="00CA4129"/>
    <w:rsid w:val="00CA43FD"/>
    <w:rsid w:val="00CA477D"/>
    <w:rsid w:val="00CA4B99"/>
    <w:rsid w:val="00CA5CD9"/>
    <w:rsid w:val="00CA7CDF"/>
    <w:rsid w:val="00CA7EF8"/>
    <w:rsid w:val="00CB06D0"/>
    <w:rsid w:val="00CB0B28"/>
    <w:rsid w:val="00CB0B6F"/>
    <w:rsid w:val="00CB18E2"/>
    <w:rsid w:val="00CB19E4"/>
    <w:rsid w:val="00CB1C6D"/>
    <w:rsid w:val="00CB2242"/>
    <w:rsid w:val="00CB281B"/>
    <w:rsid w:val="00CB2F52"/>
    <w:rsid w:val="00CB373F"/>
    <w:rsid w:val="00CB3B04"/>
    <w:rsid w:val="00CB42B4"/>
    <w:rsid w:val="00CB4A6B"/>
    <w:rsid w:val="00CB5BC9"/>
    <w:rsid w:val="00CB6281"/>
    <w:rsid w:val="00CB7154"/>
    <w:rsid w:val="00CB747D"/>
    <w:rsid w:val="00CB7897"/>
    <w:rsid w:val="00CB7944"/>
    <w:rsid w:val="00CB7F03"/>
    <w:rsid w:val="00CC1419"/>
    <w:rsid w:val="00CC178E"/>
    <w:rsid w:val="00CC1C69"/>
    <w:rsid w:val="00CC1C8A"/>
    <w:rsid w:val="00CC1F10"/>
    <w:rsid w:val="00CC283A"/>
    <w:rsid w:val="00CC2B83"/>
    <w:rsid w:val="00CC34A1"/>
    <w:rsid w:val="00CC43C9"/>
    <w:rsid w:val="00CC489B"/>
    <w:rsid w:val="00CC4C56"/>
    <w:rsid w:val="00CC50D4"/>
    <w:rsid w:val="00CC583C"/>
    <w:rsid w:val="00CC5E92"/>
    <w:rsid w:val="00CC60D3"/>
    <w:rsid w:val="00CC6851"/>
    <w:rsid w:val="00CC6966"/>
    <w:rsid w:val="00CC7482"/>
    <w:rsid w:val="00CC748F"/>
    <w:rsid w:val="00CD0CF3"/>
    <w:rsid w:val="00CD11C8"/>
    <w:rsid w:val="00CD2168"/>
    <w:rsid w:val="00CD2296"/>
    <w:rsid w:val="00CD23A0"/>
    <w:rsid w:val="00CD2BCD"/>
    <w:rsid w:val="00CD2CA2"/>
    <w:rsid w:val="00CD3203"/>
    <w:rsid w:val="00CD39B9"/>
    <w:rsid w:val="00CD3A4C"/>
    <w:rsid w:val="00CD4275"/>
    <w:rsid w:val="00CD48EB"/>
    <w:rsid w:val="00CD4CFE"/>
    <w:rsid w:val="00CD4FDA"/>
    <w:rsid w:val="00CD6558"/>
    <w:rsid w:val="00CD7327"/>
    <w:rsid w:val="00CD7EFF"/>
    <w:rsid w:val="00CE032C"/>
    <w:rsid w:val="00CE05FC"/>
    <w:rsid w:val="00CE06E5"/>
    <w:rsid w:val="00CE0825"/>
    <w:rsid w:val="00CE0879"/>
    <w:rsid w:val="00CE103F"/>
    <w:rsid w:val="00CE10E9"/>
    <w:rsid w:val="00CE10EC"/>
    <w:rsid w:val="00CE1DCE"/>
    <w:rsid w:val="00CE1EC5"/>
    <w:rsid w:val="00CE2910"/>
    <w:rsid w:val="00CE29E7"/>
    <w:rsid w:val="00CE2A51"/>
    <w:rsid w:val="00CE338C"/>
    <w:rsid w:val="00CE36C7"/>
    <w:rsid w:val="00CE42C5"/>
    <w:rsid w:val="00CE4B2C"/>
    <w:rsid w:val="00CE5393"/>
    <w:rsid w:val="00CE5550"/>
    <w:rsid w:val="00CE5D31"/>
    <w:rsid w:val="00CE6502"/>
    <w:rsid w:val="00CE7497"/>
    <w:rsid w:val="00CE751E"/>
    <w:rsid w:val="00CE7655"/>
    <w:rsid w:val="00CE7F5D"/>
    <w:rsid w:val="00CF0A0B"/>
    <w:rsid w:val="00CF0F7C"/>
    <w:rsid w:val="00CF19EC"/>
    <w:rsid w:val="00CF1DD0"/>
    <w:rsid w:val="00CF2E79"/>
    <w:rsid w:val="00CF2FCA"/>
    <w:rsid w:val="00CF34AD"/>
    <w:rsid w:val="00CF36BE"/>
    <w:rsid w:val="00CF3B5E"/>
    <w:rsid w:val="00CF3DCE"/>
    <w:rsid w:val="00CF4276"/>
    <w:rsid w:val="00CF4542"/>
    <w:rsid w:val="00CF4FC7"/>
    <w:rsid w:val="00CF5312"/>
    <w:rsid w:val="00CF54D7"/>
    <w:rsid w:val="00CF5AC3"/>
    <w:rsid w:val="00CF5D7F"/>
    <w:rsid w:val="00CF6000"/>
    <w:rsid w:val="00CF70CD"/>
    <w:rsid w:val="00CF7D10"/>
    <w:rsid w:val="00D003F3"/>
    <w:rsid w:val="00D00B49"/>
    <w:rsid w:val="00D016E8"/>
    <w:rsid w:val="00D0176B"/>
    <w:rsid w:val="00D017B9"/>
    <w:rsid w:val="00D01969"/>
    <w:rsid w:val="00D01AF5"/>
    <w:rsid w:val="00D02CF2"/>
    <w:rsid w:val="00D02D03"/>
    <w:rsid w:val="00D0364F"/>
    <w:rsid w:val="00D048DD"/>
    <w:rsid w:val="00D049E3"/>
    <w:rsid w:val="00D050D5"/>
    <w:rsid w:val="00D06170"/>
    <w:rsid w:val="00D063A4"/>
    <w:rsid w:val="00D06834"/>
    <w:rsid w:val="00D068F1"/>
    <w:rsid w:val="00D06BC8"/>
    <w:rsid w:val="00D06CEE"/>
    <w:rsid w:val="00D0702F"/>
    <w:rsid w:val="00D07507"/>
    <w:rsid w:val="00D07E8A"/>
    <w:rsid w:val="00D103EF"/>
    <w:rsid w:val="00D106AF"/>
    <w:rsid w:val="00D108C8"/>
    <w:rsid w:val="00D10B6F"/>
    <w:rsid w:val="00D10CA2"/>
    <w:rsid w:val="00D10F1F"/>
    <w:rsid w:val="00D11329"/>
    <w:rsid w:val="00D1167B"/>
    <w:rsid w:val="00D11806"/>
    <w:rsid w:val="00D11898"/>
    <w:rsid w:val="00D121E9"/>
    <w:rsid w:val="00D1288F"/>
    <w:rsid w:val="00D131E2"/>
    <w:rsid w:val="00D136A3"/>
    <w:rsid w:val="00D137DF"/>
    <w:rsid w:val="00D13807"/>
    <w:rsid w:val="00D139C4"/>
    <w:rsid w:val="00D13A07"/>
    <w:rsid w:val="00D13C52"/>
    <w:rsid w:val="00D13D2F"/>
    <w:rsid w:val="00D140E8"/>
    <w:rsid w:val="00D1457D"/>
    <w:rsid w:val="00D14901"/>
    <w:rsid w:val="00D15265"/>
    <w:rsid w:val="00D15892"/>
    <w:rsid w:val="00D15D5B"/>
    <w:rsid w:val="00D15FE5"/>
    <w:rsid w:val="00D16254"/>
    <w:rsid w:val="00D17071"/>
    <w:rsid w:val="00D1774C"/>
    <w:rsid w:val="00D17DC7"/>
    <w:rsid w:val="00D20287"/>
    <w:rsid w:val="00D202BF"/>
    <w:rsid w:val="00D20CCD"/>
    <w:rsid w:val="00D2162F"/>
    <w:rsid w:val="00D21ADE"/>
    <w:rsid w:val="00D21EC8"/>
    <w:rsid w:val="00D220E4"/>
    <w:rsid w:val="00D22425"/>
    <w:rsid w:val="00D229D4"/>
    <w:rsid w:val="00D23023"/>
    <w:rsid w:val="00D236C8"/>
    <w:rsid w:val="00D23C10"/>
    <w:rsid w:val="00D2434D"/>
    <w:rsid w:val="00D24E02"/>
    <w:rsid w:val="00D2519C"/>
    <w:rsid w:val="00D251BB"/>
    <w:rsid w:val="00D25464"/>
    <w:rsid w:val="00D2579C"/>
    <w:rsid w:val="00D2587B"/>
    <w:rsid w:val="00D25DCB"/>
    <w:rsid w:val="00D26407"/>
    <w:rsid w:val="00D26A73"/>
    <w:rsid w:val="00D26B04"/>
    <w:rsid w:val="00D2751C"/>
    <w:rsid w:val="00D2758A"/>
    <w:rsid w:val="00D300D6"/>
    <w:rsid w:val="00D3045A"/>
    <w:rsid w:val="00D308ED"/>
    <w:rsid w:val="00D30AA1"/>
    <w:rsid w:val="00D30B46"/>
    <w:rsid w:val="00D30C2D"/>
    <w:rsid w:val="00D31372"/>
    <w:rsid w:val="00D31AC4"/>
    <w:rsid w:val="00D31CE7"/>
    <w:rsid w:val="00D32408"/>
    <w:rsid w:val="00D325AB"/>
    <w:rsid w:val="00D326EC"/>
    <w:rsid w:val="00D32A08"/>
    <w:rsid w:val="00D33B3E"/>
    <w:rsid w:val="00D3400B"/>
    <w:rsid w:val="00D349C8"/>
    <w:rsid w:val="00D35549"/>
    <w:rsid w:val="00D356D7"/>
    <w:rsid w:val="00D361AB"/>
    <w:rsid w:val="00D36972"/>
    <w:rsid w:val="00D36D86"/>
    <w:rsid w:val="00D40097"/>
    <w:rsid w:val="00D406DF"/>
    <w:rsid w:val="00D4075B"/>
    <w:rsid w:val="00D41246"/>
    <w:rsid w:val="00D41881"/>
    <w:rsid w:val="00D41A04"/>
    <w:rsid w:val="00D420AF"/>
    <w:rsid w:val="00D42626"/>
    <w:rsid w:val="00D428AA"/>
    <w:rsid w:val="00D42D27"/>
    <w:rsid w:val="00D4322F"/>
    <w:rsid w:val="00D4348F"/>
    <w:rsid w:val="00D4350C"/>
    <w:rsid w:val="00D43A0E"/>
    <w:rsid w:val="00D44140"/>
    <w:rsid w:val="00D44D21"/>
    <w:rsid w:val="00D44DD2"/>
    <w:rsid w:val="00D44E05"/>
    <w:rsid w:val="00D452B8"/>
    <w:rsid w:val="00D45811"/>
    <w:rsid w:val="00D45DA2"/>
    <w:rsid w:val="00D46E29"/>
    <w:rsid w:val="00D46F36"/>
    <w:rsid w:val="00D47911"/>
    <w:rsid w:val="00D504B6"/>
    <w:rsid w:val="00D50584"/>
    <w:rsid w:val="00D5063D"/>
    <w:rsid w:val="00D50A34"/>
    <w:rsid w:val="00D50A39"/>
    <w:rsid w:val="00D50C9C"/>
    <w:rsid w:val="00D51661"/>
    <w:rsid w:val="00D5183D"/>
    <w:rsid w:val="00D52372"/>
    <w:rsid w:val="00D52507"/>
    <w:rsid w:val="00D531F3"/>
    <w:rsid w:val="00D53A05"/>
    <w:rsid w:val="00D53C78"/>
    <w:rsid w:val="00D53EFA"/>
    <w:rsid w:val="00D55082"/>
    <w:rsid w:val="00D55589"/>
    <w:rsid w:val="00D55C5F"/>
    <w:rsid w:val="00D55D3C"/>
    <w:rsid w:val="00D55D57"/>
    <w:rsid w:val="00D55E05"/>
    <w:rsid w:val="00D55E12"/>
    <w:rsid w:val="00D55F38"/>
    <w:rsid w:val="00D568E3"/>
    <w:rsid w:val="00D56986"/>
    <w:rsid w:val="00D57765"/>
    <w:rsid w:val="00D6159F"/>
    <w:rsid w:val="00D619FD"/>
    <w:rsid w:val="00D61BAC"/>
    <w:rsid w:val="00D61CFB"/>
    <w:rsid w:val="00D62675"/>
    <w:rsid w:val="00D626B1"/>
    <w:rsid w:val="00D63159"/>
    <w:rsid w:val="00D63A13"/>
    <w:rsid w:val="00D63A63"/>
    <w:rsid w:val="00D63B08"/>
    <w:rsid w:val="00D63B62"/>
    <w:rsid w:val="00D64792"/>
    <w:rsid w:val="00D64FA6"/>
    <w:rsid w:val="00D65163"/>
    <w:rsid w:val="00D65579"/>
    <w:rsid w:val="00D65D86"/>
    <w:rsid w:val="00D66190"/>
    <w:rsid w:val="00D666D3"/>
    <w:rsid w:val="00D667DB"/>
    <w:rsid w:val="00D66A32"/>
    <w:rsid w:val="00D66A93"/>
    <w:rsid w:val="00D66C7C"/>
    <w:rsid w:val="00D66F81"/>
    <w:rsid w:val="00D71076"/>
    <w:rsid w:val="00D7120C"/>
    <w:rsid w:val="00D71221"/>
    <w:rsid w:val="00D722DF"/>
    <w:rsid w:val="00D7272A"/>
    <w:rsid w:val="00D729BC"/>
    <w:rsid w:val="00D72B50"/>
    <w:rsid w:val="00D72B57"/>
    <w:rsid w:val="00D7307D"/>
    <w:rsid w:val="00D73478"/>
    <w:rsid w:val="00D7404E"/>
    <w:rsid w:val="00D745A6"/>
    <w:rsid w:val="00D746A0"/>
    <w:rsid w:val="00D74A75"/>
    <w:rsid w:val="00D75220"/>
    <w:rsid w:val="00D7570D"/>
    <w:rsid w:val="00D75A1A"/>
    <w:rsid w:val="00D75CE2"/>
    <w:rsid w:val="00D75F35"/>
    <w:rsid w:val="00D77EDA"/>
    <w:rsid w:val="00D80588"/>
    <w:rsid w:val="00D8085A"/>
    <w:rsid w:val="00D80D22"/>
    <w:rsid w:val="00D81A4C"/>
    <w:rsid w:val="00D82118"/>
    <w:rsid w:val="00D822CA"/>
    <w:rsid w:val="00D827F8"/>
    <w:rsid w:val="00D82ACA"/>
    <w:rsid w:val="00D82DC1"/>
    <w:rsid w:val="00D836AE"/>
    <w:rsid w:val="00D84570"/>
    <w:rsid w:val="00D84DBF"/>
    <w:rsid w:val="00D857FE"/>
    <w:rsid w:val="00D85EB9"/>
    <w:rsid w:val="00D86081"/>
    <w:rsid w:val="00D86169"/>
    <w:rsid w:val="00D8616B"/>
    <w:rsid w:val="00D873C4"/>
    <w:rsid w:val="00D873F0"/>
    <w:rsid w:val="00D87807"/>
    <w:rsid w:val="00D87D68"/>
    <w:rsid w:val="00D901C5"/>
    <w:rsid w:val="00D90805"/>
    <w:rsid w:val="00D9083C"/>
    <w:rsid w:val="00D908FC"/>
    <w:rsid w:val="00D90BC2"/>
    <w:rsid w:val="00D90FB1"/>
    <w:rsid w:val="00D9121F"/>
    <w:rsid w:val="00D91BDF"/>
    <w:rsid w:val="00D9262A"/>
    <w:rsid w:val="00D9373D"/>
    <w:rsid w:val="00D93ABA"/>
    <w:rsid w:val="00D9421C"/>
    <w:rsid w:val="00D94782"/>
    <w:rsid w:val="00D94A46"/>
    <w:rsid w:val="00D94A7C"/>
    <w:rsid w:val="00D94C92"/>
    <w:rsid w:val="00D95896"/>
    <w:rsid w:val="00D95C5D"/>
    <w:rsid w:val="00D95FC4"/>
    <w:rsid w:val="00D963DF"/>
    <w:rsid w:val="00D9671B"/>
    <w:rsid w:val="00D9696D"/>
    <w:rsid w:val="00D974C5"/>
    <w:rsid w:val="00DA0337"/>
    <w:rsid w:val="00DA133D"/>
    <w:rsid w:val="00DA133F"/>
    <w:rsid w:val="00DA15DD"/>
    <w:rsid w:val="00DA1948"/>
    <w:rsid w:val="00DA1C6A"/>
    <w:rsid w:val="00DA2621"/>
    <w:rsid w:val="00DA3572"/>
    <w:rsid w:val="00DA362D"/>
    <w:rsid w:val="00DA43D5"/>
    <w:rsid w:val="00DA4A1F"/>
    <w:rsid w:val="00DA533F"/>
    <w:rsid w:val="00DA6160"/>
    <w:rsid w:val="00DA6337"/>
    <w:rsid w:val="00DA72EE"/>
    <w:rsid w:val="00DA7932"/>
    <w:rsid w:val="00DA7AFE"/>
    <w:rsid w:val="00DA7C04"/>
    <w:rsid w:val="00DA7D24"/>
    <w:rsid w:val="00DA7DBF"/>
    <w:rsid w:val="00DB09CD"/>
    <w:rsid w:val="00DB0DA4"/>
    <w:rsid w:val="00DB1545"/>
    <w:rsid w:val="00DB1591"/>
    <w:rsid w:val="00DB1694"/>
    <w:rsid w:val="00DB1F5A"/>
    <w:rsid w:val="00DB22E2"/>
    <w:rsid w:val="00DB236D"/>
    <w:rsid w:val="00DB28AE"/>
    <w:rsid w:val="00DB2983"/>
    <w:rsid w:val="00DB3003"/>
    <w:rsid w:val="00DB32A7"/>
    <w:rsid w:val="00DB3989"/>
    <w:rsid w:val="00DB49EE"/>
    <w:rsid w:val="00DB560F"/>
    <w:rsid w:val="00DB5875"/>
    <w:rsid w:val="00DB5883"/>
    <w:rsid w:val="00DB5A5C"/>
    <w:rsid w:val="00DB6711"/>
    <w:rsid w:val="00DB75B7"/>
    <w:rsid w:val="00DB78A9"/>
    <w:rsid w:val="00DB78E4"/>
    <w:rsid w:val="00DB798B"/>
    <w:rsid w:val="00DB7D3B"/>
    <w:rsid w:val="00DB7ED4"/>
    <w:rsid w:val="00DC00D7"/>
    <w:rsid w:val="00DC0370"/>
    <w:rsid w:val="00DC0DCE"/>
    <w:rsid w:val="00DC1257"/>
    <w:rsid w:val="00DC231E"/>
    <w:rsid w:val="00DC2788"/>
    <w:rsid w:val="00DC2E44"/>
    <w:rsid w:val="00DC324E"/>
    <w:rsid w:val="00DC3807"/>
    <w:rsid w:val="00DC3CD4"/>
    <w:rsid w:val="00DC3DC0"/>
    <w:rsid w:val="00DC4367"/>
    <w:rsid w:val="00DC47A6"/>
    <w:rsid w:val="00DC5516"/>
    <w:rsid w:val="00DC5534"/>
    <w:rsid w:val="00DC574D"/>
    <w:rsid w:val="00DC5B2B"/>
    <w:rsid w:val="00DC605F"/>
    <w:rsid w:val="00DC627C"/>
    <w:rsid w:val="00DC740D"/>
    <w:rsid w:val="00DC7A54"/>
    <w:rsid w:val="00DC7B28"/>
    <w:rsid w:val="00DC7C3C"/>
    <w:rsid w:val="00DC7EA9"/>
    <w:rsid w:val="00DD0873"/>
    <w:rsid w:val="00DD115A"/>
    <w:rsid w:val="00DD179A"/>
    <w:rsid w:val="00DD1AD4"/>
    <w:rsid w:val="00DD1BD9"/>
    <w:rsid w:val="00DD1E6F"/>
    <w:rsid w:val="00DD2D00"/>
    <w:rsid w:val="00DD2E17"/>
    <w:rsid w:val="00DD3045"/>
    <w:rsid w:val="00DD318D"/>
    <w:rsid w:val="00DD335E"/>
    <w:rsid w:val="00DD3BE6"/>
    <w:rsid w:val="00DD402F"/>
    <w:rsid w:val="00DD4218"/>
    <w:rsid w:val="00DD4EAE"/>
    <w:rsid w:val="00DD5242"/>
    <w:rsid w:val="00DD64DD"/>
    <w:rsid w:val="00DD6C6C"/>
    <w:rsid w:val="00DE0211"/>
    <w:rsid w:val="00DE2883"/>
    <w:rsid w:val="00DE28ED"/>
    <w:rsid w:val="00DE2DEB"/>
    <w:rsid w:val="00DE38CD"/>
    <w:rsid w:val="00DE3F3D"/>
    <w:rsid w:val="00DE4823"/>
    <w:rsid w:val="00DE520C"/>
    <w:rsid w:val="00DE5262"/>
    <w:rsid w:val="00DE5661"/>
    <w:rsid w:val="00DE6FB3"/>
    <w:rsid w:val="00DE78CA"/>
    <w:rsid w:val="00DE7B34"/>
    <w:rsid w:val="00DF0830"/>
    <w:rsid w:val="00DF1562"/>
    <w:rsid w:val="00DF1827"/>
    <w:rsid w:val="00DF1D38"/>
    <w:rsid w:val="00DF2B6E"/>
    <w:rsid w:val="00DF2E12"/>
    <w:rsid w:val="00DF3005"/>
    <w:rsid w:val="00DF355F"/>
    <w:rsid w:val="00DF3A05"/>
    <w:rsid w:val="00DF440E"/>
    <w:rsid w:val="00DF48B2"/>
    <w:rsid w:val="00DF4D58"/>
    <w:rsid w:val="00DF514A"/>
    <w:rsid w:val="00DF5ACE"/>
    <w:rsid w:val="00DF6690"/>
    <w:rsid w:val="00DF6804"/>
    <w:rsid w:val="00DF6ECE"/>
    <w:rsid w:val="00E0048F"/>
    <w:rsid w:val="00E00774"/>
    <w:rsid w:val="00E010AD"/>
    <w:rsid w:val="00E01306"/>
    <w:rsid w:val="00E01661"/>
    <w:rsid w:val="00E01EE7"/>
    <w:rsid w:val="00E02C8B"/>
    <w:rsid w:val="00E02EFA"/>
    <w:rsid w:val="00E02FE6"/>
    <w:rsid w:val="00E03289"/>
    <w:rsid w:val="00E0358D"/>
    <w:rsid w:val="00E03BFF"/>
    <w:rsid w:val="00E03CBB"/>
    <w:rsid w:val="00E03F73"/>
    <w:rsid w:val="00E04323"/>
    <w:rsid w:val="00E04EE7"/>
    <w:rsid w:val="00E05A9C"/>
    <w:rsid w:val="00E05BBD"/>
    <w:rsid w:val="00E06018"/>
    <w:rsid w:val="00E0664B"/>
    <w:rsid w:val="00E06CD5"/>
    <w:rsid w:val="00E070A2"/>
    <w:rsid w:val="00E072AB"/>
    <w:rsid w:val="00E07CE0"/>
    <w:rsid w:val="00E1063C"/>
    <w:rsid w:val="00E106A1"/>
    <w:rsid w:val="00E108A8"/>
    <w:rsid w:val="00E10B18"/>
    <w:rsid w:val="00E11859"/>
    <w:rsid w:val="00E120BD"/>
    <w:rsid w:val="00E12953"/>
    <w:rsid w:val="00E12C4F"/>
    <w:rsid w:val="00E12E35"/>
    <w:rsid w:val="00E12FAA"/>
    <w:rsid w:val="00E13259"/>
    <w:rsid w:val="00E13589"/>
    <w:rsid w:val="00E1384C"/>
    <w:rsid w:val="00E14BE2"/>
    <w:rsid w:val="00E159C1"/>
    <w:rsid w:val="00E16292"/>
    <w:rsid w:val="00E16E5E"/>
    <w:rsid w:val="00E170F4"/>
    <w:rsid w:val="00E171CE"/>
    <w:rsid w:val="00E17986"/>
    <w:rsid w:val="00E209A1"/>
    <w:rsid w:val="00E20D2D"/>
    <w:rsid w:val="00E21E6F"/>
    <w:rsid w:val="00E22483"/>
    <w:rsid w:val="00E22AEE"/>
    <w:rsid w:val="00E22F32"/>
    <w:rsid w:val="00E240F9"/>
    <w:rsid w:val="00E24428"/>
    <w:rsid w:val="00E244DC"/>
    <w:rsid w:val="00E24A67"/>
    <w:rsid w:val="00E25385"/>
    <w:rsid w:val="00E25860"/>
    <w:rsid w:val="00E2656A"/>
    <w:rsid w:val="00E26DD5"/>
    <w:rsid w:val="00E27124"/>
    <w:rsid w:val="00E27A7B"/>
    <w:rsid w:val="00E27FDB"/>
    <w:rsid w:val="00E300B5"/>
    <w:rsid w:val="00E318DB"/>
    <w:rsid w:val="00E325CF"/>
    <w:rsid w:val="00E32BF1"/>
    <w:rsid w:val="00E33CD7"/>
    <w:rsid w:val="00E34AC5"/>
    <w:rsid w:val="00E353A5"/>
    <w:rsid w:val="00E35715"/>
    <w:rsid w:val="00E358C3"/>
    <w:rsid w:val="00E35C19"/>
    <w:rsid w:val="00E35D7A"/>
    <w:rsid w:val="00E3697D"/>
    <w:rsid w:val="00E37544"/>
    <w:rsid w:val="00E37D6A"/>
    <w:rsid w:val="00E4017C"/>
    <w:rsid w:val="00E404E9"/>
    <w:rsid w:val="00E40DDD"/>
    <w:rsid w:val="00E40DEB"/>
    <w:rsid w:val="00E410D5"/>
    <w:rsid w:val="00E412D0"/>
    <w:rsid w:val="00E41495"/>
    <w:rsid w:val="00E41789"/>
    <w:rsid w:val="00E4251F"/>
    <w:rsid w:val="00E42768"/>
    <w:rsid w:val="00E42908"/>
    <w:rsid w:val="00E42A35"/>
    <w:rsid w:val="00E42B15"/>
    <w:rsid w:val="00E43B95"/>
    <w:rsid w:val="00E43BBD"/>
    <w:rsid w:val="00E44273"/>
    <w:rsid w:val="00E44301"/>
    <w:rsid w:val="00E443E2"/>
    <w:rsid w:val="00E446D7"/>
    <w:rsid w:val="00E446DD"/>
    <w:rsid w:val="00E44A2E"/>
    <w:rsid w:val="00E44ED2"/>
    <w:rsid w:val="00E45261"/>
    <w:rsid w:val="00E45527"/>
    <w:rsid w:val="00E457AB"/>
    <w:rsid w:val="00E45ED5"/>
    <w:rsid w:val="00E46497"/>
    <w:rsid w:val="00E46DC4"/>
    <w:rsid w:val="00E47805"/>
    <w:rsid w:val="00E47A5E"/>
    <w:rsid w:val="00E47E3E"/>
    <w:rsid w:val="00E5078D"/>
    <w:rsid w:val="00E515DE"/>
    <w:rsid w:val="00E5187C"/>
    <w:rsid w:val="00E51A91"/>
    <w:rsid w:val="00E52BDA"/>
    <w:rsid w:val="00E53444"/>
    <w:rsid w:val="00E5353A"/>
    <w:rsid w:val="00E538CF"/>
    <w:rsid w:val="00E53A61"/>
    <w:rsid w:val="00E53B65"/>
    <w:rsid w:val="00E53E23"/>
    <w:rsid w:val="00E5440F"/>
    <w:rsid w:val="00E54B09"/>
    <w:rsid w:val="00E54BF0"/>
    <w:rsid w:val="00E54F5C"/>
    <w:rsid w:val="00E55132"/>
    <w:rsid w:val="00E556DF"/>
    <w:rsid w:val="00E5574B"/>
    <w:rsid w:val="00E55B52"/>
    <w:rsid w:val="00E55ED6"/>
    <w:rsid w:val="00E56322"/>
    <w:rsid w:val="00E563BC"/>
    <w:rsid w:val="00E5642D"/>
    <w:rsid w:val="00E565C0"/>
    <w:rsid w:val="00E56931"/>
    <w:rsid w:val="00E569E7"/>
    <w:rsid w:val="00E56A45"/>
    <w:rsid w:val="00E56A7E"/>
    <w:rsid w:val="00E56FC6"/>
    <w:rsid w:val="00E57417"/>
    <w:rsid w:val="00E57904"/>
    <w:rsid w:val="00E60306"/>
    <w:rsid w:val="00E60959"/>
    <w:rsid w:val="00E60982"/>
    <w:rsid w:val="00E60AB8"/>
    <w:rsid w:val="00E60BB0"/>
    <w:rsid w:val="00E60E85"/>
    <w:rsid w:val="00E61490"/>
    <w:rsid w:val="00E6185A"/>
    <w:rsid w:val="00E61A7B"/>
    <w:rsid w:val="00E61E63"/>
    <w:rsid w:val="00E6264D"/>
    <w:rsid w:val="00E62C3E"/>
    <w:rsid w:val="00E62C62"/>
    <w:rsid w:val="00E6319B"/>
    <w:rsid w:val="00E63F65"/>
    <w:rsid w:val="00E63F67"/>
    <w:rsid w:val="00E64821"/>
    <w:rsid w:val="00E64A0A"/>
    <w:rsid w:val="00E654C1"/>
    <w:rsid w:val="00E65787"/>
    <w:rsid w:val="00E65D97"/>
    <w:rsid w:val="00E65EB4"/>
    <w:rsid w:val="00E663E2"/>
    <w:rsid w:val="00E670B6"/>
    <w:rsid w:val="00E6743F"/>
    <w:rsid w:val="00E6780E"/>
    <w:rsid w:val="00E67D49"/>
    <w:rsid w:val="00E67DC1"/>
    <w:rsid w:val="00E70245"/>
    <w:rsid w:val="00E70739"/>
    <w:rsid w:val="00E71F00"/>
    <w:rsid w:val="00E721CE"/>
    <w:rsid w:val="00E72A5A"/>
    <w:rsid w:val="00E72AF4"/>
    <w:rsid w:val="00E73354"/>
    <w:rsid w:val="00E734DA"/>
    <w:rsid w:val="00E73762"/>
    <w:rsid w:val="00E7430E"/>
    <w:rsid w:val="00E74EB0"/>
    <w:rsid w:val="00E7567F"/>
    <w:rsid w:val="00E75780"/>
    <w:rsid w:val="00E75794"/>
    <w:rsid w:val="00E7587A"/>
    <w:rsid w:val="00E7641C"/>
    <w:rsid w:val="00E764DA"/>
    <w:rsid w:val="00E76548"/>
    <w:rsid w:val="00E76EF4"/>
    <w:rsid w:val="00E7757B"/>
    <w:rsid w:val="00E77B5F"/>
    <w:rsid w:val="00E80F6E"/>
    <w:rsid w:val="00E81F6B"/>
    <w:rsid w:val="00E82BAA"/>
    <w:rsid w:val="00E82C4B"/>
    <w:rsid w:val="00E82D2C"/>
    <w:rsid w:val="00E833C6"/>
    <w:rsid w:val="00E8391D"/>
    <w:rsid w:val="00E83EF7"/>
    <w:rsid w:val="00E83FAC"/>
    <w:rsid w:val="00E86085"/>
    <w:rsid w:val="00E861A1"/>
    <w:rsid w:val="00E86B37"/>
    <w:rsid w:val="00E86DEF"/>
    <w:rsid w:val="00E8724B"/>
    <w:rsid w:val="00E874B5"/>
    <w:rsid w:val="00E8765A"/>
    <w:rsid w:val="00E87C0C"/>
    <w:rsid w:val="00E90436"/>
    <w:rsid w:val="00E91886"/>
    <w:rsid w:val="00E91CBC"/>
    <w:rsid w:val="00E91E86"/>
    <w:rsid w:val="00E9200E"/>
    <w:rsid w:val="00E9242D"/>
    <w:rsid w:val="00E92433"/>
    <w:rsid w:val="00E92490"/>
    <w:rsid w:val="00E92654"/>
    <w:rsid w:val="00E92657"/>
    <w:rsid w:val="00E92B62"/>
    <w:rsid w:val="00E944BC"/>
    <w:rsid w:val="00E9499E"/>
    <w:rsid w:val="00E94D5F"/>
    <w:rsid w:val="00E94E10"/>
    <w:rsid w:val="00E9513F"/>
    <w:rsid w:val="00E9529E"/>
    <w:rsid w:val="00E95655"/>
    <w:rsid w:val="00E95F3B"/>
    <w:rsid w:val="00E96267"/>
    <w:rsid w:val="00E96C26"/>
    <w:rsid w:val="00E97FD6"/>
    <w:rsid w:val="00EA004F"/>
    <w:rsid w:val="00EA0687"/>
    <w:rsid w:val="00EA11C2"/>
    <w:rsid w:val="00EA128A"/>
    <w:rsid w:val="00EA1441"/>
    <w:rsid w:val="00EA2530"/>
    <w:rsid w:val="00EA26A7"/>
    <w:rsid w:val="00EA3047"/>
    <w:rsid w:val="00EA31C7"/>
    <w:rsid w:val="00EA34AC"/>
    <w:rsid w:val="00EA37EE"/>
    <w:rsid w:val="00EA43A2"/>
    <w:rsid w:val="00EA4657"/>
    <w:rsid w:val="00EA5808"/>
    <w:rsid w:val="00EA595F"/>
    <w:rsid w:val="00EA5CA4"/>
    <w:rsid w:val="00EA64CC"/>
    <w:rsid w:val="00EA6E99"/>
    <w:rsid w:val="00EA7619"/>
    <w:rsid w:val="00EA7C81"/>
    <w:rsid w:val="00EB0CF4"/>
    <w:rsid w:val="00EB103E"/>
    <w:rsid w:val="00EB1130"/>
    <w:rsid w:val="00EB17A5"/>
    <w:rsid w:val="00EB2118"/>
    <w:rsid w:val="00EB2537"/>
    <w:rsid w:val="00EB305E"/>
    <w:rsid w:val="00EB3681"/>
    <w:rsid w:val="00EB3EA2"/>
    <w:rsid w:val="00EB441E"/>
    <w:rsid w:val="00EB4A64"/>
    <w:rsid w:val="00EB4FFD"/>
    <w:rsid w:val="00EB5255"/>
    <w:rsid w:val="00EB531B"/>
    <w:rsid w:val="00EB5C47"/>
    <w:rsid w:val="00EB6002"/>
    <w:rsid w:val="00EB606D"/>
    <w:rsid w:val="00EB7792"/>
    <w:rsid w:val="00EC0422"/>
    <w:rsid w:val="00EC0540"/>
    <w:rsid w:val="00EC0746"/>
    <w:rsid w:val="00EC0892"/>
    <w:rsid w:val="00EC0EC7"/>
    <w:rsid w:val="00EC156C"/>
    <w:rsid w:val="00EC1759"/>
    <w:rsid w:val="00EC1999"/>
    <w:rsid w:val="00EC1A1D"/>
    <w:rsid w:val="00EC2056"/>
    <w:rsid w:val="00EC23C5"/>
    <w:rsid w:val="00EC244B"/>
    <w:rsid w:val="00EC270D"/>
    <w:rsid w:val="00EC2BB6"/>
    <w:rsid w:val="00EC36DC"/>
    <w:rsid w:val="00EC3B23"/>
    <w:rsid w:val="00EC4484"/>
    <w:rsid w:val="00EC45BB"/>
    <w:rsid w:val="00EC4FD6"/>
    <w:rsid w:val="00EC5194"/>
    <w:rsid w:val="00EC5E88"/>
    <w:rsid w:val="00EC61CD"/>
    <w:rsid w:val="00EC62FE"/>
    <w:rsid w:val="00EC6C23"/>
    <w:rsid w:val="00EC6E24"/>
    <w:rsid w:val="00EC7579"/>
    <w:rsid w:val="00ED0639"/>
    <w:rsid w:val="00ED0CB0"/>
    <w:rsid w:val="00ED0F08"/>
    <w:rsid w:val="00ED1116"/>
    <w:rsid w:val="00ED18EB"/>
    <w:rsid w:val="00ED1A53"/>
    <w:rsid w:val="00ED260F"/>
    <w:rsid w:val="00ED2BB5"/>
    <w:rsid w:val="00ED2F76"/>
    <w:rsid w:val="00ED2FB4"/>
    <w:rsid w:val="00ED3A7D"/>
    <w:rsid w:val="00ED455C"/>
    <w:rsid w:val="00ED4CA8"/>
    <w:rsid w:val="00ED501D"/>
    <w:rsid w:val="00ED547B"/>
    <w:rsid w:val="00ED5531"/>
    <w:rsid w:val="00ED589C"/>
    <w:rsid w:val="00ED5954"/>
    <w:rsid w:val="00ED6073"/>
    <w:rsid w:val="00ED6576"/>
    <w:rsid w:val="00ED6803"/>
    <w:rsid w:val="00ED6892"/>
    <w:rsid w:val="00ED7F4B"/>
    <w:rsid w:val="00EE028B"/>
    <w:rsid w:val="00EE02CD"/>
    <w:rsid w:val="00EE07C4"/>
    <w:rsid w:val="00EE1996"/>
    <w:rsid w:val="00EE2146"/>
    <w:rsid w:val="00EE3006"/>
    <w:rsid w:val="00EE31B0"/>
    <w:rsid w:val="00EE427F"/>
    <w:rsid w:val="00EE5009"/>
    <w:rsid w:val="00EE5627"/>
    <w:rsid w:val="00EE6759"/>
    <w:rsid w:val="00EE6948"/>
    <w:rsid w:val="00EE70EB"/>
    <w:rsid w:val="00EE7CE4"/>
    <w:rsid w:val="00EF0079"/>
    <w:rsid w:val="00EF12C5"/>
    <w:rsid w:val="00EF16D9"/>
    <w:rsid w:val="00EF1A76"/>
    <w:rsid w:val="00EF1F76"/>
    <w:rsid w:val="00EF21D1"/>
    <w:rsid w:val="00EF23C4"/>
    <w:rsid w:val="00EF2463"/>
    <w:rsid w:val="00EF372E"/>
    <w:rsid w:val="00EF3744"/>
    <w:rsid w:val="00EF3776"/>
    <w:rsid w:val="00EF38B3"/>
    <w:rsid w:val="00EF4755"/>
    <w:rsid w:val="00EF4F72"/>
    <w:rsid w:val="00EF4FD2"/>
    <w:rsid w:val="00EF520E"/>
    <w:rsid w:val="00EF54A4"/>
    <w:rsid w:val="00EF5CAD"/>
    <w:rsid w:val="00EF6041"/>
    <w:rsid w:val="00EF7135"/>
    <w:rsid w:val="00EF7B13"/>
    <w:rsid w:val="00EF7D96"/>
    <w:rsid w:val="00EF7E6A"/>
    <w:rsid w:val="00F00949"/>
    <w:rsid w:val="00F00A48"/>
    <w:rsid w:val="00F00B02"/>
    <w:rsid w:val="00F00D0B"/>
    <w:rsid w:val="00F0111B"/>
    <w:rsid w:val="00F01AAD"/>
    <w:rsid w:val="00F01CB0"/>
    <w:rsid w:val="00F023F9"/>
    <w:rsid w:val="00F027DB"/>
    <w:rsid w:val="00F030DF"/>
    <w:rsid w:val="00F03769"/>
    <w:rsid w:val="00F03878"/>
    <w:rsid w:val="00F03BCB"/>
    <w:rsid w:val="00F03C74"/>
    <w:rsid w:val="00F03E0F"/>
    <w:rsid w:val="00F0435C"/>
    <w:rsid w:val="00F04FE9"/>
    <w:rsid w:val="00F06373"/>
    <w:rsid w:val="00F06674"/>
    <w:rsid w:val="00F06C2F"/>
    <w:rsid w:val="00F06EF9"/>
    <w:rsid w:val="00F07017"/>
    <w:rsid w:val="00F072B5"/>
    <w:rsid w:val="00F10510"/>
    <w:rsid w:val="00F108E2"/>
    <w:rsid w:val="00F10973"/>
    <w:rsid w:val="00F1124B"/>
    <w:rsid w:val="00F119B4"/>
    <w:rsid w:val="00F12B8B"/>
    <w:rsid w:val="00F13592"/>
    <w:rsid w:val="00F145A5"/>
    <w:rsid w:val="00F14A7A"/>
    <w:rsid w:val="00F14BC2"/>
    <w:rsid w:val="00F14C74"/>
    <w:rsid w:val="00F14CC2"/>
    <w:rsid w:val="00F15066"/>
    <w:rsid w:val="00F158A2"/>
    <w:rsid w:val="00F1596B"/>
    <w:rsid w:val="00F15B19"/>
    <w:rsid w:val="00F16665"/>
    <w:rsid w:val="00F16D50"/>
    <w:rsid w:val="00F17925"/>
    <w:rsid w:val="00F17BBC"/>
    <w:rsid w:val="00F17DDB"/>
    <w:rsid w:val="00F2029B"/>
    <w:rsid w:val="00F202F3"/>
    <w:rsid w:val="00F21075"/>
    <w:rsid w:val="00F2218F"/>
    <w:rsid w:val="00F226FF"/>
    <w:rsid w:val="00F22890"/>
    <w:rsid w:val="00F22985"/>
    <w:rsid w:val="00F22AFF"/>
    <w:rsid w:val="00F22D06"/>
    <w:rsid w:val="00F23644"/>
    <w:rsid w:val="00F238E2"/>
    <w:rsid w:val="00F23D03"/>
    <w:rsid w:val="00F24833"/>
    <w:rsid w:val="00F255A9"/>
    <w:rsid w:val="00F255BD"/>
    <w:rsid w:val="00F261E8"/>
    <w:rsid w:val="00F2756A"/>
    <w:rsid w:val="00F276BC"/>
    <w:rsid w:val="00F27FF4"/>
    <w:rsid w:val="00F300E7"/>
    <w:rsid w:val="00F307B3"/>
    <w:rsid w:val="00F30BF8"/>
    <w:rsid w:val="00F31363"/>
    <w:rsid w:val="00F314BA"/>
    <w:rsid w:val="00F314FF"/>
    <w:rsid w:val="00F31AF0"/>
    <w:rsid w:val="00F32C70"/>
    <w:rsid w:val="00F32E80"/>
    <w:rsid w:val="00F3383E"/>
    <w:rsid w:val="00F33965"/>
    <w:rsid w:val="00F33D58"/>
    <w:rsid w:val="00F33DA3"/>
    <w:rsid w:val="00F34682"/>
    <w:rsid w:val="00F35830"/>
    <w:rsid w:val="00F35876"/>
    <w:rsid w:val="00F36227"/>
    <w:rsid w:val="00F3634C"/>
    <w:rsid w:val="00F36396"/>
    <w:rsid w:val="00F36ACD"/>
    <w:rsid w:val="00F36B09"/>
    <w:rsid w:val="00F37719"/>
    <w:rsid w:val="00F40558"/>
    <w:rsid w:val="00F40615"/>
    <w:rsid w:val="00F40944"/>
    <w:rsid w:val="00F40A02"/>
    <w:rsid w:val="00F410C0"/>
    <w:rsid w:val="00F42548"/>
    <w:rsid w:val="00F427BA"/>
    <w:rsid w:val="00F42A6A"/>
    <w:rsid w:val="00F42EB4"/>
    <w:rsid w:val="00F44948"/>
    <w:rsid w:val="00F45582"/>
    <w:rsid w:val="00F4572F"/>
    <w:rsid w:val="00F460BD"/>
    <w:rsid w:val="00F461F5"/>
    <w:rsid w:val="00F4650C"/>
    <w:rsid w:val="00F465A7"/>
    <w:rsid w:val="00F46844"/>
    <w:rsid w:val="00F46980"/>
    <w:rsid w:val="00F46ADD"/>
    <w:rsid w:val="00F46C88"/>
    <w:rsid w:val="00F475A7"/>
    <w:rsid w:val="00F47FC5"/>
    <w:rsid w:val="00F5072F"/>
    <w:rsid w:val="00F50B7C"/>
    <w:rsid w:val="00F5129F"/>
    <w:rsid w:val="00F51C9C"/>
    <w:rsid w:val="00F5205D"/>
    <w:rsid w:val="00F52A06"/>
    <w:rsid w:val="00F5303A"/>
    <w:rsid w:val="00F53047"/>
    <w:rsid w:val="00F534B5"/>
    <w:rsid w:val="00F53864"/>
    <w:rsid w:val="00F54E71"/>
    <w:rsid w:val="00F550E6"/>
    <w:rsid w:val="00F55FD1"/>
    <w:rsid w:val="00F56009"/>
    <w:rsid w:val="00F5669E"/>
    <w:rsid w:val="00F56960"/>
    <w:rsid w:val="00F56CAF"/>
    <w:rsid w:val="00F57561"/>
    <w:rsid w:val="00F6010A"/>
    <w:rsid w:val="00F60178"/>
    <w:rsid w:val="00F60519"/>
    <w:rsid w:val="00F607AE"/>
    <w:rsid w:val="00F60D50"/>
    <w:rsid w:val="00F61F72"/>
    <w:rsid w:val="00F62693"/>
    <w:rsid w:val="00F631CB"/>
    <w:rsid w:val="00F6349E"/>
    <w:rsid w:val="00F635F1"/>
    <w:rsid w:val="00F63901"/>
    <w:rsid w:val="00F63C55"/>
    <w:rsid w:val="00F63F4F"/>
    <w:rsid w:val="00F64328"/>
    <w:rsid w:val="00F64575"/>
    <w:rsid w:val="00F6525D"/>
    <w:rsid w:val="00F656FE"/>
    <w:rsid w:val="00F66128"/>
    <w:rsid w:val="00F66628"/>
    <w:rsid w:val="00F6705B"/>
    <w:rsid w:val="00F70176"/>
    <w:rsid w:val="00F70467"/>
    <w:rsid w:val="00F70B64"/>
    <w:rsid w:val="00F711A5"/>
    <w:rsid w:val="00F72091"/>
    <w:rsid w:val="00F722B6"/>
    <w:rsid w:val="00F72C63"/>
    <w:rsid w:val="00F72C6D"/>
    <w:rsid w:val="00F72F84"/>
    <w:rsid w:val="00F7304B"/>
    <w:rsid w:val="00F73092"/>
    <w:rsid w:val="00F736EB"/>
    <w:rsid w:val="00F73A3C"/>
    <w:rsid w:val="00F74345"/>
    <w:rsid w:val="00F7445D"/>
    <w:rsid w:val="00F7496B"/>
    <w:rsid w:val="00F74970"/>
    <w:rsid w:val="00F74A4D"/>
    <w:rsid w:val="00F74B9B"/>
    <w:rsid w:val="00F74D7E"/>
    <w:rsid w:val="00F755FB"/>
    <w:rsid w:val="00F756D7"/>
    <w:rsid w:val="00F75D6F"/>
    <w:rsid w:val="00F75D91"/>
    <w:rsid w:val="00F76892"/>
    <w:rsid w:val="00F76E25"/>
    <w:rsid w:val="00F807B8"/>
    <w:rsid w:val="00F80A0A"/>
    <w:rsid w:val="00F80A85"/>
    <w:rsid w:val="00F812E5"/>
    <w:rsid w:val="00F81886"/>
    <w:rsid w:val="00F81E6F"/>
    <w:rsid w:val="00F82B19"/>
    <w:rsid w:val="00F82C83"/>
    <w:rsid w:val="00F83D28"/>
    <w:rsid w:val="00F84FCD"/>
    <w:rsid w:val="00F85127"/>
    <w:rsid w:val="00F85AEE"/>
    <w:rsid w:val="00F861D3"/>
    <w:rsid w:val="00F86BEC"/>
    <w:rsid w:val="00F86D00"/>
    <w:rsid w:val="00F875F7"/>
    <w:rsid w:val="00F9026D"/>
    <w:rsid w:val="00F90831"/>
    <w:rsid w:val="00F90C48"/>
    <w:rsid w:val="00F91D43"/>
    <w:rsid w:val="00F9212D"/>
    <w:rsid w:val="00F92224"/>
    <w:rsid w:val="00F92578"/>
    <w:rsid w:val="00F927CC"/>
    <w:rsid w:val="00F92951"/>
    <w:rsid w:val="00F92D0B"/>
    <w:rsid w:val="00F93878"/>
    <w:rsid w:val="00F94610"/>
    <w:rsid w:val="00F9482D"/>
    <w:rsid w:val="00F948C9"/>
    <w:rsid w:val="00F949C5"/>
    <w:rsid w:val="00F95336"/>
    <w:rsid w:val="00F957CB"/>
    <w:rsid w:val="00F95C70"/>
    <w:rsid w:val="00F965DA"/>
    <w:rsid w:val="00F96AF5"/>
    <w:rsid w:val="00F9799B"/>
    <w:rsid w:val="00FA0376"/>
    <w:rsid w:val="00FA0437"/>
    <w:rsid w:val="00FA064E"/>
    <w:rsid w:val="00FA1162"/>
    <w:rsid w:val="00FA12FE"/>
    <w:rsid w:val="00FA19D8"/>
    <w:rsid w:val="00FA22BB"/>
    <w:rsid w:val="00FA3A64"/>
    <w:rsid w:val="00FA3CFC"/>
    <w:rsid w:val="00FA3E86"/>
    <w:rsid w:val="00FA406A"/>
    <w:rsid w:val="00FA47DB"/>
    <w:rsid w:val="00FA4E1D"/>
    <w:rsid w:val="00FA53A9"/>
    <w:rsid w:val="00FA578E"/>
    <w:rsid w:val="00FA5E21"/>
    <w:rsid w:val="00FA61B3"/>
    <w:rsid w:val="00FA6D90"/>
    <w:rsid w:val="00FA6F77"/>
    <w:rsid w:val="00FA6FA3"/>
    <w:rsid w:val="00FA73DB"/>
    <w:rsid w:val="00FA77E1"/>
    <w:rsid w:val="00FA7E02"/>
    <w:rsid w:val="00FB024A"/>
    <w:rsid w:val="00FB14E9"/>
    <w:rsid w:val="00FB296B"/>
    <w:rsid w:val="00FB29EC"/>
    <w:rsid w:val="00FB31A1"/>
    <w:rsid w:val="00FB3A43"/>
    <w:rsid w:val="00FB4231"/>
    <w:rsid w:val="00FB4FFF"/>
    <w:rsid w:val="00FB503A"/>
    <w:rsid w:val="00FB516C"/>
    <w:rsid w:val="00FB535E"/>
    <w:rsid w:val="00FB54A2"/>
    <w:rsid w:val="00FB5E53"/>
    <w:rsid w:val="00FB6BB5"/>
    <w:rsid w:val="00FB6C64"/>
    <w:rsid w:val="00FB722A"/>
    <w:rsid w:val="00FC053F"/>
    <w:rsid w:val="00FC0592"/>
    <w:rsid w:val="00FC1162"/>
    <w:rsid w:val="00FC1AE9"/>
    <w:rsid w:val="00FC259B"/>
    <w:rsid w:val="00FC25B9"/>
    <w:rsid w:val="00FC270A"/>
    <w:rsid w:val="00FC2749"/>
    <w:rsid w:val="00FC2B21"/>
    <w:rsid w:val="00FC31BC"/>
    <w:rsid w:val="00FC3709"/>
    <w:rsid w:val="00FC3E49"/>
    <w:rsid w:val="00FC404B"/>
    <w:rsid w:val="00FC4BD8"/>
    <w:rsid w:val="00FC4CDC"/>
    <w:rsid w:val="00FC5111"/>
    <w:rsid w:val="00FC512F"/>
    <w:rsid w:val="00FC5AF5"/>
    <w:rsid w:val="00FC5F29"/>
    <w:rsid w:val="00FC62E3"/>
    <w:rsid w:val="00FC704E"/>
    <w:rsid w:val="00FC725F"/>
    <w:rsid w:val="00FC72D4"/>
    <w:rsid w:val="00FC747D"/>
    <w:rsid w:val="00FC7B1E"/>
    <w:rsid w:val="00FD004D"/>
    <w:rsid w:val="00FD0236"/>
    <w:rsid w:val="00FD03D4"/>
    <w:rsid w:val="00FD09DA"/>
    <w:rsid w:val="00FD13FD"/>
    <w:rsid w:val="00FD153B"/>
    <w:rsid w:val="00FD16BA"/>
    <w:rsid w:val="00FD18F4"/>
    <w:rsid w:val="00FD284D"/>
    <w:rsid w:val="00FD2BAB"/>
    <w:rsid w:val="00FD2E67"/>
    <w:rsid w:val="00FD2FC0"/>
    <w:rsid w:val="00FD312A"/>
    <w:rsid w:val="00FD3203"/>
    <w:rsid w:val="00FD54DB"/>
    <w:rsid w:val="00FD6083"/>
    <w:rsid w:val="00FD60BE"/>
    <w:rsid w:val="00FD619F"/>
    <w:rsid w:val="00FD6678"/>
    <w:rsid w:val="00FD68E9"/>
    <w:rsid w:val="00FD69CB"/>
    <w:rsid w:val="00FD7884"/>
    <w:rsid w:val="00FD78B4"/>
    <w:rsid w:val="00FD79F0"/>
    <w:rsid w:val="00FE0BE5"/>
    <w:rsid w:val="00FE12B4"/>
    <w:rsid w:val="00FE1313"/>
    <w:rsid w:val="00FE4222"/>
    <w:rsid w:val="00FE4604"/>
    <w:rsid w:val="00FE5548"/>
    <w:rsid w:val="00FE565E"/>
    <w:rsid w:val="00FE61DC"/>
    <w:rsid w:val="00FE6809"/>
    <w:rsid w:val="00FE6BCB"/>
    <w:rsid w:val="00FE6CBB"/>
    <w:rsid w:val="00FE6F00"/>
    <w:rsid w:val="00FE767E"/>
    <w:rsid w:val="00FE7E3B"/>
    <w:rsid w:val="00FF0201"/>
    <w:rsid w:val="00FF090C"/>
    <w:rsid w:val="00FF143C"/>
    <w:rsid w:val="00FF1C58"/>
    <w:rsid w:val="00FF1D01"/>
    <w:rsid w:val="00FF1E93"/>
    <w:rsid w:val="00FF28B7"/>
    <w:rsid w:val="00FF2B41"/>
    <w:rsid w:val="00FF32F1"/>
    <w:rsid w:val="00FF37AE"/>
    <w:rsid w:val="00FF3C52"/>
    <w:rsid w:val="00FF4784"/>
    <w:rsid w:val="00FF4A8C"/>
    <w:rsid w:val="00FF61D0"/>
    <w:rsid w:val="00FF6208"/>
    <w:rsid w:val="00FF62DD"/>
    <w:rsid w:val="00FF6AD4"/>
    <w:rsid w:val="01290F7E"/>
    <w:rsid w:val="015D1E09"/>
    <w:rsid w:val="022278B2"/>
    <w:rsid w:val="02697903"/>
    <w:rsid w:val="02894026"/>
    <w:rsid w:val="02F96569"/>
    <w:rsid w:val="032D7D1B"/>
    <w:rsid w:val="037B7842"/>
    <w:rsid w:val="03CB202D"/>
    <w:rsid w:val="03EA7B21"/>
    <w:rsid w:val="03EE3EEF"/>
    <w:rsid w:val="03FF3CD8"/>
    <w:rsid w:val="05EE2510"/>
    <w:rsid w:val="05F83EAE"/>
    <w:rsid w:val="06023577"/>
    <w:rsid w:val="0609094D"/>
    <w:rsid w:val="063E7D85"/>
    <w:rsid w:val="071874D5"/>
    <w:rsid w:val="07293586"/>
    <w:rsid w:val="07295285"/>
    <w:rsid w:val="07636392"/>
    <w:rsid w:val="07770C56"/>
    <w:rsid w:val="08016835"/>
    <w:rsid w:val="08484B64"/>
    <w:rsid w:val="092217DD"/>
    <w:rsid w:val="093A7294"/>
    <w:rsid w:val="0A263993"/>
    <w:rsid w:val="0A2D3AC2"/>
    <w:rsid w:val="0AA755DF"/>
    <w:rsid w:val="0B120D44"/>
    <w:rsid w:val="0B81389B"/>
    <w:rsid w:val="0BD27BF6"/>
    <w:rsid w:val="0C3B3C7D"/>
    <w:rsid w:val="0CAB2EAE"/>
    <w:rsid w:val="0D3342DC"/>
    <w:rsid w:val="0D4505A4"/>
    <w:rsid w:val="0D621C7D"/>
    <w:rsid w:val="0E2D26C8"/>
    <w:rsid w:val="0E675E9D"/>
    <w:rsid w:val="0E73034D"/>
    <w:rsid w:val="0F13775A"/>
    <w:rsid w:val="0F5F45FE"/>
    <w:rsid w:val="0F934DD4"/>
    <w:rsid w:val="0F9A112B"/>
    <w:rsid w:val="1025513D"/>
    <w:rsid w:val="106D2F64"/>
    <w:rsid w:val="10B63710"/>
    <w:rsid w:val="10F10820"/>
    <w:rsid w:val="111C2F7A"/>
    <w:rsid w:val="11292A0B"/>
    <w:rsid w:val="113F000D"/>
    <w:rsid w:val="11665CA1"/>
    <w:rsid w:val="1181633F"/>
    <w:rsid w:val="11856C88"/>
    <w:rsid w:val="11943BFC"/>
    <w:rsid w:val="11C101AE"/>
    <w:rsid w:val="12011292"/>
    <w:rsid w:val="13951726"/>
    <w:rsid w:val="14396509"/>
    <w:rsid w:val="14496F20"/>
    <w:rsid w:val="14725642"/>
    <w:rsid w:val="14994783"/>
    <w:rsid w:val="14B3630E"/>
    <w:rsid w:val="14DD2C3C"/>
    <w:rsid w:val="15B80793"/>
    <w:rsid w:val="16087E1D"/>
    <w:rsid w:val="161B669A"/>
    <w:rsid w:val="165672E8"/>
    <w:rsid w:val="17701D14"/>
    <w:rsid w:val="17735226"/>
    <w:rsid w:val="17BB0135"/>
    <w:rsid w:val="189F624C"/>
    <w:rsid w:val="193F7F0D"/>
    <w:rsid w:val="195A6DE8"/>
    <w:rsid w:val="197E141A"/>
    <w:rsid w:val="19EA6AAF"/>
    <w:rsid w:val="1A0F05ED"/>
    <w:rsid w:val="1A1C66C0"/>
    <w:rsid w:val="1A265911"/>
    <w:rsid w:val="1A42393B"/>
    <w:rsid w:val="1A6B74B6"/>
    <w:rsid w:val="1A9C7C88"/>
    <w:rsid w:val="1AAD45DE"/>
    <w:rsid w:val="1ACC6D64"/>
    <w:rsid w:val="1ADB7240"/>
    <w:rsid w:val="1B046F80"/>
    <w:rsid w:val="1B3267B5"/>
    <w:rsid w:val="1B391A9C"/>
    <w:rsid w:val="1B40161D"/>
    <w:rsid w:val="1B441859"/>
    <w:rsid w:val="1B6606B1"/>
    <w:rsid w:val="1BC442D9"/>
    <w:rsid w:val="1C0C0F5F"/>
    <w:rsid w:val="1C4C11BC"/>
    <w:rsid w:val="1C5E7925"/>
    <w:rsid w:val="1CC7132A"/>
    <w:rsid w:val="1CCA15F3"/>
    <w:rsid w:val="1CFD070F"/>
    <w:rsid w:val="1D0B4332"/>
    <w:rsid w:val="1D5F6196"/>
    <w:rsid w:val="1D6132A5"/>
    <w:rsid w:val="1D796AC8"/>
    <w:rsid w:val="1D8E56D5"/>
    <w:rsid w:val="1DAD0BF5"/>
    <w:rsid w:val="1E7A43DA"/>
    <w:rsid w:val="1FE7539E"/>
    <w:rsid w:val="203E6F7B"/>
    <w:rsid w:val="203F072E"/>
    <w:rsid w:val="20671BE0"/>
    <w:rsid w:val="207A3855"/>
    <w:rsid w:val="20963CB8"/>
    <w:rsid w:val="20A81A1B"/>
    <w:rsid w:val="20B07FB6"/>
    <w:rsid w:val="20B646FB"/>
    <w:rsid w:val="21380790"/>
    <w:rsid w:val="213B74B1"/>
    <w:rsid w:val="215A2310"/>
    <w:rsid w:val="21DE318A"/>
    <w:rsid w:val="21EF5B80"/>
    <w:rsid w:val="22137BA5"/>
    <w:rsid w:val="221D798C"/>
    <w:rsid w:val="22576990"/>
    <w:rsid w:val="22F47480"/>
    <w:rsid w:val="22FD3CF7"/>
    <w:rsid w:val="23922691"/>
    <w:rsid w:val="23DE1C48"/>
    <w:rsid w:val="23F15084"/>
    <w:rsid w:val="240210CD"/>
    <w:rsid w:val="246D27B7"/>
    <w:rsid w:val="24BF09F7"/>
    <w:rsid w:val="252D53FE"/>
    <w:rsid w:val="254C2D14"/>
    <w:rsid w:val="25EC2D81"/>
    <w:rsid w:val="26F45411"/>
    <w:rsid w:val="277057A2"/>
    <w:rsid w:val="29206EB8"/>
    <w:rsid w:val="293F018F"/>
    <w:rsid w:val="29595666"/>
    <w:rsid w:val="29874881"/>
    <w:rsid w:val="29DA6B40"/>
    <w:rsid w:val="29E325E0"/>
    <w:rsid w:val="2A094D30"/>
    <w:rsid w:val="2A452503"/>
    <w:rsid w:val="2A9C5158"/>
    <w:rsid w:val="2AD74E2E"/>
    <w:rsid w:val="2BA936A8"/>
    <w:rsid w:val="2C315A5A"/>
    <w:rsid w:val="2C4B1C25"/>
    <w:rsid w:val="2CEC14F9"/>
    <w:rsid w:val="2D144117"/>
    <w:rsid w:val="2D9E56F5"/>
    <w:rsid w:val="2DB022E4"/>
    <w:rsid w:val="2E527ECD"/>
    <w:rsid w:val="2E667F96"/>
    <w:rsid w:val="2E8226AB"/>
    <w:rsid w:val="2EC35DCA"/>
    <w:rsid w:val="2F087CAC"/>
    <w:rsid w:val="2FD065E6"/>
    <w:rsid w:val="2FD96870"/>
    <w:rsid w:val="2FDB283C"/>
    <w:rsid w:val="30580BC9"/>
    <w:rsid w:val="30733FFC"/>
    <w:rsid w:val="30DA11D4"/>
    <w:rsid w:val="311E2ED7"/>
    <w:rsid w:val="315619EE"/>
    <w:rsid w:val="315C449C"/>
    <w:rsid w:val="31B82709"/>
    <w:rsid w:val="31D05482"/>
    <w:rsid w:val="32400B34"/>
    <w:rsid w:val="325D3E6B"/>
    <w:rsid w:val="329E6876"/>
    <w:rsid w:val="333015F2"/>
    <w:rsid w:val="333D5A4A"/>
    <w:rsid w:val="334B6320"/>
    <w:rsid w:val="339729FC"/>
    <w:rsid w:val="33D934D4"/>
    <w:rsid w:val="33FE2F6A"/>
    <w:rsid w:val="340E07E5"/>
    <w:rsid w:val="34235BF7"/>
    <w:rsid w:val="358C5FA8"/>
    <w:rsid w:val="35A958DD"/>
    <w:rsid w:val="35B73FB6"/>
    <w:rsid w:val="35C15DF1"/>
    <w:rsid w:val="35CA6610"/>
    <w:rsid w:val="36034D29"/>
    <w:rsid w:val="36074A7F"/>
    <w:rsid w:val="36923549"/>
    <w:rsid w:val="36B75FBF"/>
    <w:rsid w:val="36BD0C45"/>
    <w:rsid w:val="36C33119"/>
    <w:rsid w:val="36CE3FBF"/>
    <w:rsid w:val="37E00298"/>
    <w:rsid w:val="38B302F9"/>
    <w:rsid w:val="38F12CD3"/>
    <w:rsid w:val="38F94775"/>
    <w:rsid w:val="392971ED"/>
    <w:rsid w:val="392E6561"/>
    <w:rsid w:val="39325651"/>
    <w:rsid w:val="3A021108"/>
    <w:rsid w:val="3A4F678F"/>
    <w:rsid w:val="3A6C475E"/>
    <w:rsid w:val="3A872856"/>
    <w:rsid w:val="3B3763D1"/>
    <w:rsid w:val="3B4A44F0"/>
    <w:rsid w:val="3B790F97"/>
    <w:rsid w:val="3C2F6E1E"/>
    <w:rsid w:val="3C366033"/>
    <w:rsid w:val="3C4F64BA"/>
    <w:rsid w:val="3C6D114E"/>
    <w:rsid w:val="3CAE371B"/>
    <w:rsid w:val="3CDA245A"/>
    <w:rsid w:val="3D1E06B7"/>
    <w:rsid w:val="3DB86D41"/>
    <w:rsid w:val="3DCD4C26"/>
    <w:rsid w:val="3E6B790F"/>
    <w:rsid w:val="3EDA0523"/>
    <w:rsid w:val="3F096C80"/>
    <w:rsid w:val="3F283A52"/>
    <w:rsid w:val="3F450160"/>
    <w:rsid w:val="3F890995"/>
    <w:rsid w:val="3F917849"/>
    <w:rsid w:val="3FD34910"/>
    <w:rsid w:val="40477F08"/>
    <w:rsid w:val="404909C5"/>
    <w:rsid w:val="40564282"/>
    <w:rsid w:val="406E36E7"/>
    <w:rsid w:val="407A6407"/>
    <w:rsid w:val="409F4053"/>
    <w:rsid w:val="41257C62"/>
    <w:rsid w:val="41662610"/>
    <w:rsid w:val="4200449D"/>
    <w:rsid w:val="423A3BCC"/>
    <w:rsid w:val="424E57D2"/>
    <w:rsid w:val="42B26C49"/>
    <w:rsid w:val="42F01044"/>
    <w:rsid w:val="433A6FE6"/>
    <w:rsid w:val="43480868"/>
    <w:rsid w:val="4350713C"/>
    <w:rsid w:val="436653E0"/>
    <w:rsid w:val="43836ED2"/>
    <w:rsid w:val="43C4431A"/>
    <w:rsid w:val="44B951CC"/>
    <w:rsid w:val="44CD14E0"/>
    <w:rsid w:val="44F20B0B"/>
    <w:rsid w:val="452E5F4C"/>
    <w:rsid w:val="45612018"/>
    <w:rsid w:val="458946E9"/>
    <w:rsid w:val="45A47C0E"/>
    <w:rsid w:val="45D65FB6"/>
    <w:rsid w:val="45F308D0"/>
    <w:rsid w:val="46577FD6"/>
    <w:rsid w:val="46D955A7"/>
    <w:rsid w:val="47133957"/>
    <w:rsid w:val="47A07E0C"/>
    <w:rsid w:val="4870272E"/>
    <w:rsid w:val="489601A3"/>
    <w:rsid w:val="48B44418"/>
    <w:rsid w:val="48D43BCE"/>
    <w:rsid w:val="49811327"/>
    <w:rsid w:val="49A176C9"/>
    <w:rsid w:val="49DC7715"/>
    <w:rsid w:val="4A023139"/>
    <w:rsid w:val="4A7B576F"/>
    <w:rsid w:val="4AF561A9"/>
    <w:rsid w:val="4B2477C4"/>
    <w:rsid w:val="4C260CF9"/>
    <w:rsid w:val="4C4A0649"/>
    <w:rsid w:val="4C7E5ECA"/>
    <w:rsid w:val="4C876AA5"/>
    <w:rsid w:val="4D0E00FB"/>
    <w:rsid w:val="4D15004A"/>
    <w:rsid w:val="4D176606"/>
    <w:rsid w:val="4DEC4FB0"/>
    <w:rsid w:val="4E075D8A"/>
    <w:rsid w:val="4EC00FAD"/>
    <w:rsid w:val="4EF32F37"/>
    <w:rsid w:val="4F697E9B"/>
    <w:rsid w:val="4F6B3C13"/>
    <w:rsid w:val="4F9843DC"/>
    <w:rsid w:val="4FC62A8C"/>
    <w:rsid w:val="4FE20F0D"/>
    <w:rsid w:val="4FE51552"/>
    <w:rsid w:val="50504C4B"/>
    <w:rsid w:val="509C6E7C"/>
    <w:rsid w:val="5162104E"/>
    <w:rsid w:val="53A039CC"/>
    <w:rsid w:val="53A1505A"/>
    <w:rsid w:val="54063E08"/>
    <w:rsid w:val="543437E8"/>
    <w:rsid w:val="5452549B"/>
    <w:rsid w:val="54804A9D"/>
    <w:rsid w:val="54F73313"/>
    <w:rsid w:val="54F80955"/>
    <w:rsid w:val="555170A7"/>
    <w:rsid w:val="5587536D"/>
    <w:rsid w:val="559B174B"/>
    <w:rsid w:val="55C220B3"/>
    <w:rsid w:val="55CE0CF4"/>
    <w:rsid w:val="56312D95"/>
    <w:rsid w:val="5634450C"/>
    <w:rsid w:val="56AA2565"/>
    <w:rsid w:val="56B22A9C"/>
    <w:rsid w:val="570505BB"/>
    <w:rsid w:val="57B72A76"/>
    <w:rsid w:val="57C3426C"/>
    <w:rsid w:val="57CE1F93"/>
    <w:rsid w:val="588743D1"/>
    <w:rsid w:val="5887701A"/>
    <w:rsid w:val="58DE5456"/>
    <w:rsid w:val="59376F65"/>
    <w:rsid w:val="59773CDE"/>
    <w:rsid w:val="59C0439F"/>
    <w:rsid w:val="5ABE2233"/>
    <w:rsid w:val="5BDF5D95"/>
    <w:rsid w:val="5BFE7528"/>
    <w:rsid w:val="5C1A7F01"/>
    <w:rsid w:val="5D0A3648"/>
    <w:rsid w:val="5D381934"/>
    <w:rsid w:val="5E2467F1"/>
    <w:rsid w:val="5E6008C2"/>
    <w:rsid w:val="5F1A2B43"/>
    <w:rsid w:val="5FB837BB"/>
    <w:rsid w:val="5FCE46C2"/>
    <w:rsid w:val="600B28A8"/>
    <w:rsid w:val="60564992"/>
    <w:rsid w:val="60CA5E20"/>
    <w:rsid w:val="60CC405A"/>
    <w:rsid w:val="61047A23"/>
    <w:rsid w:val="61E215D8"/>
    <w:rsid w:val="621B3775"/>
    <w:rsid w:val="62364782"/>
    <w:rsid w:val="6356208C"/>
    <w:rsid w:val="6394356A"/>
    <w:rsid w:val="63C61B2C"/>
    <w:rsid w:val="63D40BE9"/>
    <w:rsid w:val="64102431"/>
    <w:rsid w:val="64A5243A"/>
    <w:rsid w:val="64F531DE"/>
    <w:rsid w:val="65373578"/>
    <w:rsid w:val="654C3747"/>
    <w:rsid w:val="666343BB"/>
    <w:rsid w:val="66C9435B"/>
    <w:rsid w:val="66F67E0E"/>
    <w:rsid w:val="671F124A"/>
    <w:rsid w:val="677A33C6"/>
    <w:rsid w:val="681F6961"/>
    <w:rsid w:val="68337770"/>
    <w:rsid w:val="68610A2F"/>
    <w:rsid w:val="68805514"/>
    <w:rsid w:val="688431F8"/>
    <w:rsid w:val="68977D49"/>
    <w:rsid w:val="69083E29"/>
    <w:rsid w:val="69316E2F"/>
    <w:rsid w:val="694E2071"/>
    <w:rsid w:val="696F52E7"/>
    <w:rsid w:val="69766163"/>
    <w:rsid w:val="697A3B33"/>
    <w:rsid w:val="69D44760"/>
    <w:rsid w:val="6A520EC7"/>
    <w:rsid w:val="6AF87E20"/>
    <w:rsid w:val="6B322639"/>
    <w:rsid w:val="6B3715F5"/>
    <w:rsid w:val="6C636C38"/>
    <w:rsid w:val="6C7317A9"/>
    <w:rsid w:val="6D792DBA"/>
    <w:rsid w:val="6DB34098"/>
    <w:rsid w:val="6DB545B6"/>
    <w:rsid w:val="6DD84A0A"/>
    <w:rsid w:val="6DE02FB4"/>
    <w:rsid w:val="6E514CED"/>
    <w:rsid w:val="6E573888"/>
    <w:rsid w:val="6E825C40"/>
    <w:rsid w:val="6EB563D5"/>
    <w:rsid w:val="6ED92677"/>
    <w:rsid w:val="6F225983"/>
    <w:rsid w:val="6F9B1553"/>
    <w:rsid w:val="6FAD1286"/>
    <w:rsid w:val="6FFC5590"/>
    <w:rsid w:val="706D1DD0"/>
    <w:rsid w:val="70856B87"/>
    <w:rsid w:val="70D527EE"/>
    <w:rsid w:val="715B5300"/>
    <w:rsid w:val="71D27F8A"/>
    <w:rsid w:val="72553024"/>
    <w:rsid w:val="726C5429"/>
    <w:rsid w:val="72E8347E"/>
    <w:rsid w:val="73122968"/>
    <w:rsid w:val="731F5D5E"/>
    <w:rsid w:val="73C51AD5"/>
    <w:rsid w:val="741E793C"/>
    <w:rsid w:val="743B3F87"/>
    <w:rsid w:val="745E3944"/>
    <w:rsid w:val="750B0F29"/>
    <w:rsid w:val="7635099D"/>
    <w:rsid w:val="76DD28BA"/>
    <w:rsid w:val="77762421"/>
    <w:rsid w:val="77B56B1F"/>
    <w:rsid w:val="780F09F4"/>
    <w:rsid w:val="787B7071"/>
    <w:rsid w:val="78A90480"/>
    <w:rsid w:val="79534C4C"/>
    <w:rsid w:val="79EE2DCB"/>
    <w:rsid w:val="7A364017"/>
    <w:rsid w:val="7A8265E1"/>
    <w:rsid w:val="7ACE27CD"/>
    <w:rsid w:val="7B686D42"/>
    <w:rsid w:val="7B841746"/>
    <w:rsid w:val="7BB46A6D"/>
    <w:rsid w:val="7C6C5AC7"/>
    <w:rsid w:val="7CC6544B"/>
    <w:rsid w:val="7D0239FF"/>
    <w:rsid w:val="7D5E40CD"/>
    <w:rsid w:val="7D723A24"/>
    <w:rsid w:val="7DCD56F2"/>
    <w:rsid w:val="7E164392"/>
    <w:rsid w:val="7F001CE7"/>
    <w:rsid w:val="7FE47E5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0"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qFormat="1" w:unhideWhenUsed="0" w:uiPriority="0" w:semiHidden="0" w:name="toc 9" w:locked="1"/>
    <w:lsdException w:qFormat="1" w:unhideWhenUsed="0" w:uiPriority="0" w:semiHidden="0" w:name="Normal Indent" w:locked="1"/>
    <w:lsdException w:unhideWhenUsed="0" w:uiPriority="0" w:semiHidden="0" w:name="footnote text" w:locked="1"/>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ocked="1"/>
    <w:lsdException w:qFormat="1" w:uiPriority="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semiHidden="0" w:name="annotation reference"/>
    <w:lsdException w:unhideWhenUsed="0" w:uiPriority="0" w:semiHidden="0" w:name="line number" w:locked="1"/>
    <w:lsdException w:qFormat="1" w:unhideWhenUsed="0" w:uiPriority="0" w:semiHidden="0" w:name="page number" w:locked="1"/>
    <w:lsdException w:unhideWhenUsed="0" w:uiPriority="0" w:semiHidden="0" w:name="endnote reference" w:locked="1"/>
    <w:lsdException w:unhideWhenUsed="0" w:uiPriority="0" w:semiHidden="0" w:name="endnote text" w:locked="1"/>
    <w:lsdException w:qFormat="1"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unhideWhenUsed="0" w:uiPriority="0" w:semiHidden="0" w:name="Title" w:locked="1"/>
    <w:lsdException w:unhideWhenUsed="0" w:uiPriority="0" w:semiHidden="0" w:name="Closing" w:locked="1"/>
    <w:lsdException w:unhideWhenUsed="0" w:uiPriority="0" w:semiHidden="0" w:name="Signature" w:locked="1"/>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unhideWhenUsed="0" w:uiPriority="0" w:semiHidden="0" w:name="Subtitle" w:locked="1"/>
    <w:lsdException w:unhideWhenUsed="0" w:uiPriority="0" w:semiHidden="0" w:name="Salutation" w:locked="1"/>
    <w:lsdException w:qFormat="1" w:unhideWhenUsed="0" w:uiPriority="0" w:semiHidden="0" w:name="Date"/>
    <w:lsdException w:qFormat="1" w:unhideWhenUsed="0" w:uiPriority="0" w:semiHidden="0" w:name="Body Text First Indent" w:locked="1"/>
    <w:lsdException w:qFormat="1" w:unhideWhenUsed="0" w:uiPriority="0" w:semiHidden="0" w:name="Body Text First Indent 2" w:locked="1"/>
    <w:lsdException w:unhideWhenUsed="0" w:uiPriority="0" w:semiHidden="0" w:name="Note Heading" w:locked="1"/>
    <w:lsdException w:unhideWhenUsed="0" w:uiPriority="0" w:semiHidden="0" w:name="Body Text 2" w:locked="1"/>
    <w:lsdException w:unhideWhenUsed="0" w:uiPriority="0" w:semiHidden="0" w:name="Body Text 3" w:locked="1"/>
    <w:lsdException w:qFormat="1" w:unhideWhenUsed="0" w:uiPriority="0" w:semiHidden="0" w:name="Body Text Indent 2" w:locked="1"/>
    <w:lsdException w:unhideWhenUsed="0" w:uiPriority="0" w:semiHidden="0" w:name="Body Text Indent 3" w:locked="1"/>
    <w:lsdException w:unhideWhenUsed="0" w:uiPriority="0" w:semiHidden="0" w:name="Block Text" w:locked="1"/>
    <w:lsdException w:qFormat="1" w:unhideWhenUsed="0" w:uiPriority="99" w:semiHidden="0" w:name="Hyperlink" w:locked="1"/>
    <w:lsdException w:qFormat="1" w:uiPriority="99" w:semiHidden="0" w:name="FollowedHyperlink" w:locked="1"/>
    <w:lsdException w:unhideWhenUsed="0" w:uiPriority="0" w:semiHidden="0" w:name="Strong" w:locked="1"/>
    <w:lsdException w:qFormat="1" w:unhideWhenUsed="0" w:uiPriority="20" w:semiHidden="0" w:name="Emphasis" w:locked="1"/>
    <w:lsdException w:unhideWhenUsed="0" w:uiPriority="0" w:semiHidden="0" w:name="Document Map" w:locked="1"/>
    <w:lsdException w:unhideWhenUsed="0" w:uiPriority="0" w:semiHidden="0" w:name="Plain Text" w:locked="1"/>
    <w:lsdException w:unhideWhenUsed="0" w:uiPriority="0" w:semiHidden="0" w:name="E-mail Signature" w:locked="1"/>
    <w:lsdException w:qFormat="1" w:unhideWhenUsed="0" w:uiPriority="0" w:semiHidden="0" w:name="Normal (Web)"/>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iPriority="99" w:name="Normal Table"/>
    <w:lsdException w:qFormat="1" w:unhideWhenUsed="0" w:uiPriority="0" w:name="annotation subject"/>
    <w:lsdException w:uiPriority="0" w:name="Table Simple 1" w:locked="1"/>
    <w:lsdException w:uiPriority="0" w:name="Table Simple 2" w:locked="1"/>
    <w:lsdException w:uiPriority="0" w:name="Table Simple 3" w:locked="1"/>
    <w:lsdException w:uiPriority="0" w:name="Table Classic 1" w:locked="1"/>
    <w:lsdException w:uiPriority="0" w:name="Table Classic 2" w:locked="1"/>
    <w:lsdException w:uiPriority="0" w:name="Table Classic 3" w:locked="1"/>
    <w:lsdException w:uiPriority="0" w:name="Table Classic 4" w:locked="1"/>
    <w:lsdException w:uiPriority="0" w:name="Table Colorful 1" w:locked="1"/>
    <w:lsdException w:uiPriority="0" w:name="Table Colorful 2" w:locked="1"/>
    <w:lsdException w:uiPriority="0" w:name="Table Colorful 3" w:locked="1"/>
    <w:lsdException w:uiPriority="0" w:name="Table Columns 1" w:locked="1"/>
    <w:lsdException w:uiPriority="0" w:name="Table Columns 2" w:locked="1"/>
    <w:lsdException w:uiPriority="0" w:name="Table Columns 3" w:locked="1"/>
    <w:lsdException w:uiPriority="0" w:name="Table Columns 4" w:locked="1"/>
    <w:lsdException w:uiPriority="0" w:name="Table Columns 5" w:locked="1"/>
    <w:lsdException w:uiPriority="0" w:name="Table Grid 1" w:locked="1"/>
    <w:lsdException w:uiPriority="0" w:name="Table Grid 2" w:locked="1"/>
    <w:lsdException w:uiPriority="0" w:name="Table Grid 3" w:locked="1"/>
    <w:lsdException w:uiPriority="0" w:name="Table Grid 4" w:locked="1"/>
    <w:lsdException w:uiPriority="0" w:name="Table Grid 5" w:locked="1"/>
    <w:lsdException w:uiPriority="0" w:name="Table Grid 6" w:locked="1"/>
    <w:lsdException w:uiPriority="0" w:name="Table Grid 7" w:locked="1"/>
    <w:lsdException w:uiPriority="0" w:name="Table Grid 8" w:locked="1"/>
    <w:lsdException w:uiPriority="0" w:name="Table List 1" w:locked="1"/>
    <w:lsdException w:uiPriority="0" w:name="Table List 2" w:locked="1"/>
    <w:lsdException w:uiPriority="0" w:name="Table List 3" w:locked="1"/>
    <w:lsdException w:uiPriority="0" w:name="Table List 4" w:locked="1"/>
    <w:lsdException w:uiPriority="0" w:name="Table List 5" w:locked="1"/>
    <w:lsdException w:uiPriority="0" w:name="Table List 6" w:locked="1"/>
    <w:lsdException w:uiPriority="0" w:name="Table List 7" w:locked="1"/>
    <w:lsdException w:uiPriority="0" w:name="Table List 8" w:locked="1"/>
    <w:lsdException w:uiPriority="0" w:name="Table 3D effects 1" w:locked="1"/>
    <w:lsdException w:uiPriority="0" w:name="Table 3D effects 2" w:locked="1"/>
    <w:lsdException w:uiPriority="0" w:name="Table 3D effects 3" w:locked="1"/>
    <w:lsdException w:uiPriority="0" w:name="Table Contemporary" w:locked="1"/>
    <w:lsdException w:uiPriority="0" w:name="Table Elegant" w:locked="1"/>
    <w:lsdException w:uiPriority="0" w:name="Table Professional" w:locked="1"/>
    <w:lsdException w:uiPriority="0" w:name="Table Subtle 1" w:locked="1"/>
    <w:lsdException w:uiPriority="0" w:name="Table Subtle 2" w:locked="1"/>
    <w:lsdException w:uiPriority="0" w:name="Table Web 1" w:locked="1"/>
    <w:lsdException w:uiPriority="0" w:name="Table Web 2" w:locked="1"/>
    <w:lsdException w:uiPriority="0" w:name="Table Web 3" w:locked="1"/>
    <w:lsdException w:qFormat="1" w:unhideWhenUsed="0" w:uiPriority="0" w:name="Balloon Text"/>
    <w:lsdException w:qFormat="1" w:unhideWhenUsed="0" w:uiPriority="0" w:semiHidden="0" w:name="Table Grid"/>
    <w:lsdException w:uiPriority="0" w:name="Table Theme" w:locked="1"/>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locked/>
    <w:uiPriority w:val="99"/>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3">
    <w:name w:val="heading 2"/>
    <w:basedOn w:val="1"/>
    <w:next w:val="1"/>
    <w:qFormat/>
    <w:locked/>
    <w:uiPriority w:val="0"/>
    <w:pPr>
      <w:keepNext/>
      <w:keepLines/>
      <w:spacing w:before="260" w:after="260" w:line="416" w:lineRule="auto"/>
      <w:outlineLvl w:val="1"/>
    </w:pPr>
    <w:rPr>
      <w:rFonts w:eastAsia="仿宋_GB2312"/>
      <w:b/>
      <w:bCs/>
      <w:sz w:val="28"/>
      <w:szCs w:val="32"/>
    </w:rPr>
  </w:style>
  <w:style w:type="paragraph" w:styleId="4">
    <w:name w:val="heading 3"/>
    <w:basedOn w:val="1"/>
    <w:next w:val="1"/>
    <w:qFormat/>
    <w:locked/>
    <w:uiPriority w:val="0"/>
    <w:pPr>
      <w:keepNext/>
      <w:keepLines/>
      <w:spacing w:before="260" w:after="260" w:line="413" w:lineRule="auto"/>
      <w:outlineLvl w:val="2"/>
    </w:pPr>
    <w:rPr>
      <w:b/>
      <w:sz w:val="32"/>
    </w:rPr>
  </w:style>
  <w:style w:type="paragraph" w:styleId="5">
    <w:name w:val="heading 4"/>
    <w:basedOn w:val="1"/>
    <w:next w:val="1"/>
    <w:qFormat/>
    <w:locked/>
    <w:uiPriority w:val="0"/>
    <w:pPr>
      <w:keepNext/>
      <w:keepLines/>
      <w:spacing w:before="280" w:after="290" w:line="376" w:lineRule="auto"/>
      <w:outlineLvl w:val="3"/>
    </w:pPr>
    <w:rPr>
      <w:rFonts w:ascii="Cambria" w:hAnsi="Cambria"/>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6">
    <w:name w:val="table of authorities"/>
    <w:basedOn w:val="1"/>
    <w:next w:val="1"/>
    <w:qFormat/>
    <w:locked/>
    <w:uiPriority w:val="0"/>
    <w:pPr>
      <w:ind w:left="420" w:leftChars="200"/>
    </w:pPr>
  </w:style>
  <w:style w:type="paragraph" w:styleId="7">
    <w:name w:val="Normal Indent"/>
    <w:basedOn w:val="1"/>
    <w:next w:val="8"/>
    <w:link w:val="62"/>
    <w:qFormat/>
    <w:locked/>
    <w:uiPriority w:val="0"/>
    <w:pPr>
      <w:spacing w:line="360" w:lineRule="auto"/>
      <w:ind w:firstLine="420"/>
    </w:pPr>
    <w:rPr>
      <w:rFonts w:ascii="仿宋_GB2312" w:hAnsi="Arial Black" w:eastAsia="仿宋_GB2312"/>
      <w:sz w:val="28"/>
      <w:szCs w:val="20"/>
      <w:lang w:val="zh-CN" w:eastAsia="zh-CN"/>
    </w:rPr>
  </w:style>
  <w:style w:type="paragraph" w:styleId="8">
    <w:name w:val="Body Text First Indent 2"/>
    <w:basedOn w:val="9"/>
    <w:next w:val="1"/>
    <w:link w:val="61"/>
    <w:qFormat/>
    <w:locked/>
    <w:uiPriority w:val="0"/>
    <w:pPr>
      <w:ind w:firstLine="420" w:firstLineChars="200"/>
    </w:pPr>
    <w:rPr>
      <w:kern w:val="2"/>
      <w:sz w:val="21"/>
      <w:szCs w:val="24"/>
    </w:rPr>
  </w:style>
  <w:style w:type="paragraph" w:styleId="9">
    <w:name w:val="Body Text Indent"/>
    <w:basedOn w:val="1"/>
    <w:next w:val="10"/>
    <w:link w:val="48"/>
    <w:qFormat/>
    <w:uiPriority w:val="0"/>
    <w:pPr>
      <w:spacing w:after="120"/>
      <w:ind w:left="420" w:leftChars="200"/>
    </w:pPr>
    <w:rPr>
      <w:kern w:val="0"/>
      <w:sz w:val="24"/>
      <w:szCs w:val="20"/>
    </w:rPr>
  </w:style>
  <w:style w:type="paragraph" w:styleId="10">
    <w:name w:val="Body Text Indent 2"/>
    <w:basedOn w:val="1"/>
    <w:next w:val="8"/>
    <w:qFormat/>
    <w:locked/>
    <w:uiPriority w:val="0"/>
    <w:pPr>
      <w:spacing w:after="120" w:line="480" w:lineRule="auto"/>
      <w:ind w:left="420" w:leftChars="200"/>
    </w:pPr>
  </w:style>
  <w:style w:type="paragraph" w:styleId="11">
    <w:name w:val="annotation text"/>
    <w:basedOn w:val="1"/>
    <w:link w:val="42"/>
    <w:qFormat/>
    <w:uiPriority w:val="0"/>
    <w:pPr>
      <w:jc w:val="left"/>
    </w:pPr>
    <w:rPr>
      <w:kern w:val="0"/>
      <w:sz w:val="24"/>
      <w:szCs w:val="20"/>
    </w:rPr>
  </w:style>
  <w:style w:type="paragraph" w:styleId="12">
    <w:name w:val="Body Text"/>
    <w:basedOn w:val="1"/>
    <w:next w:val="13"/>
    <w:link w:val="41"/>
    <w:qFormat/>
    <w:uiPriority w:val="0"/>
    <w:pPr>
      <w:widowControl/>
      <w:snapToGrid w:val="0"/>
      <w:spacing w:before="60" w:after="160" w:line="259" w:lineRule="auto"/>
      <w:ind w:right="113"/>
    </w:pPr>
    <w:rPr>
      <w:kern w:val="0"/>
      <w:sz w:val="18"/>
      <w:szCs w:val="20"/>
    </w:rPr>
  </w:style>
  <w:style w:type="paragraph" w:customStyle="1" w:styleId="13">
    <w:name w:val="xl27"/>
    <w:basedOn w:val="1"/>
    <w:next w:val="14"/>
    <w:qFormat/>
    <w:uiPriority w:val="0"/>
    <w:pPr>
      <w:widowControl/>
      <w:spacing w:before="100" w:beforeAutospacing="1" w:after="100" w:afterAutospacing="1" w:line="360" w:lineRule="auto"/>
      <w:ind w:firstLine="465"/>
      <w:jc w:val="center"/>
      <w:textAlignment w:val="center"/>
    </w:pPr>
    <w:rPr>
      <w:rFonts w:ascii="宋体" w:hAnsi="宋体" w:eastAsia="Arial Unicode MS" w:cs="宋体"/>
      <w:b/>
      <w:kern w:val="0"/>
      <w:sz w:val="24"/>
      <w:szCs w:val="20"/>
    </w:rPr>
  </w:style>
  <w:style w:type="paragraph" w:customStyle="1" w:styleId="14">
    <w:name w:val="A正文"/>
    <w:basedOn w:val="1"/>
    <w:qFormat/>
    <w:uiPriority w:val="0"/>
    <w:pPr>
      <w:adjustRightInd w:val="0"/>
      <w:snapToGrid w:val="0"/>
      <w:spacing w:line="360" w:lineRule="auto"/>
      <w:ind w:firstLine="480" w:firstLineChars="200"/>
    </w:pPr>
    <w:rPr>
      <w:rFonts w:eastAsia="Times New Roman"/>
      <w:kern w:val="0"/>
      <w:sz w:val="24"/>
    </w:rPr>
  </w:style>
  <w:style w:type="paragraph" w:styleId="15">
    <w:name w:val="Date"/>
    <w:basedOn w:val="1"/>
    <w:next w:val="1"/>
    <w:link w:val="37"/>
    <w:qFormat/>
    <w:uiPriority w:val="0"/>
    <w:pPr>
      <w:ind w:left="100" w:leftChars="2500"/>
    </w:pPr>
    <w:rPr>
      <w:kern w:val="0"/>
      <w:sz w:val="24"/>
      <w:szCs w:val="20"/>
    </w:rPr>
  </w:style>
  <w:style w:type="paragraph" w:styleId="16">
    <w:name w:val="Balloon Text"/>
    <w:basedOn w:val="1"/>
    <w:link w:val="44"/>
    <w:semiHidden/>
    <w:qFormat/>
    <w:uiPriority w:val="0"/>
    <w:rPr>
      <w:kern w:val="0"/>
      <w:sz w:val="18"/>
      <w:szCs w:val="20"/>
    </w:rPr>
  </w:style>
  <w:style w:type="paragraph" w:styleId="17">
    <w:name w:val="footer"/>
    <w:basedOn w:val="1"/>
    <w:link w:val="36"/>
    <w:qFormat/>
    <w:uiPriority w:val="99"/>
    <w:pPr>
      <w:tabs>
        <w:tab w:val="center" w:pos="4153"/>
        <w:tab w:val="right" w:pos="8306"/>
      </w:tabs>
      <w:snapToGrid w:val="0"/>
      <w:jc w:val="left"/>
    </w:pPr>
    <w:rPr>
      <w:kern w:val="0"/>
      <w:sz w:val="18"/>
      <w:szCs w:val="20"/>
    </w:rPr>
  </w:style>
  <w:style w:type="paragraph" w:styleId="18">
    <w:name w:val="header"/>
    <w:basedOn w:val="1"/>
    <w:link w:val="46"/>
    <w:qFormat/>
    <w:uiPriority w:val="99"/>
    <w:pPr>
      <w:pBdr>
        <w:bottom w:val="single" w:color="auto" w:sz="6" w:space="1"/>
      </w:pBdr>
      <w:tabs>
        <w:tab w:val="center" w:pos="4153"/>
        <w:tab w:val="right" w:pos="8306"/>
      </w:tabs>
      <w:snapToGrid w:val="0"/>
      <w:jc w:val="center"/>
    </w:pPr>
    <w:rPr>
      <w:kern w:val="0"/>
      <w:sz w:val="18"/>
      <w:szCs w:val="20"/>
    </w:rPr>
  </w:style>
  <w:style w:type="paragraph" w:styleId="19">
    <w:name w:val="toc 9"/>
    <w:basedOn w:val="1"/>
    <w:next w:val="1"/>
    <w:qFormat/>
    <w:locked/>
    <w:uiPriority w:val="0"/>
    <w:pPr>
      <w:wordWrap w:val="0"/>
      <w:spacing w:line="240" w:lineRule="auto"/>
      <w:ind w:left="2975"/>
    </w:pPr>
    <w:rPr>
      <w:rFonts w:cs="Times New Roman"/>
      <w:sz w:val="21"/>
      <w:szCs w:val="22"/>
    </w:rPr>
  </w:style>
  <w:style w:type="paragraph" w:styleId="20">
    <w:name w:val="Normal (Web)"/>
    <w:basedOn w:val="1"/>
    <w:link w:val="39"/>
    <w:qFormat/>
    <w:uiPriority w:val="0"/>
    <w:pPr>
      <w:widowControl/>
      <w:spacing w:before="100" w:beforeAutospacing="1" w:after="100" w:afterAutospacing="1"/>
      <w:jc w:val="left"/>
    </w:pPr>
    <w:rPr>
      <w:rFonts w:ascii="宋体" w:hAnsi="宋体"/>
      <w:kern w:val="0"/>
      <w:sz w:val="24"/>
      <w:szCs w:val="20"/>
    </w:rPr>
  </w:style>
  <w:style w:type="paragraph" w:styleId="21">
    <w:name w:val="annotation subject"/>
    <w:basedOn w:val="11"/>
    <w:next w:val="11"/>
    <w:link w:val="45"/>
    <w:semiHidden/>
    <w:qFormat/>
    <w:uiPriority w:val="0"/>
    <w:rPr>
      <w:b/>
    </w:rPr>
  </w:style>
  <w:style w:type="paragraph" w:styleId="22">
    <w:name w:val="Body Text First Indent"/>
    <w:basedOn w:val="12"/>
    <w:next w:val="1"/>
    <w:qFormat/>
    <w:locked/>
    <w:uiPriority w:val="0"/>
    <w:pPr>
      <w:overflowPunct w:val="0"/>
      <w:autoSpaceDE w:val="0"/>
      <w:autoSpaceDN w:val="0"/>
      <w:spacing w:line="0" w:lineRule="atLeast"/>
      <w:ind w:firstLine="578"/>
    </w:pPr>
    <w:rPr>
      <w:sz w:val="28"/>
    </w:rPr>
  </w:style>
  <w:style w:type="table" w:styleId="24">
    <w:name w:val="Table Grid"/>
    <w:basedOn w:val="2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basedOn w:val="25"/>
    <w:qFormat/>
    <w:locked/>
    <w:uiPriority w:val="0"/>
  </w:style>
  <w:style w:type="character" w:styleId="27">
    <w:name w:val="FollowedHyperlink"/>
    <w:basedOn w:val="25"/>
    <w:unhideWhenUsed/>
    <w:qFormat/>
    <w:locked/>
    <w:uiPriority w:val="99"/>
    <w:rPr>
      <w:color w:val="954F72"/>
      <w:u w:val="single"/>
    </w:rPr>
  </w:style>
  <w:style w:type="character" w:styleId="28">
    <w:name w:val="Emphasis"/>
    <w:qFormat/>
    <w:locked/>
    <w:uiPriority w:val="20"/>
    <w:rPr>
      <w:i/>
      <w:iCs/>
    </w:rPr>
  </w:style>
  <w:style w:type="character" w:styleId="29">
    <w:name w:val="Hyperlink"/>
    <w:qFormat/>
    <w:locked/>
    <w:uiPriority w:val="99"/>
    <w:rPr>
      <w:rFonts w:ascii="Times New Roman" w:hAnsi="Times New Roman" w:eastAsia="宋体" w:cs="Times New Roman"/>
      <w:color w:val="000000"/>
      <w:u w:val="none"/>
    </w:rPr>
  </w:style>
  <w:style w:type="character" w:styleId="30">
    <w:name w:val="annotation reference"/>
    <w:qFormat/>
    <w:uiPriority w:val="0"/>
    <w:rPr>
      <w:sz w:val="21"/>
    </w:rPr>
  </w:style>
  <w:style w:type="paragraph" w:customStyle="1" w:styleId="31">
    <w:name w:val="正文文字 5"/>
    <w:basedOn w:val="1"/>
    <w:next w:val="1"/>
    <w:qFormat/>
    <w:uiPriority w:val="99"/>
    <w:pPr>
      <w:spacing w:line="360" w:lineRule="auto"/>
      <w:ind w:firstLine="200" w:firstLineChars="200"/>
      <w:jc w:val="left"/>
    </w:pPr>
    <w:rPr>
      <w:rFonts w:eastAsia="仿宋_GB2312"/>
      <w:b/>
      <w:bCs/>
      <w:i/>
      <w:iCs/>
      <w:sz w:val="24"/>
    </w:rPr>
  </w:style>
  <w:style w:type="paragraph" w:customStyle="1" w:styleId="32">
    <w:name w:val="表格"/>
    <w:basedOn w:val="1"/>
    <w:next w:val="1"/>
    <w:link w:val="34"/>
    <w:qFormat/>
    <w:uiPriority w:val="0"/>
    <w:pPr>
      <w:adjustRightInd w:val="0"/>
      <w:snapToGrid w:val="0"/>
      <w:spacing w:beforeLines="10" w:afterLines="10" w:line="259" w:lineRule="auto"/>
      <w:jc w:val="center"/>
    </w:pPr>
    <w:rPr>
      <w:rFonts w:ascii="宋体"/>
      <w:kern w:val="0"/>
      <w:szCs w:val="20"/>
    </w:rPr>
  </w:style>
  <w:style w:type="paragraph" w:customStyle="1" w:styleId="33">
    <w:name w:val="表头"/>
    <w:basedOn w:val="1"/>
    <w:link w:val="71"/>
    <w:qFormat/>
    <w:uiPriority w:val="0"/>
    <w:pPr>
      <w:jc w:val="center"/>
    </w:pPr>
    <w:rPr>
      <w:rFonts w:ascii="黑体" w:hAnsi="黑体" w:eastAsia="黑体"/>
      <w:sz w:val="24"/>
      <w:szCs w:val="22"/>
    </w:rPr>
  </w:style>
  <w:style w:type="character" w:customStyle="1" w:styleId="34">
    <w:name w:val="表格 Char"/>
    <w:link w:val="32"/>
    <w:qFormat/>
    <w:locked/>
    <w:uiPriority w:val="0"/>
    <w:rPr>
      <w:rFonts w:ascii="宋体"/>
      <w:sz w:val="21"/>
    </w:rPr>
  </w:style>
  <w:style w:type="character" w:customStyle="1" w:styleId="35">
    <w:name w:val="标题 1 字符"/>
    <w:qFormat/>
    <w:uiPriority w:val="0"/>
    <w:rPr>
      <w:rFonts w:ascii="Times New Roman" w:hAnsi="Times New Roman" w:eastAsia="宋体" w:cs="Times New Roman"/>
      <w:b/>
      <w:sz w:val="36"/>
      <w:szCs w:val="32"/>
    </w:rPr>
  </w:style>
  <w:style w:type="character" w:customStyle="1" w:styleId="36">
    <w:name w:val="页脚 字符1"/>
    <w:link w:val="17"/>
    <w:qFormat/>
    <w:locked/>
    <w:uiPriority w:val="99"/>
    <w:rPr>
      <w:sz w:val="18"/>
    </w:rPr>
  </w:style>
  <w:style w:type="character" w:customStyle="1" w:styleId="37">
    <w:name w:val="日期 字符1"/>
    <w:link w:val="15"/>
    <w:qFormat/>
    <w:locked/>
    <w:uiPriority w:val="0"/>
    <w:rPr>
      <w:rFonts w:ascii="Times New Roman" w:hAnsi="Times New Roman" w:eastAsia="宋体"/>
      <w:sz w:val="24"/>
    </w:rPr>
  </w:style>
  <w:style w:type="character" w:customStyle="1" w:styleId="38">
    <w:name w:val="页脚 字符"/>
    <w:basedOn w:val="25"/>
    <w:qFormat/>
    <w:uiPriority w:val="99"/>
  </w:style>
  <w:style w:type="character" w:customStyle="1" w:styleId="39">
    <w:name w:val="普通(网站) 字符"/>
    <w:link w:val="20"/>
    <w:qFormat/>
    <w:locked/>
    <w:uiPriority w:val="0"/>
    <w:rPr>
      <w:rFonts w:ascii="宋体" w:hAnsi="宋体" w:eastAsia="宋体"/>
      <w:sz w:val="24"/>
    </w:rPr>
  </w:style>
  <w:style w:type="character" w:customStyle="1" w:styleId="40">
    <w:name w:val="正文文本 字符1"/>
    <w:semiHidden/>
    <w:qFormat/>
    <w:uiPriority w:val="0"/>
    <w:rPr>
      <w:rFonts w:ascii="Times New Roman" w:hAnsi="Times New Roman" w:eastAsia="宋体"/>
      <w:sz w:val="24"/>
    </w:rPr>
  </w:style>
  <w:style w:type="character" w:customStyle="1" w:styleId="41">
    <w:name w:val="正文文本 字符"/>
    <w:link w:val="12"/>
    <w:qFormat/>
    <w:locked/>
    <w:uiPriority w:val="0"/>
    <w:rPr>
      <w:sz w:val="18"/>
    </w:rPr>
  </w:style>
  <w:style w:type="character" w:customStyle="1" w:styleId="42">
    <w:name w:val="批注文字 字符"/>
    <w:link w:val="11"/>
    <w:qFormat/>
    <w:locked/>
    <w:uiPriority w:val="0"/>
    <w:rPr>
      <w:rFonts w:ascii="Times New Roman" w:hAnsi="Times New Roman" w:eastAsia="宋体"/>
      <w:sz w:val="24"/>
    </w:rPr>
  </w:style>
  <w:style w:type="character" w:customStyle="1" w:styleId="43">
    <w:name w:val="日期 字符"/>
    <w:semiHidden/>
    <w:qFormat/>
    <w:uiPriority w:val="0"/>
    <w:rPr>
      <w:rFonts w:ascii="Times New Roman" w:hAnsi="Times New Roman" w:eastAsia="宋体"/>
      <w:sz w:val="24"/>
    </w:rPr>
  </w:style>
  <w:style w:type="character" w:customStyle="1" w:styleId="44">
    <w:name w:val="批注框文本 字符"/>
    <w:link w:val="16"/>
    <w:semiHidden/>
    <w:qFormat/>
    <w:locked/>
    <w:uiPriority w:val="0"/>
    <w:rPr>
      <w:rFonts w:ascii="Times New Roman" w:hAnsi="Times New Roman" w:eastAsia="宋体"/>
      <w:sz w:val="18"/>
    </w:rPr>
  </w:style>
  <w:style w:type="character" w:customStyle="1" w:styleId="45">
    <w:name w:val="批注主题 字符"/>
    <w:link w:val="21"/>
    <w:semiHidden/>
    <w:qFormat/>
    <w:locked/>
    <w:uiPriority w:val="0"/>
    <w:rPr>
      <w:rFonts w:ascii="Times New Roman" w:hAnsi="Times New Roman" w:eastAsia="宋体"/>
      <w:b/>
      <w:kern w:val="2"/>
      <w:sz w:val="24"/>
    </w:rPr>
  </w:style>
  <w:style w:type="character" w:customStyle="1" w:styleId="46">
    <w:name w:val="页眉 字符"/>
    <w:link w:val="18"/>
    <w:qFormat/>
    <w:locked/>
    <w:uiPriority w:val="99"/>
    <w:rPr>
      <w:sz w:val="18"/>
    </w:rPr>
  </w:style>
  <w:style w:type="character" w:customStyle="1" w:styleId="47">
    <w:name w:val="批注文字 字符1"/>
    <w:semiHidden/>
    <w:qFormat/>
    <w:uiPriority w:val="0"/>
    <w:rPr>
      <w:rFonts w:ascii="Times New Roman" w:hAnsi="Times New Roman" w:eastAsia="宋体"/>
      <w:sz w:val="24"/>
    </w:rPr>
  </w:style>
  <w:style w:type="character" w:customStyle="1" w:styleId="48">
    <w:name w:val="正文文本缩进 字符"/>
    <w:link w:val="9"/>
    <w:semiHidden/>
    <w:qFormat/>
    <w:locked/>
    <w:uiPriority w:val="0"/>
    <w:rPr>
      <w:rFonts w:ascii="Times New Roman" w:hAnsi="Times New Roman" w:eastAsia="宋体"/>
      <w:sz w:val="24"/>
    </w:rPr>
  </w:style>
  <w:style w:type="paragraph" w:customStyle="1" w:styleId="49">
    <w:name w:val="正文_1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0">
    <w:name w:val="普通(网站)2"/>
    <w:basedOn w:val="1"/>
    <w:qFormat/>
    <w:uiPriority w:val="0"/>
    <w:pPr>
      <w:widowControl/>
      <w:spacing w:before="100" w:beforeAutospacing="1" w:after="100" w:afterAutospacing="1"/>
      <w:jc w:val="left"/>
    </w:pPr>
    <w:rPr>
      <w:rFonts w:ascii="宋体" w:hAnsi="宋体"/>
      <w:sz w:val="24"/>
      <w:szCs w:val="20"/>
    </w:rPr>
  </w:style>
  <w:style w:type="paragraph" w:customStyle="1" w:styleId="51">
    <w:name w:val="正文zl"/>
    <w:basedOn w:val="1"/>
    <w:link w:val="53"/>
    <w:qFormat/>
    <w:uiPriority w:val="0"/>
    <w:pPr>
      <w:adjustRightInd w:val="0"/>
      <w:snapToGrid w:val="0"/>
      <w:spacing w:line="360" w:lineRule="auto"/>
      <w:ind w:firstLine="200" w:firstLineChars="200"/>
    </w:pPr>
    <w:rPr>
      <w:kern w:val="0"/>
      <w:sz w:val="24"/>
    </w:rPr>
  </w:style>
  <w:style w:type="paragraph" w:customStyle="1" w:styleId="52">
    <w:name w:val="表标题-zl"/>
    <w:basedOn w:val="51"/>
    <w:link w:val="55"/>
    <w:qFormat/>
    <w:uiPriority w:val="0"/>
    <w:pPr>
      <w:spacing w:before="120" w:beforeLines="50" w:line="240" w:lineRule="auto"/>
      <w:ind w:firstLine="0" w:firstLineChars="0"/>
      <w:jc w:val="center"/>
    </w:pPr>
    <w:rPr>
      <w:b/>
      <w:bCs/>
      <w:sz w:val="21"/>
      <w:szCs w:val="21"/>
    </w:rPr>
  </w:style>
  <w:style w:type="character" w:customStyle="1" w:styleId="53">
    <w:name w:val="正文zl 字符"/>
    <w:link w:val="51"/>
    <w:qFormat/>
    <w:uiPriority w:val="0"/>
    <w:rPr>
      <w:sz w:val="24"/>
      <w:szCs w:val="24"/>
    </w:rPr>
  </w:style>
  <w:style w:type="table" w:customStyle="1" w:styleId="54">
    <w:name w:val="Table Normal"/>
    <w:semiHidden/>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55">
    <w:name w:val="表标题-zl 字符"/>
    <w:link w:val="52"/>
    <w:qFormat/>
    <w:uiPriority w:val="0"/>
    <w:rPr>
      <w:b/>
      <w:bCs/>
      <w:sz w:val="21"/>
      <w:szCs w:val="21"/>
    </w:rPr>
  </w:style>
  <w:style w:type="paragraph" w:customStyle="1" w:styleId="56">
    <w:name w:val="Table Paragraph"/>
    <w:basedOn w:val="1"/>
    <w:qFormat/>
    <w:uiPriority w:val="1"/>
    <w:pPr>
      <w:autoSpaceDE w:val="0"/>
      <w:autoSpaceDN w:val="0"/>
      <w:jc w:val="center"/>
    </w:pPr>
    <w:rPr>
      <w:rFonts w:ascii="宋体" w:hAnsi="宋体" w:cs="宋体"/>
      <w:kern w:val="0"/>
      <w:sz w:val="22"/>
      <w:szCs w:val="22"/>
      <w:lang w:eastAsia="en-US"/>
    </w:rPr>
  </w:style>
  <w:style w:type="paragraph" w:customStyle="1" w:styleId="57">
    <w:name w:val="图标题zl"/>
    <w:basedOn w:val="51"/>
    <w:link w:val="58"/>
    <w:qFormat/>
    <w:uiPriority w:val="0"/>
    <w:pPr>
      <w:spacing w:after="120" w:afterLines="50"/>
      <w:ind w:firstLine="0" w:firstLineChars="0"/>
      <w:jc w:val="center"/>
    </w:pPr>
    <w:rPr>
      <w:b/>
      <w:bCs/>
      <w:sz w:val="21"/>
      <w:szCs w:val="21"/>
    </w:rPr>
  </w:style>
  <w:style w:type="character" w:customStyle="1" w:styleId="58">
    <w:name w:val="图标题zl 字符"/>
    <w:link w:val="57"/>
    <w:qFormat/>
    <w:uiPriority w:val="0"/>
    <w:rPr>
      <w:b/>
      <w:bCs/>
      <w:sz w:val="21"/>
      <w:szCs w:val="21"/>
    </w:rPr>
  </w:style>
  <w:style w:type="paragraph" w:customStyle="1" w:styleId="59">
    <w:name w:val="正文文本，表格"/>
    <w:basedOn w:val="1"/>
    <w:link w:val="60"/>
    <w:qFormat/>
    <w:uiPriority w:val="0"/>
    <w:pPr>
      <w:jc w:val="center"/>
    </w:pPr>
    <w:rPr>
      <w:szCs w:val="21"/>
      <w:lang w:val="zh-CN" w:eastAsia="zh-CN"/>
    </w:rPr>
  </w:style>
  <w:style w:type="character" w:customStyle="1" w:styleId="60">
    <w:name w:val="正文文本，表格 Char"/>
    <w:link w:val="59"/>
    <w:qFormat/>
    <w:uiPriority w:val="0"/>
    <w:rPr>
      <w:kern w:val="2"/>
      <w:sz w:val="21"/>
      <w:szCs w:val="21"/>
      <w:lang w:val="zh-CN" w:eastAsia="zh-CN"/>
    </w:rPr>
  </w:style>
  <w:style w:type="character" w:customStyle="1" w:styleId="61">
    <w:name w:val="正文文本首行缩进 2 字符"/>
    <w:link w:val="8"/>
    <w:qFormat/>
    <w:uiPriority w:val="0"/>
    <w:rPr>
      <w:rFonts w:ascii="Times New Roman" w:hAnsi="Times New Roman" w:eastAsia="宋体"/>
      <w:kern w:val="2"/>
      <w:sz w:val="21"/>
      <w:szCs w:val="24"/>
    </w:rPr>
  </w:style>
  <w:style w:type="character" w:customStyle="1" w:styleId="62">
    <w:name w:val="正文缩进 字符"/>
    <w:link w:val="7"/>
    <w:qFormat/>
    <w:uiPriority w:val="0"/>
    <w:rPr>
      <w:rFonts w:ascii="仿宋_GB2312" w:hAnsi="Arial Black" w:eastAsia="仿宋_GB2312"/>
      <w:kern w:val="2"/>
      <w:sz w:val="28"/>
      <w:lang w:val="zh-CN" w:eastAsia="zh-CN"/>
    </w:rPr>
  </w:style>
  <w:style w:type="paragraph" w:customStyle="1" w:styleId="63">
    <w:name w:val="表体"/>
    <w:basedOn w:val="1"/>
    <w:qFormat/>
    <w:uiPriority w:val="0"/>
    <w:pPr>
      <w:widowControl/>
      <w:adjustRightInd w:val="0"/>
      <w:snapToGrid w:val="0"/>
      <w:jc w:val="center"/>
    </w:pPr>
    <w:rPr>
      <w:rFonts w:ascii="宋体"/>
      <w:color w:val="000080"/>
      <w:szCs w:val="21"/>
    </w:rPr>
  </w:style>
  <w:style w:type="paragraph" w:customStyle="1" w:styleId="64">
    <w:name w:val="表名"/>
    <w:basedOn w:val="1"/>
    <w:autoRedefine/>
    <w:qFormat/>
    <w:uiPriority w:val="0"/>
    <w:pPr>
      <w:jc w:val="center"/>
    </w:pPr>
    <w:rPr>
      <w:szCs w:val="21"/>
    </w:rPr>
  </w:style>
  <w:style w:type="paragraph" w:customStyle="1" w:styleId="65">
    <w:name w:val="Default"/>
    <w:basedOn w:val="66"/>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6">
    <w:name w:val="标题2"/>
    <w:basedOn w:val="3"/>
    <w:next w:val="1"/>
    <w:qFormat/>
    <w:uiPriority w:val="99"/>
    <w:pPr>
      <w:spacing w:line="440" w:lineRule="exact"/>
    </w:pPr>
  </w:style>
  <w:style w:type="paragraph" w:customStyle="1" w:styleId="67">
    <w:name w:val="表格 内普通文字"/>
    <w:basedOn w:val="1"/>
    <w:qFormat/>
    <w:uiPriority w:val="0"/>
    <w:pPr>
      <w:jc w:val="center"/>
    </w:pPr>
    <w:rPr>
      <w:rFonts w:eastAsia="仿宋_GB2312"/>
      <w:szCs w:val="21"/>
    </w:rPr>
  </w:style>
  <w:style w:type="paragraph" w:customStyle="1" w:styleId="68">
    <w:name w:val="正文-zl"/>
    <w:basedOn w:val="1"/>
    <w:link w:val="69"/>
    <w:qFormat/>
    <w:uiPriority w:val="0"/>
    <w:pPr>
      <w:overflowPunct w:val="0"/>
      <w:adjustRightInd w:val="0"/>
      <w:snapToGrid w:val="0"/>
      <w:spacing w:line="360" w:lineRule="auto"/>
      <w:ind w:firstLine="480" w:firstLineChars="200"/>
    </w:pPr>
    <w:rPr>
      <w:bCs/>
      <w:color w:val="000000"/>
      <w:sz w:val="24"/>
      <w:lang w:val="zh-CN"/>
    </w:rPr>
  </w:style>
  <w:style w:type="character" w:customStyle="1" w:styleId="69">
    <w:name w:val="正文-zl 字符"/>
    <w:link w:val="68"/>
    <w:qFormat/>
    <w:uiPriority w:val="0"/>
    <w:rPr>
      <w:bCs/>
      <w:color w:val="000000"/>
      <w:kern w:val="2"/>
      <w:sz w:val="24"/>
      <w:szCs w:val="24"/>
      <w:lang w:val="zh-CN"/>
    </w:rPr>
  </w:style>
  <w:style w:type="paragraph" w:customStyle="1" w:styleId="70">
    <w:name w:val="列出段落1"/>
    <w:basedOn w:val="1"/>
    <w:qFormat/>
    <w:uiPriority w:val="34"/>
    <w:pPr>
      <w:ind w:firstLine="420" w:firstLineChars="200"/>
    </w:pPr>
    <w:rPr>
      <w:rFonts w:ascii="Calibri" w:hAnsi="Calibri"/>
      <w:szCs w:val="22"/>
    </w:rPr>
  </w:style>
  <w:style w:type="character" w:customStyle="1" w:styleId="71">
    <w:name w:val="表头 Char"/>
    <w:link w:val="33"/>
    <w:qFormat/>
    <w:uiPriority w:val="0"/>
    <w:rPr>
      <w:rFonts w:ascii="黑体" w:hAnsi="黑体" w:eastAsia="黑体"/>
      <w:kern w:val="2"/>
      <w:sz w:val="24"/>
      <w:szCs w:val="22"/>
    </w:rPr>
  </w:style>
  <w:style w:type="character" w:customStyle="1" w:styleId="72">
    <w:name w:val="批注文字 Char"/>
    <w:qFormat/>
    <w:uiPriority w:val="0"/>
    <w:rPr>
      <w:rFonts w:ascii="Times New Roman" w:hAnsi="Times New Roman" w:eastAsia="宋体" w:cs="Times New Roman"/>
      <w:kern w:val="2"/>
      <w:sz w:val="28"/>
    </w:rPr>
  </w:style>
  <w:style w:type="character" w:customStyle="1" w:styleId="73">
    <w:name w:val="样式一"/>
    <w:qFormat/>
    <w:uiPriority w:val="0"/>
    <w:rPr>
      <w:rFonts w:ascii="Times New Roman" w:hAnsi="Times New Roman" w:eastAsia="宋体" w:cs="Times New Roman"/>
      <w:b/>
      <w:sz w:val="32"/>
    </w:rPr>
  </w:style>
  <w:style w:type="paragraph" w:customStyle="1" w:styleId="74">
    <w:name w:val="+正文"/>
    <w:basedOn w:val="1"/>
    <w:link w:val="75"/>
    <w:qFormat/>
    <w:uiPriority w:val="0"/>
    <w:pPr>
      <w:spacing w:line="360" w:lineRule="auto"/>
      <w:ind w:firstLine="480" w:firstLineChars="200"/>
    </w:pPr>
    <w:rPr>
      <w:bCs/>
      <w:sz w:val="24"/>
      <w:szCs w:val="21"/>
    </w:rPr>
  </w:style>
  <w:style w:type="character" w:customStyle="1" w:styleId="75">
    <w:name w:val="+正文 Char"/>
    <w:link w:val="74"/>
    <w:qFormat/>
    <w:locked/>
    <w:uiPriority w:val="0"/>
    <w:rPr>
      <w:bCs/>
      <w:kern w:val="2"/>
      <w:sz w:val="24"/>
      <w:szCs w:val="21"/>
    </w:rPr>
  </w:style>
  <w:style w:type="paragraph" w:customStyle="1" w:styleId="76">
    <w:name w:val="D图表内容"/>
    <w:basedOn w:val="1"/>
    <w:next w:val="1"/>
    <w:qFormat/>
    <w:uiPriority w:val="0"/>
    <w:pPr>
      <w:widowControl/>
      <w:jc w:val="center"/>
    </w:pPr>
    <w:rPr>
      <w:rFonts w:cs="宋体"/>
      <w:szCs w:val="18"/>
    </w:rPr>
  </w:style>
  <w:style w:type="paragraph" w:customStyle="1" w:styleId="77">
    <w:name w:val="居中-zl"/>
    <w:basedOn w:val="51"/>
    <w:link w:val="78"/>
    <w:qFormat/>
    <w:uiPriority w:val="0"/>
    <w:pPr>
      <w:ind w:firstLine="0" w:firstLineChars="0"/>
      <w:jc w:val="center"/>
    </w:pPr>
  </w:style>
  <w:style w:type="character" w:customStyle="1" w:styleId="78">
    <w:name w:val="居中-zl 字符"/>
    <w:link w:val="77"/>
    <w:qFormat/>
    <w:uiPriority w:val="0"/>
    <w:rPr>
      <w:sz w:val="24"/>
      <w:szCs w:val="24"/>
    </w:rPr>
  </w:style>
  <w:style w:type="paragraph" w:customStyle="1" w:styleId="79">
    <w:name w:val="加粗+段前0.5"/>
    <w:basedOn w:val="51"/>
    <w:link w:val="80"/>
    <w:qFormat/>
    <w:uiPriority w:val="0"/>
    <w:pPr>
      <w:spacing w:before="120" w:beforeLines="50"/>
      <w:ind w:firstLine="482"/>
    </w:pPr>
    <w:rPr>
      <w:b/>
      <w:bCs/>
    </w:rPr>
  </w:style>
  <w:style w:type="character" w:customStyle="1" w:styleId="80">
    <w:name w:val="加粗+段前0.5 字符"/>
    <w:link w:val="79"/>
    <w:qFormat/>
    <w:uiPriority w:val="0"/>
    <w:rPr>
      <w:b/>
      <w:bCs/>
      <w:sz w:val="24"/>
      <w:szCs w:val="24"/>
    </w:rPr>
  </w:style>
  <w:style w:type="paragraph" w:customStyle="1" w:styleId="81">
    <w:name w:val="段前0.5"/>
    <w:basedOn w:val="79"/>
    <w:link w:val="82"/>
    <w:qFormat/>
    <w:uiPriority w:val="0"/>
    <w:pPr>
      <w:ind w:firstLine="480"/>
    </w:pPr>
    <w:rPr>
      <w:b w:val="0"/>
      <w:bCs w:val="0"/>
    </w:rPr>
  </w:style>
  <w:style w:type="character" w:customStyle="1" w:styleId="82">
    <w:name w:val="段前0.5 字符"/>
    <w:link w:val="81"/>
    <w:qFormat/>
    <w:uiPriority w:val="0"/>
    <w:rPr>
      <w:sz w:val="24"/>
      <w:szCs w:val="24"/>
    </w:rPr>
  </w:style>
  <w:style w:type="paragraph" w:customStyle="1" w:styleId="83">
    <w:name w:val="表内-zl"/>
    <w:basedOn w:val="1"/>
    <w:link w:val="84"/>
    <w:qFormat/>
    <w:uiPriority w:val="0"/>
    <w:pPr>
      <w:widowControl/>
      <w:jc w:val="center"/>
    </w:pPr>
    <w:rPr>
      <w:color w:val="000000"/>
      <w:kern w:val="0"/>
      <w:sz w:val="18"/>
      <w:szCs w:val="18"/>
    </w:rPr>
  </w:style>
  <w:style w:type="character" w:customStyle="1" w:styleId="84">
    <w:name w:val="表内-zl 字符"/>
    <w:link w:val="83"/>
    <w:qFormat/>
    <w:uiPriority w:val="0"/>
    <w:rPr>
      <w:color w:val="000000"/>
      <w:sz w:val="18"/>
      <w:szCs w:val="18"/>
    </w:rPr>
  </w:style>
  <w:style w:type="paragraph" w:customStyle="1" w:styleId="85">
    <w:name w:val="表内zl"/>
    <w:basedOn w:val="1"/>
    <w:link w:val="86"/>
    <w:qFormat/>
    <w:uiPriority w:val="0"/>
    <w:pPr>
      <w:adjustRightInd w:val="0"/>
      <w:snapToGrid w:val="0"/>
      <w:jc w:val="center"/>
    </w:pPr>
    <w:rPr>
      <w:szCs w:val="21"/>
    </w:rPr>
  </w:style>
  <w:style w:type="character" w:customStyle="1" w:styleId="86">
    <w:name w:val="表内zl 字符"/>
    <w:link w:val="85"/>
    <w:qFormat/>
    <w:uiPriority w:val="0"/>
    <w:rPr>
      <w:kern w:val="2"/>
      <w:sz w:val="21"/>
      <w:szCs w:val="21"/>
    </w:rPr>
  </w:style>
  <w:style w:type="paragraph" w:customStyle="1" w:styleId="87">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88">
    <w:name w:val="font5"/>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89">
    <w:name w:val="font6"/>
    <w:basedOn w:val="1"/>
    <w:qFormat/>
    <w:uiPriority w:val="0"/>
    <w:pPr>
      <w:widowControl/>
      <w:spacing w:before="100" w:beforeAutospacing="1" w:after="100" w:afterAutospacing="1"/>
      <w:jc w:val="left"/>
    </w:pPr>
    <w:rPr>
      <w:b/>
      <w:bCs/>
      <w:color w:val="000000"/>
      <w:kern w:val="0"/>
      <w:sz w:val="24"/>
    </w:rPr>
  </w:style>
  <w:style w:type="paragraph" w:customStyle="1" w:styleId="90">
    <w:name w:val="font7"/>
    <w:basedOn w:val="1"/>
    <w:qFormat/>
    <w:uiPriority w:val="0"/>
    <w:pPr>
      <w:widowControl/>
      <w:spacing w:before="100" w:beforeAutospacing="1" w:after="100" w:afterAutospacing="1"/>
      <w:jc w:val="left"/>
    </w:pPr>
    <w:rPr>
      <w:rFonts w:ascii="宋体" w:hAnsi="宋体" w:cs="宋体"/>
      <w:b/>
      <w:bCs/>
      <w:color w:val="000000"/>
      <w:kern w:val="0"/>
      <w:sz w:val="24"/>
    </w:rPr>
  </w:style>
  <w:style w:type="paragraph" w:customStyle="1" w:styleId="91">
    <w:name w:val="font8"/>
    <w:basedOn w:val="1"/>
    <w:qFormat/>
    <w:uiPriority w:val="0"/>
    <w:pPr>
      <w:widowControl/>
      <w:spacing w:before="100" w:beforeAutospacing="1" w:after="100" w:afterAutospacing="1"/>
      <w:jc w:val="left"/>
    </w:pPr>
    <w:rPr>
      <w:color w:val="000000"/>
      <w:kern w:val="0"/>
      <w:sz w:val="24"/>
    </w:rPr>
  </w:style>
  <w:style w:type="paragraph" w:customStyle="1" w:styleId="92">
    <w:name w:val="font9"/>
    <w:basedOn w:val="1"/>
    <w:qFormat/>
    <w:uiPriority w:val="0"/>
    <w:pPr>
      <w:widowControl/>
      <w:spacing w:before="100" w:beforeAutospacing="1" w:after="100" w:afterAutospacing="1"/>
      <w:jc w:val="left"/>
    </w:pPr>
    <w:rPr>
      <w:b/>
      <w:bCs/>
      <w:color w:val="000000"/>
      <w:kern w:val="0"/>
      <w:sz w:val="24"/>
    </w:rPr>
  </w:style>
  <w:style w:type="paragraph" w:customStyle="1" w:styleId="93">
    <w:name w:val="font10"/>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94">
    <w:name w:val="font11"/>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95">
    <w:name w:val="font12"/>
    <w:basedOn w:val="1"/>
    <w:qFormat/>
    <w:uiPriority w:val="0"/>
    <w:pPr>
      <w:widowControl/>
      <w:spacing w:before="100" w:beforeAutospacing="1" w:after="100" w:afterAutospacing="1"/>
      <w:jc w:val="left"/>
    </w:pPr>
    <w:rPr>
      <w:color w:val="0070C0"/>
      <w:kern w:val="0"/>
      <w:sz w:val="18"/>
      <w:szCs w:val="18"/>
    </w:rPr>
  </w:style>
  <w:style w:type="paragraph" w:customStyle="1" w:styleId="96">
    <w:name w:val="font13"/>
    <w:basedOn w:val="1"/>
    <w:qFormat/>
    <w:uiPriority w:val="0"/>
    <w:pPr>
      <w:widowControl/>
      <w:spacing w:before="100" w:beforeAutospacing="1" w:after="100" w:afterAutospacing="1"/>
      <w:jc w:val="left"/>
    </w:pPr>
    <w:rPr>
      <w:rFonts w:ascii="宋体" w:hAnsi="宋体" w:cs="宋体"/>
      <w:color w:val="0070C0"/>
      <w:kern w:val="0"/>
      <w:sz w:val="18"/>
      <w:szCs w:val="18"/>
    </w:rPr>
  </w:style>
  <w:style w:type="paragraph" w:customStyle="1" w:styleId="97">
    <w:name w:val="font14"/>
    <w:basedOn w:val="1"/>
    <w:qFormat/>
    <w:uiPriority w:val="0"/>
    <w:pPr>
      <w:widowControl/>
      <w:spacing w:before="100" w:beforeAutospacing="1" w:after="100" w:afterAutospacing="1"/>
      <w:jc w:val="left"/>
    </w:pPr>
    <w:rPr>
      <w:color w:val="0070C0"/>
      <w:kern w:val="0"/>
      <w:sz w:val="18"/>
      <w:szCs w:val="18"/>
    </w:rPr>
  </w:style>
  <w:style w:type="paragraph" w:customStyle="1" w:styleId="98">
    <w:name w:val="font15"/>
    <w:basedOn w:val="1"/>
    <w:qFormat/>
    <w:uiPriority w:val="0"/>
    <w:pPr>
      <w:widowControl/>
      <w:spacing w:before="100" w:beforeAutospacing="1" w:after="100" w:afterAutospacing="1"/>
      <w:jc w:val="left"/>
    </w:pPr>
    <w:rPr>
      <w:color w:val="000000"/>
      <w:kern w:val="0"/>
      <w:sz w:val="24"/>
    </w:rPr>
  </w:style>
  <w:style w:type="paragraph" w:customStyle="1" w:styleId="99">
    <w:name w:val="font16"/>
    <w:basedOn w:val="1"/>
    <w:qFormat/>
    <w:uiPriority w:val="0"/>
    <w:pPr>
      <w:widowControl/>
      <w:spacing w:before="100" w:beforeAutospacing="1" w:after="100" w:afterAutospacing="1"/>
      <w:jc w:val="left"/>
    </w:pPr>
    <w:rPr>
      <w:rFonts w:ascii="宋体" w:hAnsi="宋体" w:cs="宋体"/>
      <w:color w:val="0070C0"/>
      <w:kern w:val="0"/>
      <w:sz w:val="24"/>
    </w:rPr>
  </w:style>
  <w:style w:type="paragraph" w:customStyle="1" w:styleId="100">
    <w:name w:val="font17"/>
    <w:basedOn w:val="1"/>
    <w:qFormat/>
    <w:uiPriority w:val="0"/>
    <w:pPr>
      <w:widowControl/>
      <w:spacing w:before="100" w:beforeAutospacing="1" w:after="100" w:afterAutospacing="1"/>
      <w:jc w:val="left"/>
    </w:pPr>
    <w:rPr>
      <w:color w:val="0070C0"/>
      <w:kern w:val="0"/>
      <w:sz w:val="24"/>
    </w:rPr>
  </w:style>
  <w:style w:type="paragraph" w:customStyle="1" w:styleId="101">
    <w:name w:val="font18"/>
    <w:basedOn w:val="1"/>
    <w:qFormat/>
    <w:uiPriority w:val="0"/>
    <w:pPr>
      <w:widowControl/>
      <w:spacing w:before="100" w:beforeAutospacing="1" w:after="100" w:afterAutospacing="1"/>
      <w:jc w:val="left"/>
    </w:pPr>
    <w:rPr>
      <w:color w:val="0070C0"/>
      <w:kern w:val="0"/>
      <w:szCs w:val="21"/>
    </w:rPr>
  </w:style>
  <w:style w:type="paragraph" w:customStyle="1" w:styleId="102">
    <w:name w:val="font19"/>
    <w:basedOn w:val="1"/>
    <w:qFormat/>
    <w:uiPriority w:val="0"/>
    <w:pPr>
      <w:widowControl/>
      <w:spacing w:before="100" w:beforeAutospacing="1" w:after="100" w:afterAutospacing="1"/>
      <w:jc w:val="left"/>
    </w:pPr>
    <w:rPr>
      <w:rFonts w:ascii="宋体" w:hAnsi="宋体" w:cs="宋体"/>
      <w:color w:val="0070C0"/>
      <w:kern w:val="0"/>
      <w:szCs w:val="21"/>
    </w:rPr>
  </w:style>
  <w:style w:type="paragraph" w:customStyle="1" w:styleId="103">
    <w:name w:val="font20"/>
    <w:basedOn w:val="1"/>
    <w:qFormat/>
    <w:uiPriority w:val="0"/>
    <w:pPr>
      <w:widowControl/>
      <w:spacing w:before="100" w:beforeAutospacing="1" w:after="100" w:afterAutospacing="1"/>
      <w:jc w:val="left"/>
    </w:pPr>
    <w:rPr>
      <w:rFonts w:ascii="宋体" w:hAnsi="宋体" w:cs="宋体"/>
      <w:color w:val="0070C0"/>
      <w:kern w:val="0"/>
      <w:szCs w:val="21"/>
    </w:rPr>
  </w:style>
  <w:style w:type="paragraph" w:customStyle="1" w:styleId="104">
    <w:name w:val="font21"/>
    <w:basedOn w:val="1"/>
    <w:qFormat/>
    <w:uiPriority w:val="0"/>
    <w:pPr>
      <w:widowControl/>
      <w:spacing w:before="100" w:beforeAutospacing="1" w:after="100" w:afterAutospacing="1"/>
      <w:jc w:val="left"/>
    </w:pPr>
    <w:rPr>
      <w:kern w:val="0"/>
      <w:sz w:val="24"/>
    </w:rPr>
  </w:style>
  <w:style w:type="paragraph" w:customStyle="1" w:styleId="105">
    <w:name w:val="font22"/>
    <w:basedOn w:val="1"/>
    <w:qFormat/>
    <w:uiPriority w:val="0"/>
    <w:pPr>
      <w:widowControl/>
      <w:spacing w:before="100" w:beforeAutospacing="1" w:after="100" w:afterAutospacing="1"/>
      <w:jc w:val="left"/>
    </w:pPr>
    <w:rPr>
      <w:rFonts w:ascii="宋体" w:hAnsi="宋体" w:cs="宋体"/>
      <w:kern w:val="0"/>
      <w:sz w:val="24"/>
    </w:rPr>
  </w:style>
  <w:style w:type="paragraph" w:customStyle="1" w:styleId="106">
    <w:name w:val="font23"/>
    <w:basedOn w:val="1"/>
    <w:qFormat/>
    <w:uiPriority w:val="0"/>
    <w:pPr>
      <w:widowControl/>
      <w:spacing w:before="100" w:beforeAutospacing="1" w:after="100" w:afterAutospacing="1"/>
      <w:jc w:val="left"/>
    </w:pPr>
    <w:rPr>
      <w:kern w:val="0"/>
      <w:sz w:val="18"/>
      <w:szCs w:val="18"/>
    </w:rPr>
  </w:style>
  <w:style w:type="paragraph" w:customStyle="1" w:styleId="107">
    <w:name w:val="font24"/>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108">
    <w:name w:val="font25"/>
    <w:basedOn w:val="1"/>
    <w:qFormat/>
    <w:uiPriority w:val="0"/>
    <w:pPr>
      <w:widowControl/>
      <w:spacing w:before="100" w:beforeAutospacing="1" w:after="100" w:afterAutospacing="1"/>
      <w:jc w:val="left"/>
    </w:pPr>
    <w:rPr>
      <w:rFonts w:ascii="宋体" w:hAnsi="宋体" w:cs="宋体"/>
      <w:kern w:val="0"/>
      <w:sz w:val="24"/>
    </w:rPr>
  </w:style>
  <w:style w:type="paragraph" w:customStyle="1" w:styleId="109">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4"/>
    </w:rPr>
  </w:style>
  <w:style w:type="paragraph" w:customStyle="1" w:styleId="110">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11">
    <w:name w:val="xl65"/>
    <w:basedOn w:val="1"/>
    <w:qFormat/>
    <w:uiPriority w:val="0"/>
    <w:pPr>
      <w:widowControl/>
      <w:spacing w:before="100" w:beforeAutospacing="1" w:after="100" w:afterAutospacing="1"/>
      <w:jc w:val="center"/>
      <w:textAlignment w:val="center"/>
    </w:pPr>
    <w:rPr>
      <w:kern w:val="0"/>
      <w:sz w:val="24"/>
    </w:rPr>
  </w:style>
  <w:style w:type="paragraph" w:customStyle="1" w:styleId="11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11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14">
    <w:name w:val="xl6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115">
    <w:name w:val="xl6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16">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4"/>
    </w:rPr>
  </w:style>
  <w:style w:type="paragraph" w:customStyle="1" w:styleId="117">
    <w:name w:val="xl7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118">
    <w:name w:val="xl7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4"/>
    </w:rPr>
  </w:style>
  <w:style w:type="paragraph" w:customStyle="1" w:styleId="119">
    <w:name w:val="xl7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20">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0000"/>
      <w:kern w:val="0"/>
      <w:sz w:val="18"/>
      <w:szCs w:val="18"/>
    </w:rPr>
  </w:style>
  <w:style w:type="paragraph" w:customStyle="1" w:styleId="121">
    <w:name w:val="xl7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22">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70C0"/>
      <w:kern w:val="0"/>
      <w:sz w:val="18"/>
      <w:szCs w:val="18"/>
    </w:rPr>
  </w:style>
  <w:style w:type="paragraph" w:customStyle="1" w:styleId="123">
    <w:name w:val="xl7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124">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4"/>
    </w:rPr>
  </w:style>
  <w:style w:type="paragraph" w:customStyle="1" w:styleId="125">
    <w:name w:val="xl7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kern w:val="0"/>
      <w:sz w:val="24"/>
    </w:rPr>
  </w:style>
  <w:style w:type="paragraph" w:customStyle="1" w:styleId="126">
    <w:name w:val="xl80"/>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27">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28">
    <w:name w:val="xl82"/>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129">
    <w:name w:val="xl8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130">
    <w:name w:val="xl84"/>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color w:val="0070C0"/>
      <w:kern w:val="0"/>
      <w:sz w:val="18"/>
      <w:szCs w:val="18"/>
    </w:rPr>
  </w:style>
  <w:style w:type="paragraph" w:customStyle="1" w:styleId="131">
    <w:name w:val="xl8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color w:val="0070C0"/>
      <w:kern w:val="0"/>
      <w:sz w:val="18"/>
      <w:szCs w:val="18"/>
    </w:rPr>
  </w:style>
  <w:style w:type="paragraph" w:customStyle="1" w:styleId="132">
    <w:name w:val="xl8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FF0000"/>
      <w:kern w:val="0"/>
      <w:sz w:val="18"/>
      <w:szCs w:val="18"/>
    </w:rPr>
  </w:style>
  <w:style w:type="paragraph" w:customStyle="1" w:styleId="133">
    <w:name w:val="xl8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134">
    <w:name w:val="xl88"/>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135">
    <w:name w:val="xl89"/>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136">
    <w:name w:val="xl90"/>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137">
    <w:name w:val="xl9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FF0000"/>
      <w:kern w:val="0"/>
      <w:sz w:val="18"/>
      <w:szCs w:val="18"/>
    </w:rPr>
  </w:style>
  <w:style w:type="paragraph" w:customStyle="1" w:styleId="138">
    <w:name w:val="xl9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70C0"/>
      <w:kern w:val="0"/>
      <w:sz w:val="18"/>
      <w:szCs w:val="18"/>
    </w:rPr>
  </w:style>
  <w:style w:type="paragraph" w:customStyle="1" w:styleId="139">
    <w:name w:val="xl93"/>
    <w:basedOn w:val="1"/>
    <w:qFormat/>
    <w:uiPriority w:val="0"/>
    <w:pPr>
      <w:widowControl/>
      <w:pBdr>
        <w:top w:val="single" w:color="auto" w:sz="4" w:space="0"/>
        <w:left w:val="single" w:color="auto" w:sz="4" w:space="0"/>
      </w:pBdr>
      <w:spacing w:before="100" w:beforeAutospacing="1" w:after="100" w:afterAutospacing="1"/>
      <w:jc w:val="center"/>
      <w:textAlignment w:val="center"/>
    </w:pPr>
    <w:rPr>
      <w:color w:val="0070C0"/>
      <w:kern w:val="0"/>
      <w:sz w:val="18"/>
      <w:szCs w:val="18"/>
    </w:rPr>
  </w:style>
  <w:style w:type="paragraph" w:customStyle="1" w:styleId="140">
    <w:name w:val="xl94"/>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color w:val="0070C0"/>
      <w:kern w:val="0"/>
      <w:sz w:val="18"/>
      <w:szCs w:val="18"/>
    </w:rPr>
  </w:style>
  <w:style w:type="paragraph" w:customStyle="1" w:styleId="141">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70C0"/>
      <w:kern w:val="0"/>
      <w:szCs w:val="21"/>
    </w:rPr>
  </w:style>
  <w:style w:type="paragraph" w:customStyle="1" w:styleId="142">
    <w:name w:val="xl9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color w:val="0070C0"/>
      <w:kern w:val="0"/>
      <w:szCs w:val="21"/>
    </w:rPr>
  </w:style>
  <w:style w:type="paragraph" w:customStyle="1" w:styleId="143">
    <w:name w:val="xl9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70C0"/>
      <w:kern w:val="0"/>
      <w:szCs w:val="21"/>
    </w:rPr>
  </w:style>
  <w:style w:type="paragraph" w:customStyle="1" w:styleId="144">
    <w:name w:val="xl98"/>
    <w:basedOn w:val="1"/>
    <w:qFormat/>
    <w:uiPriority w:val="0"/>
    <w:pPr>
      <w:widowControl/>
      <w:pBdr>
        <w:top w:val="single" w:color="auto" w:sz="4" w:space="0"/>
        <w:left w:val="single" w:color="auto" w:sz="4" w:space="0"/>
      </w:pBdr>
      <w:spacing w:before="100" w:beforeAutospacing="1" w:after="100" w:afterAutospacing="1"/>
      <w:jc w:val="center"/>
      <w:textAlignment w:val="center"/>
    </w:pPr>
    <w:rPr>
      <w:kern w:val="0"/>
      <w:sz w:val="24"/>
    </w:rPr>
  </w:style>
  <w:style w:type="paragraph" w:customStyle="1" w:styleId="145">
    <w:name w:val="xl99"/>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color w:val="0070C0"/>
      <w:kern w:val="0"/>
      <w:sz w:val="24"/>
    </w:rPr>
  </w:style>
  <w:style w:type="paragraph" w:customStyle="1" w:styleId="146">
    <w:name w:val="xl10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color w:val="0070C0"/>
      <w:kern w:val="0"/>
      <w:sz w:val="24"/>
    </w:rPr>
  </w:style>
  <w:style w:type="paragraph" w:customStyle="1" w:styleId="147">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8"/>
      <w:szCs w:val="18"/>
    </w:rPr>
  </w:style>
  <w:style w:type="paragraph" w:customStyle="1" w:styleId="148">
    <w:name w:val="xl10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8"/>
      <w:szCs w:val="18"/>
    </w:rPr>
  </w:style>
  <w:style w:type="paragraph" w:customStyle="1" w:styleId="149">
    <w:name w:val="xl10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8"/>
      <w:szCs w:val="18"/>
    </w:rPr>
  </w:style>
  <w:style w:type="paragraph" w:customStyle="1" w:styleId="150">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8"/>
      <w:szCs w:val="18"/>
    </w:rPr>
  </w:style>
  <w:style w:type="paragraph" w:customStyle="1" w:styleId="151">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152">
    <w:name w:val="xl10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53">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Cs w:val="21"/>
    </w:rPr>
  </w:style>
  <w:style w:type="paragraph" w:customStyle="1" w:styleId="154">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155">
    <w:name w:val="xl10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56">
    <w:name w:val="xl110"/>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157">
    <w:name w:val="xl111"/>
    <w:basedOn w:val="1"/>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158">
    <w:name w:val="xl11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kern w:val="0"/>
      <w:sz w:val="18"/>
      <w:szCs w:val="18"/>
    </w:rPr>
  </w:style>
  <w:style w:type="paragraph" w:customStyle="1" w:styleId="159">
    <w:name w:val="xl11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70C0"/>
      <w:kern w:val="0"/>
      <w:sz w:val="18"/>
      <w:szCs w:val="18"/>
    </w:rPr>
  </w:style>
  <w:style w:type="paragraph" w:customStyle="1" w:styleId="160">
    <w:name w:val="xl11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color w:val="0070C0"/>
      <w:kern w:val="0"/>
      <w:sz w:val="18"/>
      <w:szCs w:val="18"/>
    </w:rPr>
  </w:style>
  <w:style w:type="paragraph" w:customStyle="1" w:styleId="161">
    <w:name w:val="xl115"/>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70C0"/>
      <w:kern w:val="0"/>
      <w:sz w:val="18"/>
      <w:szCs w:val="18"/>
    </w:rPr>
  </w:style>
  <w:style w:type="paragraph" w:customStyle="1" w:styleId="162">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0000"/>
      <w:kern w:val="0"/>
      <w:szCs w:val="21"/>
    </w:rPr>
  </w:style>
  <w:style w:type="paragraph" w:customStyle="1" w:styleId="163">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64">
    <w:name w:val="xl11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color w:val="0070C0"/>
      <w:kern w:val="0"/>
      <w:szCs w:val="21"/>
    </w:rPr>
  </w:style>
  <w:style w:type="paragraph" w:customStyle="1" w:styleId="165">
    <w:name w:val="xl11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66">
    <w:name w:val="xl120"/>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67">
    <w:name w:val="xl12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68">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FF0000"/>
      <w:kern w:val="0"/>
      <w:szCs w:val="21"/>
    </w:rPr>
  </w:style>
  <w:style w:type="paragraph" w:customStyle="1" w:styleId="169">
    <w:name w:val="xl12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70C0"/>
      <w:kern w:val="0"/>
      <w:szCs w:val="21"/>
    </w:rPr>
  </w:style>
  <w:style w:type="paragraph" w:customStyle="1" w:styleId="170">
    <w:name w:val="xl124"/>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70C0"/>
      <w:kern w:val="0"/>
      <w:szCs w:val="21"/>
    </w:rPr>
  </w:style>
  <w:style w:type="paragraph" w:customStyle="1" w:styleId="171">
    <w:name w:val="xl12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70C0"/>
      <w:kern w:val="0"/>
      <w:szCs w:val="21"/>
    </w:rPr>
  </w:style>
  <w:style w:type="paragraph" w:customStyle="1" w:styleId="172">
    <w:name w:val="xl12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color w:val="0070C0"/>
      <w:kern w:val="0"/>
      <w:szCs w:val="21"/>
    </w:rPr>
  </w:style>
  <w:style w:type="paragraph" w:customStyle="1" w:styleId="173">
    <w:name w:val="xl127"/>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174">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0000"/>
      <w:kern w:val="0"/>
      <w:sz w:val="24"/>
    </w:rPr>
  </w:style>
  <w:style w:type="paragraph" w:customStyle="1" w:styleId="175">
    <w:name w:val="xl12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FF0000"/>
      <w:kern w:val="0"/>
      <w:sz w:val="24"/>
    </w:rPr>
  </w:style>
  <w:style w:type="paragraph" w:customStyle="1" w:styleId="176">
    <w:name w:val="xl130"/>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FF0000"/>
      <w:kern w:val="0"/>
      <w:sz w:val="24"/>
    </w:rPr>
  </w:style>
  <w:style w:type="paragraph" w:customStyle="1" w:styleId="177">
    <w:name w:val="xl13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FF0000"/>
      <w:kern w:val="0"/>
      <w:sz w:val="24"/>
    </w:rPr>
  </w:style>
  <w:style w:type="paragraph" w:customStyle="1" w:styleId="178">
    <w:name w:val="xl132"/>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4"/>
    </w:rPr>
  </w:style>
  <w:style w:type="paragraph" w:customStyle="1" w:styleId="179">
    <w:name w:val="xl133"/>
    <w:basedOn w:val="1"/>
    <w:qFormat/>
    <w:uiPriority w:val="0"/>
    <w:pPr>
      <w:widowControl/>
      <w:pBdr>
        <w:top w:val="single" w:color="auto" w:sz="4" w:space="0"/>
        <w:bottom w:val="single" w:color="auto" w:sz="4" w:space="0"/>
      </w:pBdr>
      <w:spacing w:before="100" w:beforeAutospacing="1" w:after="100" w:afterAutospacing="1"/>
      <w:jc w:val="center"/>
      <w:textAlignment w:val="center"/>
    </w:pPr>
    <w:rPr>
      <w:b/>
      <w:bCs/>
      <w:kern w:val="0"/>
      <w:sz w:val="24"/>
    </w:rPr>
  </w:style>
  <w:style w:type="paragraph" w:customStyle="1" w:styleId="180">
    <w:name w:val="xl134"/>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b/>
      <w:bCs/>
      <w:kern w:val="0"/>
      <w:sz w:val="24"/>
    </w:rPr>
  </w:style>
  <w:style w:type="paragraph" w:customStyle="1" w:styleId="181">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cs="宋体"/>
      <w:kern w:val="0"/>
      <w:sz w:val="24"/>
    </w:rPr>
  </w:style>
  <w:style w:type="paragraph" w:customStyle="1" w:styleId="182">
    <w:name w:val="xl136"/>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83">
    <w:name w:val="xl1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84">
    <w:name w:val="xl138"/>
    <w:basedOn w:val="1"/>
    <w:qFormat/>
    <w:uiPriority w:val="0"/>
    <w:pPr>
      <w:widowControl/>
      <w:pBdr>
        <w:left w:val="single" w:color="auto" w:sz="4" w:space="0"/>
      </w:pBdr>
      <w:spacing w:before="100" w:beforeAutospacing="1" w:after="100" w:afterAutospacing="1"/>
      <w:jc w:val="center"/>
      <w:textAlignment w:val="center"/>
    </w:pPr>
    <w:rPr>
      <w:kern w:val="0"/>
      <w:sz w:val="24"/>
    </w:rPr>
  </w:style>
  <w:style w:type="paragraph" w:customStyle="1" w:styleId="185">
    <w:name w:val="xl139"/>
    <w:basedOn w:val="1"/>
    <w:qFormat/>
    <w:uiPriority w:val="0"/>
    <w:pPr>
      <w:widowControl/>
      <w:pBdr>
        <w:left w:val="single" w:color="auto" w:sz="4" w:space="0"/>
        <w:bottom w:val="single" w:color="auto" w:sz="4" w:space="0"/>
      </w:pBdr>
      <w:spacing w:before="100" w:beforeAutospacing="1" w:after="100" w:afterAutospacing="1"/>
      <w:jc w:val="center"/>
      <w:textAlignment w:val="center"/>
    </w:pPr>
    <w:rPr>
      <w:kern w:val="0"/>
      <w:sz w:val="24"/>
    </w:rPr>
  </w:style>
  <w:style w:type="paragraph" w:customStyle="1" w:styleId="186">
    <w:name w:val="xl14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微软雅黑" w:hAnsi="微软雅黑" w:eastAsia="微软雅黑" w:cs="宋体"/>
      <w:kern w:val="0"/>
      <w:sz w:val="24"/>
    </w:rPr>
  </w:style>
  <w:style w:type="paragraph" w:customStyle="1" w:styleId="187">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Cs w:val="21"/>
    </w:rPr>
  </w:style>
  <w:style w:type="paragraph" w:customStyle="1" w:styleId="188">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70C0"/>
      <w:kern w:val="0"/>
      <w:sz w:val="18"/>
      <w:szCs w:val="18"/>
    </w:rPr>
  </w:style>
  <w:style w:type="paragraph" w:customStyle="1" w:styleId="189">
    <w:name w:val="xl1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90">
    <w:name w:val="xl1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cs="宋体"/>
      <w:kern w:val="0"/>
      <w:sz w:val="24"/>
    </w:rPr>
  </w:style>
  <w:style w:type="paragraph" w:customStyle="1" w:styleId="191">
    <w:name w:val="xl1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192">
    <w:name w:val="xl146"/>
    <w:basedOn w:val="1"/>
    <w:qFormat/>
    <w:uiPriority w:val="0"/>
    <w:pPr>
      <w:widowControl/>
      <w:pBdr>
        <w:top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93">
    <w:name w:val="xl14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Cs w:val="21"/>
    </w:rPr>
  </w:style>
  <w:style w:type="paragraph" w:customStyle="1" w:styleId="194">
    <w:name w:val="xl148"/>
    <w:basedOn w:val="1"/>
    <w:qFormat/>
    <w:uiPriority w:val="0"/>
    <w:pPr>
      <w:widowControl/>
      <w:pBdr>
        <w:right w:val="single" w:color="auto" w:sz="4" w:space="0"/>
      </w:pBdr>
      <w:spacing w:before="100" w:beforeAutospacing="1" w:after="100" w:afterAutospacing="1"/>
      <w:jc w:val="center"/>
      <w:textAlignment w:val="center"/>
    </w:pPr>
    <w:rPr>
      <w:kern w:val="0"/>
      <w:sz w:val="24"/>
    </w:rPr>
  </w:style>
  <w:style w:type="paragraph" w:customStyle="1" w:styleId="195">
    <w:name w:val="xl1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character" w:styleId="196">
    <w:name w:val="Placeholder Text"/>
    <w:basedOn w:val="25"/>
    <w:semiHidden/>
    <w:qFormat/>
    <w:uiPriority w:val="99"/>
    <w:rPr>
      <w:color w:val="666666"/>
    </w:rPr>
  </w:style>
  <w:style w:type="paragraph" w:customStyle="1" w:styleId="197">
    <w:name w:val="表内"/>
    <w:basedOn w:val="6"/>
    <w:qFormat/>
    <w:uiPriority w:val="0"/>
    <w:pPr>
      <w:jc w:val="center"/>
    </w:pPr>
  </w:style>
  <w:style w:type="paragraph" w:customStyle="1" w:styleId="198">
    <w:name w:val="文本"/>
    <w:basedOn w:val="1"/>
    <w:next w:val="1"/>
    <w:autoRedefine/>
    <w:qFormat/>
    <w:uiPriority w:val="0"/>
    <w:pPr>
      <w:autoSpaceDE w:val="0"/>
      <w:autoSpaceDN w:val="0"/>
      <w:ind w:firstLine="480"/>
    </w:pPr>
    <w:rPr>
      <w:rFonts w:cs="Times New Roman"/>
      <w:szCs w:val="24"/>
      <w:lang w:val="zh-CN"/>
    </w:rPr>
  </w:style>
  <w:style w:type="character" w:customStyle="1" w:styleId="199">
    <w:name w:val="图、表标题 Char1"/>
    <w:link w:val="200"/>
    <w:qFormat/>
    <w:uiPriority w:val="0"/>
    <w:rPr>
      <w:b/>
      <w:kern w:val="0"/>
      <w:szCs w:val="20"/>
    </w:rPr>
  </w:style>
  <w:style w:type="paragraph" w:customStyle="1" w:styleId="200">
    <w:name w:val="图、表标题"/>
    <w:basedOn w:val="1"/>
    <w:link w:val="199"/>
    <w:qFormat/>
    <w:uiPriority w:val="0"/>
    <w:pPr>
      <w:adjustRightInd w:val="0"/>
      <w:snapToGrid w:val="0"/>
      <w:spacing w:line="360" w:lineRule="auto"/>
      <w:ind w:firstLine="1032" w:firstLineChars="200"/>
      <w:jc w:val="center"/>
    </w:pPr>
    <w:rPr>
      <w:b/>
      <w:kern w:val="0"/>
      <w:szCs w:val="20"/>
    </w:rPr>
  </w:style>
  <w:style w:type="paragraph" w:customStyle="1" w:styleId="201">
    <w:name w:val="表格内"/>
    <w:basedOn w:val="1"/>
    <w:qFormat/>
    <w:uiPriority w:val="0"/>
    <w:pPr>
      <w:widowControl/>
      <w:jc w:val="center"/>
    </w:pPr>
    <w:rPr>
      <w:szCs w:val="21"/>
    </w:rPr>
  </w:style>
  <w:style w:type="paragraph" w:customStyle="1" w:styleId="202">
    <w:name w:val="11111111111"/>
    <w:basedOn w:val="1"/>
    <w:qFormat/>
    <w:uiPriority w:val="0"/>
    <w:pPr>
      <w:spacing w:line="480" w:lineRule="exact"/>
      <w:jc w:val="center"/>
    </w:pPr>
    <w:rPr>
      <w:b/>
      <w:kern w:val="0"/>
      <w:sz w:val="20"/>
      <w:szCs w:val="20"/>
    </w:rPr>
  </w:style>
  <w:style w:type="paragraph" w:customStyle="1" w:styleId="203">
    <w:name w:val="正文（首行缩进） Char"/>
    <w:basedOn w:val="1"/>
    <w:qFormat/>
    <w:uiPriority w:val="0"/>
    <w:pPr>
      <w:widowControl/>
      <w:overflowPunct w:val="0"/>
      <w:topLinePunct/>
      <w:autoSpaceDE w:val="0"/>
      <w:autoSpaceDN w:val="0"/>
      <w:adjustRightInd w:val="0"/>
      <w:snapToGrid w:val="0"/>
      <w:spacing w:line="360" w:lineRule="auto"/>
      <w:ind w:firstLine="480" w:firstLineChars="200"/>
      <w:textAlignment w:val="baseline"/>
    </w:pPr>
    <w:rPr>
      <w:kern w:val="0"/>
      <w:sz w:val="24"/>
    </w:rPr>
  </w:style>
  <w:style w:type="paragraph" w:customStyle="1" w:styleId="204">
    <w:name w:val="正文-Jin"/>
    <w:basedOn w:val="1"/>
    <w:qFormat/>
    <w:uiPriority w:val="0"/>
    <w:pPr>
      <w:spacing w:line="480" w:lineRule="exact"/>
      <w:ind w:firstLine="482"/>
    </w:pPr>
    <w:rPr>
      <w:sz w:val="24"/>
    </w:rPr>
  </w:style>
  <w:style w:type="paragraph" w:customStyle="1" w:styleId="205">
    <w:name w:val="正文-H"/>
    <w:basedOn w:val="1"/>
    <w:qFormat/>
    <w:uiPriority w:val="0"/>
    <w:pPr>
      <w:spacing w:line="360" w:lineRule="auto"/>
      <w:ind w:firstLine="720" w:firstLineChars="200"/>
    </w:pPr>
    <w:rPr>
      <w:sz w:val="24"/>
    </w:rPr>
  </w:style>
  <w:style w:type="paragraph" w:customStyle="1" w:styleId="206">
    <w:name w:val="四级zl"/>
    <w:basedOn w:val="5"/>
    <w:qFormat/>
    <w:uiPriority w:val="0"/>
    <w:pPr>
      <w:spacing w:before="0"/>
    </w:pPr>
    <w:rPr>
      <w:rFonts w:ascii="Times New Roman" w:hAnsi="Times New Roman"/>
      <w:szCs w:val="24"/>
    </w:rPr>
  </w:style>
  <w:style w:type="paragraph" w:customStyle="1" w:styleId="207">
    <w:name w:val="表标题zl"/>
    <w:basedOn w:val="1"/>
    <w:qFormat/>
    <w:uiPriority w:val="0"/>
    <w:pPr>
      <w:spacing w:before="120" w:beforeLines="50"/>
      <w:jc w:val="center"/>
    </w:pPr>
    <w:rPr>
      <w:b/>
      <w:bCs/>
      <w:szCs w:val="21"/>
    </w:rPr>
  </w:style>
  <w:style w:type="paragraph" w:customStyle="1" w:styleId="208">
    <w:name w:val="5级表头"/>
    <w:basedOn w:val="209"/>
    <w:qFormat/>
    <w:uiPriority w:val="0"/>
    <w:pPr>
      <w:autoSpaceDE w:val="0"/>
      <w:spacing w:beforeAutospacing="0" w:afterAutospacing="0"/>
      <w:ind w:firstLine="0" w:firstLineChars="0"/>
      <w:jc w:val="center"/>
    </w:pPr>
    <w:rPr>
      <w:rFonts w:ascii="宋体" w:hAnsi="宋体" w:eastAsia="宋体" w:cs="Times New Roman"/>
      <w:b/>
      <w:kern w:val="2"/>
      <w:sz w:val="21"/>
      <w:szCs w:val="21"/>
    </w:rPr>
  </w:style>
  <w:style w:type="paragraph" w:styleId="209">
    <w:name w:val="List Paragraph"/>
    <w:basedOn w:val="1"/>
    <w:qFormat/>
    <w:uiPriority w:val="34"/>
    <w:pPr>
      <w:ind w:firstLine="420" w:firstLineChars="200"/>
    </w:pPr>
  </w:style>
  <w:style w:type="paragraph" w:customStyle="1" w:styleId="210">
    <w:name w:val="Table Text"/>
    <w:basedOn w:val="1"/>
    <w:semiHidden/>
    <w:qFormat/>
    <w:uiPriority w:val="0"/>
    <w:rPr>
      <w:rFonts w:ascii="宋体" w:hAnsi="宋体" w:eastAsia="宋体" w:cs="宋体"/>
      <w:sz w:val="24"/>
      <w:szCs w:val="24"/>
      <w:lang w:val="en-US" w:eastAsia="en-US" w:bidi="ar-SA"/>
    </w:rPr>
  </w:style>
  <w:style w:type="character" w:customStyle="1" w:styleId="211">
    <w:name w:val="font41"/>
    <w:basedOn w:val="25"/>
    <w:qFormat/>
    <w:uiPriority w:val="0"/>
    <w:rPr>
      <w:rFonts w:hint="default" w:ascii="Times New Roman" w:hAnsi="Times New Roman" w:cs="Times New Roman"/>
      <w:color w:val="000000"/>
      <w:sz w:val="21"/>
      <w:szCs w:val="21"/>
      <w:u w:val="none"/>
    </w:rPr>
  </w:style>
  <w:style w:type="character" w:customStyle="1" w:styleId="212">
    <w:name w:val="font51"/>
    <w:basedOn w:val="25"/>
    <w:qFormat/>
    <w:uiPriority w:val="0"/>
    <w:rPr>
      <w:rFonts w:hint="default" w:ascii="Times New Roman" w:hAnsi="Times New Roman" w:cs="Times New Roman"/>
      <w:b/>
      <w:bCs/>
      <w:color w:val="000000"/>
      <w:sz w:val="21"/>
      <w:szCs w:val="21"/>
      <w:u w:val="none"/>
      <w:vertAlign w:val="subscript"/>
    </w:rPr>
  </w:style>
  <w:style w:type="character" w:customStyle="1" w:styleId="213">
    <w:name w:val="font31"/>
    <w:basedOn w:val="25"/>
    <w:qFormat/>
    <w:uiPriority w:val="0"/>
    <w:rPr>
      <w:rFonts w:hint="default" w:ascii="Times New Roman" w:hAnsi="Times New Roman" w:cs="Times New Roman"/>
      <w:b/>
      <w:bCs/>
      <w:color w:val="000000"/>
      <w:sz w:val="21"/>
      <w:szCs w:val="21"/>
      <w:u w:val="none"/>
    </w:rPr>
  </w:style>
</w:styles>
</file>

<file path=word/_rels/comments.xml.rels><?xml version="1.0" encoding="UTF-8" standalone="yes"?>
<Relationships xmlns="http://schemas.openxmlformats.org/package/2006/relationships"><Relationship Id="rId1" Type="http://schemas.openxmlformats.org/officeDocument/2006/relationships/image" Target="media/image1.jpeg"/></Relationship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microsoft.com/office/2011/relationships/commentsExtended" Target="commentsExtended.xml"/><Relationship Id="rId36" Type="http://schemas.microsoft.com/office/2011/relationships/people" Target="people.xml"/><Relationship Id="rId35" Type="http://schemas.openxmlformats.org/officeDocument/2006/relationships/fontTable" Target="fontTable.xml"/><Relationship Id="rId34" Type="http://schemas.openxmlformats.org/officeDocument/2006/relationships/customXml" Target="../customXml/item2.xml"/><Relationship Id="rId33" Type="http://schemas.openxmlformats.org/officeDocument/2006/relationships/numbering" Target="numbering.xml"/><Relationship Id="rId32" Type="http://schemas.openxmlformats.org/officeDocument/2006/relationships/customXml" Target="../customXml/item1.xml"/><Relationship Id="rId31" Type="http://schemas.openxmlformats.org/officeDocument/2006/relationships/image" Target="media/image15.png"/><Relationship Id="rId30" Type="http://schemas.openxmlformats.org/officeDocument/2006/relationships/image" Target="media/image14.wmf"/><Relationship Id="rId3" Type="http://schemas.openxmlformats.org/officeDocument/2006/relationships/comments" Target="comments.xml"/><Relationship Id="rId29" Type="http://schemas.openxmlformats.org/officeDocument/2006/relationships/oleObject" Target="embeddings/oleObject8.bin"/><Relationship Id="rId28" Type="http://schemas.openxmlformats.org/officeDocument/2006/relationships/image" Target="media/image13.wmf"/><Relationship Id="rId27" Type="http://schemas.openxmlformats.org/officeDocument/2006/relationships/oleObject" Target="embeddings/oleObject7.bin"/><Relationship Id="rId26" Type="http://schemas.openxmlformats.org/officeDocument/2006/relationships/image" Target="media/image12.wmf"/><Relationship Id="rId25" Type="http://schemas.openxmlformats.org/officeDocument/2006/relationships/oleObject" Target="embeddings/oleObject6.bin"/><Relationship Id="rId24" Type="http://schemas.openxmlformats.org/officeDocument/2006/relationships/image" Target="media/image11.wmf"/><Relationship Id="rId23" Type="http://schemas.openxmlformats.org/officeDocument/2006/relationships/oleObject" Target="embeddings/oleObject5.bin"/><Relationship Id="rId22" Type="http://schemas.openxmlformats.org/officeDocument/2006/relationships/image" Target="media/image10.wmf"/><Relationship Id="rId21" Type="http://schemas.openxmlformats.org/officeDocument/2006/relationships/image" Target="media/image9.wmf"/><Relationship Id="rId20" Type="http://schemas.openxmlformats.org/officeDocument/2006/relationships/oleObject" Target="embeddings/oleObject4.bin"/><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emf"/><Relationship Id="rId17" Type="http://schemas.openxmlformats.org/officeDocument/2006/relationships/oleObject" Target="embeddings/oleObject3.bin"/><Relationship Id="rId16" Type="http://schemas.openxmlformats.org/officeDocument/2006/relationships/image" Target="media/image6.emf"/><Relationship Id="rId15" Type="http://schemas.openxmlformats.org/officeDocument/2006/relationships/oleObject" Target="embeddings/oleObject2.bin"/><Relationship Id="rId14" Type="http://schemas.openxmlformats.org/officeDocument/2006/relationships/image" Target="media/image5.emf"/><Relationship Id="rId13" Type="http://schemas.openxmlformats.org/officeDocument/2006/relationships/oleObject" Target="embeddings/oleObject1.bin"/><Relationship Id="rId12" Type="http://schemas.openxmlformats.org/officeDocument/2006/relationships/image" Target="media/image4.jpe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soa\wdzx97.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224625-7A9C-42A5-82A2-07357537A834}">
  <ds:schemaRefs/>
</ds:datastoreItem>
</file>

<file path=docProps/app.xml><?xml version="1.0" encoding="utf-8"?>
<Properties xmlns="http://schemas.openxmlformats.org/officeDocument/2006/extended-properties" xmlns:vt="http://schemas.openxmlformats.org/officeDocument/2006/docPropsVTypes">
  <Template>wdzx97</Template>
  <Company>微软中国</Company>
  <Pages>86</Pages>
  <Words>18407</Words>
  <Characters>19376</Characters>
  <Lines>790</Lines>
  <Paragraphs>222</Paragraphs>
  <TotalTime>0</TotalTime>
  <ScaleCrop>false</ScaleCrop>
  <LinksUpToDate>false</LinksUpToDate>
  <CharactersWithSpaces>19490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2021-01-04T06:20:00Z</dcterms:created>
  <dc:creator>Nick</dc:creator>
  <cp:lastModifiedBy>苏叶</cp:lastModifiedBy>
  <cp:lastPrinted>2020-12-29T02:43:00Z</cp:lastPrinted>
  <dcterms:modified xsi:type="dcterms:W3CDTF">2026-04-15T01:47:20Z</dcterms:modified>
  <cp:revision>588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E9D7C1ECAC9A4CE29BD944DA6BEAD299_13</vt:lpwstr>
  </property>
  <property fmtid="{D5CDD505-2E9C-101B-9397-08002B2CF9AE}" pid="4" name="KSOTemplateDocerSaveRecord">
    <vt:lpwstr>eyJoZGlkIjoiNTkwMGFiZGM3MDg0NzlkM2ViYTVjMWQ3MzgwMmU3NmYiLCJ1c2VySWQiOiIzODA0MTUzOTYifQ==</vt:lpwstr>
  </property>
</Properties>
</file>