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5F32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480"/>
        <w:jc w:val="right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 </w:t>
      </w:r>
      <w:r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kern w:val="0"/>
          <w:sz w:val="44"/>
          <w:szCs w:val="44"/>
          <w:lang w:val="en-US" w:eastAsia="zh-CN" w:bidi="ar"/>
        </w:rPr>
        <w:t> </w:t>
      </w:r>
    </w:p>
    <w:p w14:paraId="168F197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kern w:val="0"/>
          <w:sz w:val="44"/>
          <w:szCs w:val="44"/>
          <w:lang w:val="en-US" w:eastAsia="zh-CN" w:bidi="ar"/>
        </w:rPr>
      </w:pPr>
    </w:p>
    <w:p w14:paraId="3FB11FE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left="0" w:right="0" w:firstLine="0"/>
        <w:jc w:val="center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kern w:val="0"/>
          <w:sz w:val="44"/>
          <w:szCs w:val="44"/>
          <w:lang w:val="en-US" w:eastAsia="zh-CN" w:bidi="ar"/>
        </w:rPr>
        <w:t>《</w:t>
      </w:r>
      <w:r>
        <w:rPr>
          <w:rFonts w:ascii="方正小标宋_GBK" w:hAnsi="方正小标宋_GBK" w:eastAsia="方正小标宋_GBK" w:cs="方正小标宋_GBK"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皖江江南新兴产业集中区排水许可管理办法（征求意见稿）》</w:t>
      </w:r>
      <w:r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起草说明</w:t>
      </w:r>
    </w:p>
    <w:bookmarkEnd w:id="0"/>
    <w:p w14:paraId="618E21E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left="0" w:right="0" w:firstLine="0"/>
        <w:jc w:val="left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 </w:t>
      </w:r>
    </w:p>
    <w:p w14:paraId="383E800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ascii="方正黑体_GBK" w:hAnsi="方正黑体_GBK" w:eastAsia="方正黑体_GBK" w:cs="方正黑体_GBK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‌一、起草背景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‌</w:t>
      </w:r>
    </w:p>
    <w:p w14:paraId="743C89C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随着皖江江南新兴产业集中区工业化和城市化进程加速，园区内工业、商业及公共服务设施建设规模不断扩大，排水需求显著增加。然而，部分项目在排水管理中存在雨污混排、废水超标排放等问题，导致水体污染风险加剧，生态环境受到威胁。为规范排水行为，保障园区排水与污水处理设施安全运行，防治水环境污染，迫切需要制定一套科学、合理且操作性强的排水许可管理办法，以实现雨污分流全覆盖，提升园区水环境质量，为新兴产业集聚提供生态保障。</w:t>
      </w:r>
    </w:p>
    <w:p w14:paraId="469EAC6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方正黑体_GBK" w:hAnsi="方正黑体_GBK" w:eastAsia="方正黑体_GBK" w:cs="方正黑体_GBK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‌</w:t>
      </w:r>
      <w:r>
        <w:rPr>
          <w:rFonts w:hint="eastAsia" w:ascii="方正黑体_GBK" w:hAnsi="方正黑体_GBK" w:eastAsia="方正黑体_GBK" w:cs="方正黑体_GBK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二、起草依据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‌</w:t>
      </w:r>
    </w:p>
    <w:p w14:paraId="5139420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1.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《中华人民共和国水污染防治法》</w:t>
      </w:r>
    </w:p>
    <w:p w14:paraId="0138DCD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2.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《城镇排水与污水处理条例》（国务院令第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641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号）</w:t>
      </w:r>
    </w:p>
    <w:p w14:paraId="0D2C708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3.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《城镇污水排入排水管网许可管理办法》（住建部令第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56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号修正版）</w:t>
      </w:r>
    </w:p>
    <w:p w14:paraId="3F8867E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方正黑体_GBK" w:hAnsi="方正黑体_GBK" w:eastAsia="方正黑体_GBK" w:cs="方正黑体_GBK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三、形成过程</w:t>
      </w:r>
    </w:p>
    <w:p w14:paraId="3420AB6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2025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年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10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月，我部起草了《皖江江南新兴产业集中区排水许可管理办法（初稿）》。在广泛征求管委会机关各相关部门意见的基础上，对初稿进行了细致的修订和完善。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11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月，规划建设部组织召开了讨论会，进一步修改和完善，形成《办法（征求意见稿）》。经过反复地修改和完善，最终在区法律顾问和区法制办的合法性审查后，形成了《办法》。</w:t>
      </w:r>
    </w:p>
    <w:p w14:paraId="23614DB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方正黑体_GBK" w:hAnsi="方正黑体_GBK" w:eastAsia="方正黑体_GBK" w:cs="方正黑体_GBK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‌</w:t>
      </w:r>
      <w:r>
        <w:rPr>
          <w:rFonts w:hint="eastAsia" w:ascii="方正黑体_GBK" w:hAnsi="方正黑体_GBK" w:eastAsia="方正黑体_GBK" w:cs="方正黑体_GBK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四、主要内容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‌</w:t>
      </w:r>
    </w:p>
    <w:p w14:paraId="7286FE5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《办法》共五章、十七条，主要内容如下：</w:t>
      </w:r>
    </w:p>
    <w:p w14:paraId="19876DA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‌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第一章 总则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‌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：明确制定依据、目的及适用范围，强调排水许可管理的必要性和基本原则。</w:t>
      </w:r>
    </w:p>
    <w:p w14:paraId="7C7F06B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‌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第二章 职责分工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‌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：明确规划建设部、区自规分局、区生态环境局、区城市管理分局的职责边界，避免监管真空。</w:t>
      </w:r>
    </w:p>
    <w:p w14:paraId="4B77FD3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规划建设部负责统筹排水许可办理、竣工验收把关及排口监管；区自规分局将排水设施纳入规划审查；区生态环境局监管工业企业废水达标排放；区城市管理分局查处沿街商铺违法排污。</w:t>
      </w:r>
    </w:p>
    <w:p w14:paraId="77A670C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接入管理：要求排水户建设预处理设施，重点排水户建立档案管理制度。明确含油废水、病原体废水等特殊废水的处理标准。</w:t>
      </w:r>
    </w:p>
    <w:p w14:paraId="3501A74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‌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第三章 许可办理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‌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：简化审批流程，排水户提交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类材料后，规划建设部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15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日内完成现场勘察。验收合格后直接颁发排水许可，提升行政效率。</w:t>
      </w:r>
    </w:p>
    <w:p w14:paraId="1DDEFFD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‌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第四章 监督检查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‌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 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规划建设部、区生态环境局、区城市管理分局根据各自职责分工，对接管企业排水情况进行监管。</w:t>
      </w:r>
    </w:p>
    <w:p w14:paraId="42418E9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‌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第五章 附则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/>
        </w:rPr>
        <w:t>‌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：明确施行时间和解释权限。</w:t>
      </w:r>
    </w:p>
    <w:p w14:paraId="6B6DF3E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left="0" w:right="0" w:firstLine="0"/>
        <w:jc w:val="left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Calibri" w:hAnsi="Calibri" w:cs="Calibri" w:eastAsiaTheme="minorEastAsia"/>
          <w:i w:val="0"/>
          <w:iCs w:val="0"/>
          <w:caps w:val="0"/>
          <w:color w:val="000000"/>
          <w:spacing w:val="0"/>
          <w:kern w:val="0"/>
          <w:sz w:val="33"/>
          <w:szCs w:val="33"/>
          <w:lang w:val="en-US" w:eastAsia="zh-CN" w:bidi="ar"/>
        </w:rPr>
        <w:t> 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kern w:val="0"/>
          <w:sz w:val="44"/>
          <w:szCs w:val="44"/>
          <w:lang w:val="en-US" w:eastAsia="zh-CN" w:bidi="ar"/>
        </w:rPr>
        <w:t> </w:t>
      </w:r>
    </w:p>
    <w:p w14:paraId="37F3CD3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left="0" w:right="0" w:firstLine="0"/>
        <w:jc w:val="center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kern w:val="0"/>
          <w:sz w:val="44"/>
          <w:szCs w:val="44"/>
          <w:lang w:val="en-US" w:eastAsia="zh-CN" w:bidi="ar"/>
        </w:rPr>
        <w:t> </w:t>
      </w:r>
    </w:p>
    <w:p w14:paraId="2652CF5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/>
        <w:jc w:val="center"/>
        <w:textAlignment w:val="auto"/>
        <w:rPr>
          <w:rFonts w:hint="default" w:ascii="Calibri" w:hAnsi="Calibri" w:cs="Calibri"/>
          <w:sz w:val="24"/>
          <w:szCs w:val="24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kern w:val="0"/>
          <w:sz w:val="44"/>
          <w:szCs w:val="44"/>
          <w:lang w:val="en-US" w:eastAsia="zh-CN" w:bidi="ar"/>
        </w:rPr>
        <w:t> </w:t>
      </w:r>
    </w:p>
    <w:p w14:paraId="58D11A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ED44B7"/>
    <w:rsid w:val="5BED4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潮州市饶平县机关及下属单位</Company>
  <Pages>3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2026-04-01T07:02:00Z</dcterms:created>
  <dc:creator>周媛</dc:creator>
  <cp:lastModifiedBy>周媛</cp:lastModifiedBy>
  <dcterms:modified xsi:type="dcterms:W3CDTF">2026-04-01T08:15:31Z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42CAFC9736EF49D6AFE4EFA831088D8E_11</vt:lpwstr>
  </property>
  <property fmtid="{D5CDD505-2E9C-101B-9397-08002B2CF9AE}" pid="4" name="KSOTemplateDocerSaveRecord">
    <vt:lpwstr>eyJoZGlkIjoiZmE4ZTM1OTBkNDc4NTI4NzI2NDc5OGJiM2E2NzM3ZTEiLCJ1c2VySWQiOiI0MTMzNDYyMzIifQ==</vt:lpwstr>
  </property>
</Properties>
</file>